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rPr>
          <w:lang w:val="ru-RU"/>
        </w:rPr>
      </w:pPr>
      <w:r>
        <w:rPr>
          <w:lang w:val="ru-RU"/>
        </w:rPr>
        <w:t xml:space="preserve">Классическая МД, система </w:t>
      </w:r>
      <w:r>
        <w:rPr/>
        <w:t>TEMPO</w:t>
      </w:r>
      <w:r>
        <w:rPr>
          <w:lang w:val="ru-RU"/>
        </w:rPr>
        <w:t xml:space="preserve"> в </w:t>
      </w:r>
      <w:r>
        <w:rPr/>
        <w:t>UIO</w:t>
      </w:r>
      <w:r>
        <w:rPr>
          <w:lang w:val="ru-RU"/>
        </w:rPr>
        <w:t>-66.</w:t>
      </w:r>
    </w:p>
    <w:p>
      <w:pPr>
        <w:pStyle w:val="Standard"/>
        <w:rPr>
          <w:lang w:val="ru-RU"/>
        </w:rPr>
      </w:pPr>
      <w:r>
        <w:rPr>
          <w:lang w:val="ru-RU"/>
        </w:rPr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215265</wp:posOffset>
            </wp:positionH>
            <wp:positionV relativeFrom="paragraph">
              <wp:posOffset>99695</wp:posOffset>
            </wp:positionV>
            <wp:extent cx="3084830" cy="2999105"/>
            <wp:effectExtent l="0" t="0" r="0" b="0"/>
            <wp:wrapSquare wrapText="bothSides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  <w:t>*Не все связи визуализированы.</w:t>
      </w:r>
    </w:p>
    <w:p>
      <w:pPr>
        <w:pStyle w:val="Standard"/>
        <w:rPr>
          <w:lang w:val="ru-RU"/>
        </w:rPr>
      </w:pPr>
      <w:r>
        <w:rPr>
          <w:lang w:val="ru-RU"/>
        </w:rPr>
        <w:t>4</w:t>
      </w:r>
      <w:r>
        <w:rPr/>
        <w:t>x</w:t>
      </w:r>
      <w:r>
        <w:rPr>
          <w:lang w:val="ru-RU"/>
        </w:rPr>
        <w:t>4</w:t>
      </w:r>
      <w:r>
        <w:rPr/>
        <w:t>x</w:t>
      </w:r>
      <w:r>
        <w:rPr>
          <w:lang w:val="ru-RU"/>
        </w:rPr>
        <w:t>4 ячеек (128 тетраэдрических пор) сформировано на основе рентгеноструктурных данных.</w:t>
      </w:r>
    </w:p>
    <w:p>
      <w:pPr>
        <w:pStyle w:val="Standard"/>
        <w:rPr>
          <w:lang w:val="ru-RU"/>
        </w:rPr>
      </w:pPr>
      <w:r>
        <w:rPr>
          <w:lang w:val="ru-RU"/>
        </w:rPr>
        <w:t xml:space="preserve">Периодические граничные условия: ячейка [4.14930 </w:t>
      </w:r>
      <w:r>
        <w:rPr/>
        <w:t>x</w:t>
      </w:r>
      <w:r>
        <w:rPr>
          <w:lang w:val="ru-RU"/>
        </w:rPr>
        <w:t xml:space="preserve"> 4.14930 </w:t>
      </w:r>
      <w:r>
        <w:rPr/>
        <w:t>x</w:t>
      </w:r>
      <w:r>
        <w:rPr>
          <w:lang w:val="ru-RU"/>
        </w:rPr>
        <w:t xml:space="preserve"> 4.14930] нм.</w:t>
      </w:r>
    </w:p>
    <w:p>
      <w:pPr>
        <w:pStyle w:val="Standard"/>
        <w:rPr>
          <w:lang w:val="ru-RU"/>
        </w:rPr>
      </w:pPr>
      <w:r>
        <w:rPr>
          <w:lang w:val="ru-RU"/>
        </w:rPr>
        <w:t xml:space="preserve">Использован </w:t>
      </w:r>
      <w:r>
        <w:rPr/>
        <w:t>Flexible</w:t>
      </w:r>
      <w:r>
        <w:rPr>
          <w:lang w:val="ru-RU"/>
        </w:rPr>
        <w:t xml:space="preserve"> </w:t>
      </w:r>
      <w:r>
        <w:rPr/>
        <w:t>Force</w:t>
      </w:r>
      <w:r>
        <w:rPr>
          <w:lang w:val="ru-RU"/>
        </w:rPr>
        <w:t xml:space="preserve"> </w:t>
      </w:r>
      <w:r>
        <w:rPr/>
        <w:t>Field</w:t>
      </w:r>
      <w:r>
        <w:rPr>
          <w:lang w:val="ru-RU"/>
        </w:rPr>
        <w:t xml:space="preserve"> </w:t>
      </w:r>
      <w:r>
        <w:rPr/>
        <w:t>for</w:t>
      </w:r>
      <w:r>
        <w:rPr>
          <w:lang w:val="ru-RU"/>
        </w:rPr>
        <w:t xml:space="preserve"> </w:t>
      </w:r>
      <w:r>
        <w:rPr/>
        <w:t>MOFs</w:t>
      </w:r>
      <w:r>
        <w:rPr>
          <w:lang w:val="ru-RU"/>
        </w:rPr>
        <w:t xml:space="preserve">, </w:t>
      </w:r>
      <w:r>
        <w:rPr/>
        <w:t>TrapPPE</w:t>
      </w:r>
      <w:r>
        <w:rPr>
          <w:lang w:val="ru-RU"/>
        </w:rPr>
        <w:t xml:space="preserve">, параметры ван дер ваальса </w:t>
      </w:r>
      <w:r>
        <w:rPr/>
        <w:t>UFF</w:t>
      </w:r>
    </w:p>
    <w:p>
      <w:pPr>
        <w:pStyle w:val="Standard"/>
        <w:rPr>
          <w:lang w:val="ru-RU"/>
        </w:rPr>
      </w:pPr>
      <w:r>
        <w:rPr>
          <w:lang w:val="ru-RU"/>
        </w:rPr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posOffset>266065</wp:posOffset>
            </wp:positionH>
            <wp:positionV relativeFrom="paragraph">
              <wp:posOffset>77470</wp:posOffset>
            </wp:positionV>
            <wp:extent cx="2866390" cy="2436495"/>
            <wp:effectExtent l="0" t="0" r="0" b="0"/>
            <wp:wrapSquare wrapText="bothSides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  <w:t xml:space="preserve">*Отдельная пора с </w:t>
      </w:r>
      <w:r>
        <w:rPr/>
        <w:t>TEMPO</w:t>
      </w:r>
      <w:r>
        <w:rPr>
          <w:lang w:val="ru-RU"/>
        </w:rPr>
        <w:t>.</w:t>
      </w:r>
    </w:p>
    <w:p>
      <w:pPr>
        <w:pStyle w:val="Standard"/>
        <w:rPr>
          <w:lang w:val="ru-RU"/>
        </w:rPr>
      </w:pPr>
      <w:r>
        <w:rPr>
          <w:lang w:val="ru-RU"/>
        </w:rPr>
        <w:t>Цветом показаны частичные атомные заряды в поре (синий цвет +</w:t>
      </w:r>
      <w:r>
        <w:rPr/>
        <w:t>q</w:t>
      </w:r>
      <w:r>
        <w:rPr>
          <w:lang w:val="ru-RU"/>
        </w:rPr>
        <w:t>, красный -</w:t>
      </w:r>
      <w:r>
        <w:rPr/>
        <w:t>q</w:t>
      </w:r>
      <w:r>
        <w:rPr>
          <w:lang w:val="ru-RU"/>
        </w:rPr>
        <w:t xml:space="preserve">), зеленой заливкой показан </w:t>
      </w:r>
      <w:r>
        <w:rPr/>
        <w:t>TEMPO</w:t>
      </w:r>
      <w:r>
        <w:rPr>
          <w:lang w:val="ru-RU"/>
        </w:rPr>
        <w:t>.</w:t>
      </w:r>
    </w:p>
    <w:p>
      <w:pPr>
        <w:pStyle w:val="Standard"/>
        <w:rPr>
          <w:lang w:val="ru-RU"/>
        </w:rPr>
      </w:pPr>
      <w:r>
        <w:rPr>
          <w:lang w:val="ru-RU"/>
        </w:rPr>
        <w:t>Моделирование производилось при 298 К, 100 нс.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/>
      </w:pPr>
      <w:r>
        <w:rPr>
          <w:i/>
          <w:iCs/>
        </w:rPr>
        <w:t xml:space="preserve">[1] </w:t>
      </w:r>
      <w:r>
        <w:rPr>
          <w:b/>
          <w:bCs/>
          <w:i/>
          <w:iCs/>
        </w:rPr>
        <w:t>Probing Gas Adsorption in Metal-Organic Framework ZIF-8 by EPR of Embedded Nitroxides</w:t>
      </w:r>
    </w:p>
    <w:p>
      <w:pPr>
        <w:pStyle w:val="Standard"/>
        <w:rPr>
          <w:i/>
          <w:i/>
          <w:iCs/>
        </w:rPr>
      </w:pPr>
      <w:r>
        <w:rPr>
          <w:i/>
          <w:iCs/>
        </w:rPr>
        <w:t>Sheveleva A., M.Anikeenko A. V., Fedin M. V.</w:t>
      </w:r>
    </w:p>
    <w:p>
      <w:pPr>
        <w:pStyle w:val="Standard"/>
        <w:rPr>
          <w:i/>
          <w:i/>
          <w:iCs/>
        </w:rPr>
      </w:pPr>
      <w:r>
        <w:rPr>
          <w:i/>
          <w:iCs/>
        </w:rPr>
        <w:t>Journal of Physical Chemistry C (2017)</w:t>
      </w:r>
    </w:p>
    <w:p>
      <w:pPr>
        <w:pStyle w:val="Standard"/>
        <w:rPr/>
      </w:pPr>
      <w:r>
        <w:rPr/>
        <w:t xml:space="preserve">[2] </w:t>
      </w:r>
      <w:r>
        <w:rPr>
          <w:rStyle w:val="Quotation"/>
          <w:b/>
          <w:bCs/>
        </w:rPr>
        <w:t>Probing the dynamics of CO2 and CH4 within the porous zirconium terephthalate UiO-66(Zr): A synergic combination of neutron scattering measurements and molecular simulations</w:t>
      </w:r>
    </w:p>
    <w:p>
      <w:pPr>
        <w:pStyle w:val="Standard"/>
        <w:rPr/>
      </w:pPr>
      <w:r>
        <w:rPr>
          <w:rStyle w:val="Quotation"/>
        </w:rPr>
        <w:t>Yang Q.Jobic H, Maurin G., chemistry - A European Journal (2011)</w:t>
      </w:r>
    </w:p>
    <w:p>
      <w:pPr>
        <w:pStyle w:val="Standard"/>
        <w:rPr/>
      </w:pPr>
      <w:r>
        <w:rPr>
          <w:rStyle w:val="Quotation"/>
          <w:i w:val="false"/>
          <w:iCs w:val="false"/>
        </w:rPr>
        <w:t>Использованы метода анализа:</w:t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91920" cy="254635"/>
            <wp:effectExtent l="0" t="0" r="0" b="0"/>
            <wp:wrapSquare wrapText="bothSides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>
          <w:rStyle w:val="Quotation"/>
          <w:i w:val="false"/>
          <w:iCs w:val="false"/>
        </w:rPr>
        <w:t>Radial distribution function (rdf):</w:t>
      </w:r>
    </w:p>
    <w:p>
      <w:pPr>
        <w:pStyle w:val="Standard"/>
        <w:rPr/>
      </w:pPr>
      <w:r>
        <w:rPr/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3070" cy="972185"/>
            <wp:effectExtent l="0" t="0" r="0" b="0"/>
            <wp:wrapSquare wrapText="bothSides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>
          <w:rStyle w:val="Quotation"/>
          <w:i w:val="false"/>
          <w:iCs w:val="false"/>
        </w:rPr>
        <w:t>Vector distribution function (vdf):</w:t>
      </w:r>
    </w:p>
    <w:p>
      <w:pPr>
        <w:pStyle w:val="Standard"/>
        <w:jc w:val="center"/>
        <w:rPr/>
      </w:pPr>
      <w:r>
        <w:rPr>
          <w:rStyle w:val="Quotation"/>
          <w:i w:val="false"/>
          <w:iCs w:val="false"/>
        </w:rPr>
        <w:t>v(θ, ϕ) = P(θ, ϕ) / max(P(θ, ϕ))</w:t>
      </w:r>
    </w:p>
    <w:p>
      <w:pPr>
        <w:pStyle w:val="Standard"/>
        <w:rPr/>
      </w:pPr>
      <w:r>
        <w:rPr>
          <w:rStyle w:val="Quotation"/>
          <w:i w:val="false"/>
          <w:iCs w:val="false"/>
        </w:rPr>
        <w:t>Rotational correlation function (rotacf):</w:t>
      </w:r>
    </w:p>
    <w:p>
      <w:pPr>
        <w:pStyle w:val="Standard"/>
        <w:jc w:val="center"/>
        <w:rPr>
          <w:rStyle w:val="Quotation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Standard"/>
        <w:rPr>
          <w:rStyle w:val="Quotation"/>
          <w:i w:val="false"/>
          <w:i w:val="false"/>
          <w:iCs w:val="false"/>
          <w:lang w:val="ru-RU"/>
        </w:rPr>
      </w:pPr>
      <w:r>
        <w:rPr>
          <w:rStyle w:val="Quotation"/>
          <w:i w:val="false"/>
          <w:iCs w:val="false"/>
        </w:rPr>
        <w:t>Inverse Laplace transform (L</w:t>
      </w:r>
      <w:r>
        <w:rPr>
          <w:rStyle w:val="Quotation"/>
          <w:i w:val="false"/>
          <w:iCs w:val="false"/>
          <w:vertAlign w:val="superscript"/>
        </w:rPr>
        <w:t>-1</w:t>
      </w:r>
      <w:r>
        <w:rPr>
          <w:rStyle w:val="Quotation"/>
          <w:i w:val="false"/>
          <w:iCs w:val="false"/>
        </w:rPr>
        <w:t>):</w:t>
      </w:r>
    </w:p>
    <w:p>
      <w:pPr>
        <w:pStyle w:val="Standard"/>
        <w:jc w:val="center"/>
        <w:rPr/>
      </w:pPr>
      <w:r>
        <w:rPr/>
        <w:drawing>
          <wp:inline distT="0" distB="0" distL="0" distR="0">
            <wp:extent cx="3061335" cy="576580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Quotation"/>
          <w:i w:val="false"/>
          <w:i w:val="false"/>
          <w:iCs w:val="false"/>
          <w:lang w:val="ru-RU"/>
        </w:rPr>
      </w:pPr>
      <w:r>
        <w:rPr>
          <w:rStyle w:val="Quotation"/>
          <w:i w:val="false"/>
          <w:iCs w:val="false"/>
          <w:lang w:val="ru-RU"/>
        </w:rPr>
        <w:t xml:space="preserve">Поскольку динамика сложная и </w:t>
      </w:r>
      <w:r>
        <w:rPr>
          <w:rStyle w:val="Quotation"/>
          <w:i w:val="false"/>
          <w:iCs w:val="false"/>
        </w:rPr>
        <w:t>rotacf</w:t>
      </w:r>
      <w:r>
        <w:rPr>
          <w:rStyle w:val="Quotation"/>
          <w:i w:val="false"/>
          <w:iCs w:val="false"/>
          <w:lang w:val="ru-RU"/>
        </w:rPr>
        <w:t xml:space="preserve"> не для всех модельных систем описывается как </w:t>
      </w:r>
      <w:r>
        <w:rPr>
          <w:rStyle w:val="Quotation"/>
          <w:i w:val="false"/>
          <w:iCs w:val="false"/>
        </w:rPr>
        <w:t>A</w:t>
      </w:r>
      <w:r>
        <w:rPr>
          <w:rStyle w:val="Quotation"/>
          <w:i w:val="false"/>
          <w:iCs w:val="false"/>
          <w:lang w:val="ru-RU"/>
        </w:rPr>
        <w:t>*</w:t>
      </w:r>
      <w:r>
        <w:rPr>
          <w:rStyle w:val="Quotation"/>
          <w:i w:val="false"/>
          <w:iCs w:val="false"/>
        </w:rPr>
        <w:t>exp</w:t>
      </w:r>
      <w:r>
        <w:rPr>
          <w:rStyle w:val="Quotation"/>
          <w:i w:val="false"/>
          <w:iCs w:val="false"/>
          <w:lang w:val="ru-RU"/>
        </w:rPr>
        <w:t>(-</w:t>
      </w:r>
      <w:r>
        <w:rPr>
          <w:rStyle w:val="Quotation"/>
          <w:i w:val="false"/>
          <w:iCs w:val="false"/>
        </w:rPr>
        <w:t>t</w:t>
      </w:r>
      <w:r>
        <w:rPr>
          <w:rStyle w:val="Quotation"/>
          <w:i w:val="false"/>
          <w:iCs w:val="false"/>
          <w:lang w:val="ru-RU"/>
        </w:rPr>
        <w:t xml:space="preserve"> / </w:t>
      </w:r>
      <w:r>
        <w:rPr>
          <w:rStyle w:val="Quotation"/>
          <w:i w:val="false"/>
          <w:iCs w:val="false"/>
        </w:rPr>
        <w:t>T</w:t>
      </w:r>
      <w:r>
        <w:rPr>
          <w:rStyle w:val="Quotation"/>
          <w:i w:val="false"/>
          <w:iCs w:val="false"/>
          <w:vertAlign w:val="subscript"/>
        </w:rPr>
        <w:t>cor</w:t>
      </w:r>
      <w:r>
        <w:rPr>
          <w:rStyle w:val="Quotation"/>
          <w:i w:val="false"/>
          <w:iCs w:val="false"/>
          <w:lang w:val="ru-RU"/>
        </w:rPr>
        <w:t xml:space="preserve">), полезным будет анализ изображения Лапласа функции </w:t>
      </w:r>
      <w:r>
        <w:rPr>
          <w:rStyle w:val="Quotation"/>
          <w:i w:val="false"/>
          <w:iCs w:val="false"/>
        </w:rPr>
        <w:t>rotacf</w:t>
      </w:r>
      <w:r>
        <w:rPr>
          <w:rStyle w:val="Quotation"/>
          <w:i w:val="false"/>
          <w:iCs w:val="false"/>
          <w:lang w:val="ru-RU"/>
        </w:rPr>
        <w:t xml:space="preserve">. Приняв </w:t>
      </w:r>
      <w:r>
        <w:rPr>
          <w:rStyle w:val="Quotation"/>
          <w:i w:val="false"/>
          <w:iCs w:val="false"/>
        </w:rPr>
        <w:t>s</w:t>
      </w:r>
      <w:r>
        <w:rPr>
          <w:rStyle w:val="Quotation"/>
          <w:i w:val="false"/>
          <w:iCs w:val="false"/>
          <w:lang w:val="ru-RU"/>
        </w:rPr>
        <w:t xml:space="preserve"> = 1/</w:t>
      </w:r>
      <w:r>
        <w:rPr>
          <w:rStyle w:val="Quotation"/>
          <w:i w:val="false"/>
          <w:iCs w:val="false"/>
        </w:rPr>
        <w:t>T</w:t>
      </w:r>
      <w:r>
        <w:rPr>
          <w:rStyle w:val="Quotation"/>
          <w:i w:val="false"/>
          <w:iCs w:val="false"/>
          <w:lang w:val="ru-RU"/>
        </w:rPr>
        <w:t xml:space="preserve"> перейдем к пространству времен затухания.</w:t>
      </w:r>
    </w:p>
    <w:p>
      <w:pPr>
        <w:pStyle w:val="Standard"/>
        <w:rPr>
          <w:lang w:val="ru-RU"/>
        </w:rPr>
      </w:pPr>
      <w:r>
        <w:rPr>
          <w:rStyle w:val="Quotation"/>
          <w:i w:val="false"/>
          <w:iCs w:val="false"/>
          <w:lang w:val="ru-RU"/>
        </w:rPr>
        <w:t xml:space="preserve">В частности, для </w:t>
      </w:r>
      <w:r>
        <w:rPr>
          <w:rStyle w:val="Quotation"/>
          <w:i w:val="false"/>
          <w:iCs w:val="false"/>
        </w:rPr>
        <w:t>rotacf</w:t>
      </w:r>
      <w:r>
        <w:rPr>
          <w:rStyle w:val="Quotation"/>
          <w:i w:val="false"/>
          <w:iCs w:val="false"/>
          <w:lang w:val="ru-RU"/>
        </w:rPr>
        <w:t>(</w:t>
      </w:r>
      <w:r>
        <w:rPr>
          <w:rStyle w:val="Quotation"/>
          <w:i w:val="false"/>
          <w:iCs w:val="false"/>
        </w:rPr>
        <w:t>t</w:t>
      </w:r>
      <w:r>
        <w:rPr>
          <w:rStyle w:val="Quotation"/>
          <w:i w:val="false"/>
          <w:iCs w:val="false"/>
          <w:lang w:val="ru-RU"/>
        </w:rPr>
        <w:t xml:space="preserve">) = </w:t>
      </w:r>
      <w:r>
        <w:rPr>
          <w:rStyle w:val="Quotation"/>
          <w:i w:val="false"/>
          <w:iCs w:val="false"/>
        </w:rPr>
        <w:t>A</w:t>
      </w:r>
      <w:r>
        <w:rPr>
          <w:rStyle w:val="Quotation"/>
          <w:i w:val="false"/>
          <w:iCs w:val="false"/>
          <w:lang w:val="ru-RU"/>
        </w:rPr>
        <w:t>*</w:t>
      </w:r>
      <w:r>
        <w:rPr>
          <w:rStyle w:val="Quotation"/>
          <w:i w:val="false"/>
          <w:iCs w:val="false"/>
        </w:rPr>
        <w:t>exp</w:t>
      </w:r>
      <w:r>
        <w:rPr>
          <w:rStyle w:val="Quotation"/>
          <w:i w:val="false"/>
          <w:iCs w:val="false"/>
          <w:lang w:val="ru-RU"/>
        </w:rPr>
        <w:t>(-</w:t>
      </w:r>
      <w:r>
        <w:rPr>
          <w:rStyle w:val="Quotation"/>
          <w:i w:val="false"/>
          <w:iCs w:val="false"/>
        </w:rPr>
        <w:t>t</w:t>
      </w:r>
      <w:r>
        <w:rPr>
          <w:rStyle w:val="Quotation"/>
          <w:i w:val="false"/>
          <w:iCs w:val="false"/>
          <w:lang w:val="ru-RU"/>
        </w:rPr>
        <w:t xml:space="preserve"> / </w:t>
      </w:r>
      <w:r>
        <w:rPr>
          <w:rStyle w:val="Quotation"/>
          <w:i w:val="false"/>
          <w:iCs w:val="false"/>
        </w:rPr>
        <w:t>T</w:t>
      </w:r>
      <w:r>
        <w:rPr>
          <w:rStyle w:val="Quotation"/>
          <w:i w:val="false"/>
          <w:iCs w:val="false"/>
          <w:vertAlign w:val="subscript"/>
        </w:rPr>
        <w:t>cor</w:t>
      </w:r>
      <w:r>
        <w:rPr>
          <w:rStyle w:val="Quotation"/>
          <w:i w:val="false"/>
          <w:iCs w:val="false"/>
          <w:lang w:val="ru-RU"/>
        </w:rPr>
        <w:t>) изображением будет дельта функция, для более сложной зависимости – “спектр” времен затухания.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/>
      </w:pPr>
      <w:r>
        <w:rPr>
          <w:i/>
          <w:iCs/>
        </w:rPr>
        <w:t xml:space="preserve">[1] </w:t>
      </w:r>
      <w:hyperlink r:id="rId7">
        <w:r>
          <w:rPr>
            <w:rStyle w:val="Quotation"/>
          </w:rPr>
          <w:t>https://en.wikipedia.org/wiki/Radial_distribution_function</w:t>
        </w:r>
      </w:hyperlink>
    </w:p>
    <w:p>
      <w:pPr>
        <w:pStyle w:val="Standard"/>
        <w:rPr/>
      </w:pPr>
      <w:r>
        <w:rPr>
          <w:i/>
          <w:iCs/>
        </w:rPr>
        <w:t xml:space="preserve">[2] </w:t>
      </w:r>
      <w:hyperlink r:id="rId8">
        <w:r>
          <w:rPr>
            <w:rStyle w:val="Quotation"/>
          </w:rPr>
          <w:t>https://manual.gromacs.org/current/onlinehelp/gmx-rotacf.html</w:t>
        </w:r>
      </w:hyperlink>
    </w:p>
    <w:p>
      <w:pPr>
        <w:pStyle w:val="Standard"/>
        <w:rPr/>
      </w:pPr>
      <w:r>
        <w:rPr>
          <w:rStyle w:val="Quotation"/>
        </w:rPr>
        <w:t xml:space="preserve">[3] </w:t>
      </w:r>
      <w:hyperlink r:id="rId9">
        <w:r>
          <w:rPr>
            <w:rStyle w:val="Quotation"/>
          </w:rPr>
          <w:t>https://stats.libretexts.org/Bookshelves/Probability_Theory/Applied_Probability_(Pfeiffer)/08%3A_Random_Vectors_and_Joint_Distributions/8.01%3A_Random_Vectors_and_Joint_Distributions</w:t>
        </w:r>
      </w:hyperlink>
    </w:p>
    <w:p>
      <w:pPr>
        <w:pStyle w:val="Standard"/>
        <w:rPr/>
      </w:pPr>
      <w:r>
        <w:rPr>
          <w:rStyle w:val="Quotation"/>
        </w:rPr>
        <w:t xml:space="preserve">[4] </w:t>
      </w:r>
      <w:r>
        <w:rPr/>
        <w:t>https://en.wikipedia.org/wiki/Laplace_transform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lang w:val="ru-RU"/>
        </w:rPr>
      </w:pPr>
      <w:r>
        <w:rPr>
          <w:lang w:val="ru-RU"/>
        </w:rPr>
        <w:drawing>
          <wp:anchor behindDoc="0" distT="0" distB="0" distL="114300" distR="114300" simplePos="0" locked="0" layoutInCell="0" allowOverlap="1" relativeHeight="7">
            <wp:simplePos x="0" y="0"/>
            <wp:positionH relativeFrom="page">
              <wp:posOffset>766445</wp:posOffset>
            </wp:positionH>
            <wp:positionV relativeFrom="page">
              <wp:posOffset>6234430</wp:posOffset>
            </wp:positionV>
            <wp:extent cx="2906395" cy="2458085"/>
            <wp:effectExtent l="0" t="0" r="0" b="0"/>
            <wp:wrapSquare wrapText="bothSides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8">
            <wp:simplePos x="0" y="0"/>
            <wp:positionH relativeFrom="page">
              <wp:posOffset>4171950</wp:posOffset>
            </wp:positionH>
            <wp:positionV relativeFrom="page">
              <wp:posOffset>6219825</wp:posOffset>
            </wp:positionV>
            <wp:extent cx="3079750" cy="2522855"/>
            <wp:effectExtent l="0" t="0" r="0" b="0"/>
            <wp:wrapSquare wrapText="bothSides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i/>
          <w:i/>
          <w:iCs/>
          <w:lang w:val="ru-RU"/>
        </w:rPr>
      </w:pPr>
      <w:r>
        <w:rPr>
          <w:i/>
          <w:iCs/>
          <w:lang w:val="ru-RU"/>
        </w:rPr>
        <w:t>Слева — замена линкера на терефталиевую кислоту, справа — моделирование адсорбции воды</w:t>
      </w:r>
    </w:p>
    <w:p>
      <w:pPr>
        <w:pStyle w:val="Standard"/>
        <w:rPr>
          <w:lang w:val="ru-RU"/>
        </w:rPr>
      </w:pPr>
      <w:r>
        <w:rPr>
          <w:lang w:val="ru-RU"/>
        </w:rPr>
        <w:t xml:space="preserve">Динамика </w:t>
      </w:r>
      <w:r>
        <w:rPr/>
        <w:t>TEMPO</w:t>
      </w:r>
      <w:r>
        <w:rPr>
          <w:lang w:val="ru-RU"/>
        </w:rPr>
        <w:t xml:space="preserve"> в поре </w:t>
      </w:r>
      <w:r>
        <w:rPr/>
        <w:t>UIO</w:t>
      </w:r>
      <w:r>
        <w:rPr>
          <w:lang w:val="ru-RU"/>
        </w:rPr>
        <w:t>-66</w:t>
      </w:r>
    </w:p>
    <w:p>
      <w:pPr>
        <w:pStyle w:val="Standard"/>
        <w:rPr>
          <w:lang w:val="ru-RU"/>
        </w:rPr>
      </w:pPr>
      <w:r>
        <w:rPr/>
      </w:r>
    </w:p>
    <w:tbl>
      <w:tblPr>
        <w:tblW w:w="9807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noHBand="0" w:noVBand="0" w:firstColumn="0" w:lastRow="0" w:lastColumn="0" w:firstRow="0"/>
      </w:tblPr>
      <w:tblGrid>
        <w:gridCol w:w="2068"/>
        <w:gridCol w:w="1262"/>
        <w:gridCol w:w="2431"/>
        <w:gridCol w:w="1978"/>
        <w:gridCol w:w="2068"/>
      </w:tblGrid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System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Removed clusters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Removed linkers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Added terephthalic acid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 cor, ns</w:t>
            </w:r>
          </w:p>
        </w:tc>
      </w:tr>
      <w:tr>
        <w:trPr/>
        <w:tc>
          <w:tcPr>
            <w:tcW w:w="20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9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0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false"/>
              <w:rPr>
                <w:lang w:val="ru-RU"/>
              </w:rPr>
            </w:pPr>
            <w:r>
              <w:rPr>
                <w:lang w:val="ru-RU"/>
              </w:rPr>
              <w:t>0.2061503758170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false"/>
              <w:rPr>
                <w:lang w:val="ru-RU"/>
              </w:rPr>
            </w:pPr>
            <w:r>
              <w:rPr>
                <w:lang w:val="ru-RU"/>
              </w:rPr>
              <w:t>0.8164622223609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2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false"/>
              <w:rPr>
                <w:lang w:val="ru-RU"/>
              </w:rPr>
            </w:pPr>
            <w:r>
              <w:rPr>
                <w:lang w:val="ru-RU"/>
              </w:rPr>
              <w:t>1.4437692351542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3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false"/>
              <w:rPr>
                <w:lang w:val="ru-RU"/>
              </w:rPr>
            </w:pPr>
            <w:r>
              <w:rPr>
                <w:lang w:val="ru-RU"/>
              </w:rPr>
              <w:t>1.</w:t>
            </w:r>
            <w:r>
              <w:rPr>
                <w:lang w:val="ru-RU"/>
              </w:rPr>
              <w:t>8</w:t>
            </w:r>
            <w:r>
              <w:rPr>
                <w:lang w:val="ru-RU"/>
              </w:rPr>
              <w:t>978775159391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large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2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large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3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3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large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1.0501028307998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2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1.6505165216858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3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2.3550508507964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large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2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large</w:t>
            </w:r>
          </w:p>
        </w:tc>
      </w:tr>
      <w:tr>
        <w:trPr/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3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3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large</w:t>
            </w:r>
          </w:p>
        </w:tc>
      </w:tr>
    </w:tbl>
    <w:p>
      <w:pPr>
        <w:pStyle w:val="Normal"/>
        <w:suppressAutoHyphens w:val="false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170815</wp:posOffset>
            </wp:positionH>
            <wp:positionV relativeFrom="paragraph">
              <wp:posOffset>135255</wp:posOffset>
            </wp:positionV>
            <wp:extent cx="5307330" cy="322834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960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false"/>
        <w:rPr>
          <w:lang w:val="ru-RU"/>
        </w:rPr>
      </w:pPr>
      <w:r>
        <w:rPr>
          <w:lang w:val="ru-RU"/>
        </w:rPr>
      </w:r>
    </w:p>
    <w:p>
      <w:pPr>
        <w:pStyle w:val="Normal"/>
        <w:suppressAutoHyphens w:val="false"/>
        <w:rPr>
          <w:lang w:val="ru-RU"/>
        </w:rPr>
      </w:pPr>
      <w:r>
        <w:rPr>
          <w:lang w:val="ru-RU"/>
        </w:rPr>
      </w:r>
    </w:p>
    <w:p>
      <w:pPr>
        <w:pStyle w:val="Normal"/>
        <w:suppressAutoHyphens w:val="false"/>
        <w:rPr>
          <w:lang w:val="ru-RU"/>
        </w:rPr>
      </w:pPr>
      <w:r>
        <w:rPr>
          <w:lang w:val="ru-RU"/>
        </w:rPr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>
          <w:i/>
          <w:iCs/>
        </w:rPr>
        <w:t>Время вращательной корреляции TEMPO in UIO-66</w:t>
      </w:r>
    </w:p>
    <w:p>
      <w:pPr>
        <w:pStyle w:val="Standard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Standard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t>При удалении кластеров качественно та же самая картинка, только пики немного съезжают вправо. При замене линкеров на терефталиевую кислоту иммобилизация.</w:t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975995</wp:posOffset>
            </wp:positionH>
            <wp:positionV relativeFrom="paragraph">
              <wp:posOffset>-208280</wp:posOffset>
            </wp:positionV>
            <wp:extent cx="4655820" cy="35604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/>
      </w:r>
    </w:p>
    <w:p>
      <w:pPr>
        <w:pStyle w:val="Standard"/>
        <w:jc w:val="center"/>
        <w:rPr>
          <w:i/>
          <w:i/>
          <w:iCs/>
          <w:lang w:val="ru-RU"/>
        </w:rPr>
      </w:pPr>
      <w:r>
        <w:rPr>
          <w:i/>
          <w:iCs/>
        </w:rPr>
        <w:t>Пример rotacf для TEMPO in UIO-66; 2 linkers removed</w:t>
      </w:r>
      <w:r>
        <w:br w:type="page"/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86"/>
        <w:gridCol w:w="4986"/>
      </w:tblGrid>
      <w:tr>
        <w:trPr/>
        <w:tc>
          <w:tcPr>
            <w:tcW w:w="4986" w:type="dxa"/>
            <w:tcBorders/>
          </w:tcPr>
          <w:p>
            <w:pPr>
              <w:pStyle w:val="TableContents"/>
              <w:pageBreakBefore/>
              <w:rPr/>
            </w:pPr>
            <w:r>
              <w:rPr/>
              <w:drawing>
                <wp:inline distT="0" distB="0" distL="0" distR="0">
                  <wp:extent cx="3096895" cy="2322830"/>
                  <wp:effectExtent l="0" t="0" r="0" b="0"/>
                  <wp:docPr id="10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895" cy="232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  <w:t>RDF TEMPO ALL</w:t>
            </w:r>
          </w:p>
        </w:tc>
        <w:tc>
          <w:tcPr>
            <w:tcW w:w="4986" w:type="dxa"/>
            <w:tcBorders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3013710" cy="2260600"/>
                  <wp:effectExtent l="0" t="0" r="0" b="0"/>
                  <wp:docPr id="11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71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  <w:t>RDF TEMPO ALL; removed 1</w:t>
            </w:r>
          </w:p>
        </w:tc>
      </w:tr>
      <w:tr>
        <w:trPr/>
        <w:tc>
          <w:tcPr>
            <w:tcW w:w="4986" w:type="dxa"/>
            <w:tcBorders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3037840" cy="2278380"/>
                  <wp:effectExtent l="0" t="0" r="0" b="0"/>
                  <wp:docPr id="12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840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  <w:t>RDF TEMPO N</w:t>
            </w:r>
          </w:p>
        </w:tc>
        <w:tc>
          <w:tcPr>
            <w:tcW w:w="4986" w:type="dxa"/>
            <w:tcBorders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3082925" cy="2312035"/>
                  <wp:effectExtent l="0" t="0" r="0" b="0"/>
                  <wp:docPr id="13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92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RDF TEMPO N; removed 1</w:t>
            </w:r>
          </w:p>
        </w:tc>
      </w:tr>
    </w:tbl>
    <w:p>
      <w:pPr>
        <w:pStyle w:val="Standard"/>
        <w:jc w:val="center"/>
        <w:rPr/>
      </w:pPr>
      <w:r>
        <w:rPr/>
      </w:r>
      <w:r>
        <w:br w:type="page"/>
      </w:r>
    </w:p>
    <w:p>
      <w:pPr>
        <w:pStyle w:val="Standard"/>
        <w:rPr/>
      </w:pPr>
      <w:r>
        <w:rPr>
          <w:rStyle w:val="Quotation"/>
          <w:i w:val="false"/>
          <w:iCs w:val="false"/>
          <w:lang w:val="ru-RU"/>
        </w:rPr>
        <w:t>Влияние воды</w:t>
      </w:r>
    </w:p>
    <w:tbl>
      <w:tblPr>
        <w:tblW w:w="8386" w:type="dxa"/>
        <w:jc w:val="left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val="0000" w:noHBand="0" w:noVBand="0" w:firstColumn="0" w:lastRow="0" w:lastColumn="0" w:firstRow="0"/>
      </w:tblPr>
      <w:tblGrid>
        <w:gridCol w:w="1991"/>
        <w:gridCol w:w="1310"/>
        <w:gridCol w:w="1563"/>
        <w:gridCol w:w="1213"/>
        <w:gridCol w:w="2309"/>
      </w:tblGrid>
      <w:tr>
        <w:trPr/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System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Removed linkers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Water in system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Water per pore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 cor, ns</w:t>
            </w:r>
          </w:p>
        </w:tc>
      </w:tr>
      <w:tr>
        <w:trPr/>
        <w:tc>
          <w:tcPr>
            <w:tcW w:w="199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3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5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0.</w:t>
            </w:r>
            <w:r>
              <w:rPr/>
              <w:t>0</w:t>
            </w:r>
          </w:p>
        </w:tc>
        <w:tc>
          <w:tcPr>
            <w:tcW w:w="23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andard"/>
              <w:rPr>
                <w:lang w:val="ru-RU"/>
              </w:rPr>
            </w:pPr>
            <w:r>
              <w:rPr>
                <w:lang w:val="ru-RU"/>
              </w:rPr>
              <w:t>0.20615037581700780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64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0.5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andard"/>
              <w:rPr>
                <w:lang w:val="ru-RU"/>
              </w:rPr>
            </w:pPr>
            <w:r>
              <w:rPr>
                <w:lang w:val="ru-RU"/>
              </w:rPr>
              <w:t>0.14430526307190547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128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andard"/>
              <w:rPr>
                <w:lang w:val="ru-RU"/>
              </w:rPr>
            </w:pPr>
            <w:r>
              <w:rPr>
                <w:lang w:val="ru-RU"/>
              </w:rPr>
              <w:t>0.13687623104267602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256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2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andard"/>
              <w:rPr>
                <w:lang w:val="ru-RU"/>
              </w:rPr>
            </w:pPr>
            <w:r>
              <w:rPr>
                <w:lang w:val="ru-RU"/>
              </w:rPr>
              <w:t>0.8096699813149004</w:t>
            </w:r>
            <w:r>
              <w:rPr>
                <w:lang w:val="ru-RU"/>
              </w:rPr>
              <w:t>0</w:t>
            </w:r>
          </w:p>
        </w:tc>
      </w:tr>
      <w:tr>
        <w:trPr/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1038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8.1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large</w:t>
            </w:r>
          </w:p>
        </w:tc>
      </w:tr>
      <w:tr>
        <w:trPr/>
        <w:tc>
          <w:tcPr>
            <w:tcW w:w="199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TEMPO in UIO-66</w:t>
            </w:r>
          </w:p>
        </w:tc>
        <w:tc>
          <w:tcPr>
            <w:tcW w:w="13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5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128</w:t>
            </w:r>
          </w:p>
        </w:tc>
        <w:tc>
          <w:tcPr>
            <w:tcW w:w="1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23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0.13883374462384213</w:t>
            </w:r>
          </w:p>
        </w:tc>
      </w:tr>
    </w:tbl>
    <w:p>
      <w:pPr>
        <w:pStyle w:val="Standard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292100</wp:posOffset>
            </wp:positionH>
            <wp:positionV relativeFrom="paragraph">
              <wp:posOffset>16510</wp:posOffset>
            </wp:positionV>
            <wp:extent cx="5852160" cy="4389120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jc w:val="center"/>
        <w:rPr>
          <w:i/>
          <w:i/>
          <w:iCs/>
          <w:lang w:val="ru-RU"/>
        </w:rPr>
      </w:pPr>
      <w:r>
        <w:rPr>
          <w:i/>
          <w:iCs/>
        </w:rPr>
        <w:t>Время вращательной корреляции TEMPO in UIO-66 + water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lang w:val="ru-RU"/>
        </w:rPr>
        <w:t>1</w:t>
      </w:r>
      <w:r>
        <w:br w:type="page"/>
      </w:r>
    </w:p>
    <w:p>
      <w:pPr>
        <w:pStyle w:val="Standard"/>
        <w:rPr>
          <w:lang w:val="ru-RU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DejaVu Sans" w:cs="DejaVu Sans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Quotation" w:customStyle="1">
    <w:name w:val="Quotation"/>
    <w:qFormat/>
    <w:rPr>
      <w:i/>
      <w:iCs/>
    </w:rPr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NumberingSymbols" w:customStyle="1">
    <w:name w:val="Numbering Symbols"/>
    <w:qFormat/>
    <w:rPr/>
  </w:style>
  <w:style w:type="character" w:styleId="InternetLink1">
    <w:name w:val="Hyperlink"/>
    <w:rPr>
      <w:color w:val="000080"/>
      <w:u w:val="single"/>
    </w:rPr>
  </w:style>
  <w:style w:type="paragraph" w:styleId="Heading" w:customStyle="1">
    <w:name w:val="Heading"/>
    <w:basedOn w:val="Standard"/>
    <w:next w:val="Textbody1"/>
    <w:qFormat/>
    <w:pPr>
      <w:keepNext w:val="true"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1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DejaVu Sans" w:cs="DejaVu Sans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1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Standard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PreformattedText" w:customStyle="1">
    <w:name w:val="Preformatted Text"/>
    <w:basedOn w:val="Standard"/>
    <w:qFormat/>
    <w:pPr/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en.wikipedia.org/wiki/Radial_distribution_function" TargetMode="External"/><Relationship Id="rId8" Type="http://schemas.openxmlformats.org/officeDocument/2006/relationships/hyperlink" Target="https://manual.gromacs.org/current/onlinehelp/gmx-rotacf.html" TargetMode="External"/><Relationship Id="rId9" Type="http://schemas.openxmlformats.org/officeDocument/2006/relationships/hyperlink" Target="https://stats.libretexts.org/Bookshelves/Probability_Theory/Applied_Probability_(Pfeiffer)/08%3A_Random_Vectors_and_Joint_Distributions/8.01%3A_Random_Vectors_and_Joint_Distributions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Application>LibreOffice/7.4.7.2$Linux_X86_64 LibreOffice_project/40$Build-2</Application>
  <AppVersion>15.0000</AppVersion>
  <Pages>7</Pages>
  <Words>449</Words>
  <Characters>2732</Characters>
  <CharactersWithSpaces>3042</CharactersWithSpaces>
  <Paragraphs>146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2024-02-03T10:30:00Z</dcterms:created>
  <dc:creator>sc_enigma</dc:creator>
  <dc:description/>
  <dc:language>en-US</dc:language>
  <cp:lastModifiedBy/>
  <dcterms:modified xsi:type="dcterms:W3CDTF">2024-02-06T17:50:51Z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