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lastRenderedPageBreak/>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5ED5C1C2"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 xml:space="preserve">la proximidad </w:t>
      </w:r>
      <w:r w:rsidR="00687CA5">
        <w:rPr>
          <w:rFonts w:cstheme="minorHAnsi"/>
          <w:highlight w:val="yellow"/>
        </w:rPr>
        <w:t xml:space="preserve">ɸ </w:t>
      </w:r>
      <w:r w:rsidRPr="0017173D">
        <w:rPr>
          <w:highlight w:val="yellow"/>
        </w:rPr>
        <w:t>entre los productos i y j es el mínimo de las probabilidades condicionales por pares de que un país exporte un bien dado que exporta otro.</w:t>
      </w:r>
      <w:r w:rsidR="00687CA5">
        <w:t xml:space="preserve"> </w:t>
      </w:r>
      <w:r w:rsidR="00687CA5" w:rsidRPr="00687CA5">
        <w:t>Nuestra medida de similitud entre los productos i y j se basa en la probabilidad condicional de tener Ventaja Comparativa Revelada</w:t>
      </w:r>
      <w:r w:rsidR="00687CA5">
        <w:t xml:space="preserve">, </w:t>
      </w:r>
      <w:r w:rsidR="00687CA5" w:rsidRPr="00687CA5">
        <w:t>que mide si un país es un exportador efectivo (RCA&gt;1) de un determinado bien i o no (RCA&lt;1), dado que el país tiene ventaja comparativa en el bien j en el momento t, y viceversa. Tomamos el mínimo de las probabilidades condicionales por pares para tener una medida estricta y simétrica</w:t>
      </w:r>
      <w:r w:rsidR="00687CA5">
        <w:t>.</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w:t>
      </w:r>
      <w:proofErr w:type="spellStart"/>
      <w:r>
        <w:t>Feenstra</w:t>
      </w:r>
      <w:proofErr w:type="spellEnd"/>
      <w:r>
        <w:t xml:space="preserve">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2142F1B6" w14:textId="77777777" w:rsidR="00687974"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el espacio de productos de la Fig. 1A parece ser modular (17, 18), con algunos bienes altamente conectados y otros desconectados</w:t>
      </w:r>
      <w:r w:rsidRPr="002767EE">
        <w:t xml:space="preserve">. Además, en su conjunto, el espacio del producto es </w:t>
      </w:r>
      <w:r w:rsidR="00687CA5">
        <w:t>dispers</w:t>
      </w:r>
      <w:r w:rsidRPr="002767EE">
        <w:t xml:space="preserve">o, con </w:t>
      </w:r>
      <w:proofErr w:type="spellStart"/>
      <w:r w:rsidR="00687CA5">
        <w:rPr>
          <w:rFonts w:cstheme="minorHAnsi"/>
          <w:highlight w:val="yellow"/>
        </w:rPr>
        <w:t>ɸ</w:t>
      </w:r>
      <w:r w:rsidRPr="002767EE">
        <w:t>ij</w:t>
      </w:r>
      <w:proofErr w:type="spellEnd"/>
      <w:r w:rsidRPr="002767EE">
        <w:t xml:space="preserve"> distribuidos según una distribución amplia (fig. S2) con el 5 % de sus elementos iguales a cero, el 32 % de ellos menores que 0,1 y el 65 % </w:t>
      </w:r>
      <w:r w:rsidRPr="002767EE">
        <w:lastRenderedPageBreak/>
        <w:t xml:space="preserve">de las entradas tomando valores por debajo de 0,2. Este número sustancial de conexiones insignificantes exige una representación de red (19), lo que nos permite explorar la estructura del espacio del producto junto con la proximidad entre productos de clasificaciones dadas y la participación en el comercio mundial. </w:t>
      </w:r>
    </w:p>
    <w:p w14:paraId="482A2ADC" w14:textId="4C02C4C1" w:rsidR="009663D2" w:rsidRPr="0044112E" w:rsidRDefault="002767EE" w:rsidP="009663D2">
      <w:pPr>
        <w:jc w:val="both"/>
        <w:rPr>
          <w:lang w:val="en-US"/>
        </w:rPr>
      </w:pPr>
      <w:r w:rsidRPr="00766F93">
        <w:rPr>
          <w:highlight w:val="yellow"/>
        </w:rPr>
        <w:t>Para ofrecer una visualización en la que se incluyen los 775 productos, llegamos a todos los nodos calculando el árbol de expansión máximo, que incluye los 774 enlaces que maximizan la proximidad añadida del árbol</w:t>
      </w:r>
      <w:r w:rsidRPr="002767EE">
        <w:t xml:space="preserve"> (fig. S4) </w:t>
      </w:r>
      <w:r w:rsidRPr="00766F93">
        <w:rPr>
          <w:highlight w:val="yellow"/>
        </w:rPr>
        <w:t>y superponemos todos los enlaces con una proximidad superior a 0,55 (figs. S5 y S6). Este conjunto de 1525 enlaces se utiliza para visualizar la estructura de la matriz de proximidad completa, que está lejos de ser homogénea y parece tener una estructura de centro-periferia</w:t>
      </w:r>
      <w:r w:rsidRPr="002767EE">
        <w:t xml:space="preserve">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02A37556" w14:textId="2CECD8AC"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b/>
          <w:bCs/>
        </w:rPr>
        <w:t>Árbol de expansión máximo (MST).</w:t>
      </w:r>
      <w:r w:rsidRPr="00EF1BC8">
        <w:t xml:space="preserve"> Para incluir todos los productos en nuestra red generamos un "esqueleto" para ello: el Árbol de expansión máximo (MST). Esto no es más que el árbol que contiene </w:t>
      </w:r>
      <w:r>
        <w:t>l</w:t>
      </w:r>
      <w:r w:rsidRPr="00EF1BC8">
        <w:t>a suma de pesos que es máxima. En otras palabras, es el conjunto de N-1 enlaces (siendo N el número de nodos) que conectan todos los nodos de la red y maximiza la suma de las proximidades en ella. Generamos el MST considerando el valor no diagonal más fuerte de la matriz de proximidad y luego consideramos el enlace más fuerte conectado a esa díada. Luego seleccionamos el enlace más fuerte que conecta un nuevo nodo a nuestra tríada y continuamos agregando enlaces hasta que se consideraron todos los nodos en la red (Figura S4).</w:t>
      </w:r>
    </w:p>
    <w:p w14:paraId="2C7FF52F" w14:textId="1C0948F6"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highlight w:val="yellow"/>
        </w:rPr>
        <w:t>También queríamos considerar los enlaces más fuertes que no están necesariamente en el MST.</w:t>
      </w:r>
      <w:r w:rsidRPr="00EF1BC8">
        <w:t xml:space="preserve"> </w:t>
      </w:r>
      <w:r w:rsidRPr="00EF1BC8">
        <w:rPr>
          <w:highlight w:val="yellow"/>
        </w:rPr>
        <w:t>Hicimos esto considerando el MST más todos los enlaces por encima de cierto umbral.</w:t>
      </w:r>
      <w:r w:rsidRPr="00EF1BC8">
        <w:t xml:space="preserve"> Se obtuvo una visualización adecuada manteniendo todos los enlaces con un valor de proximidad de 0,55 o mayor (Fig. S5). Esto resultó en una red con 775 nodos y 1525 enlaces. Los valores de proximidad más bajos dieron lugar a representaciones de redes abarrotadas, mientras que los valores más altos dieron como resultado redes escasas. </w:t>
      </w:r>
      <w:r w:rsidRPr="00EF1BC8">
        <w:rPr>
          <w:highlight w:val="yellow"/>
        </w:rPr>
        <w:t>Como regla general, se puede lograr una buena visualización de la red con un grado promedio igual a 4. Esto es cuando el número de enlaces es el doble que el de los nodos, que es el caso del umbral de 0,55.</w:t>
      </w:r>
    </w:p>
    <w:p w14:paraId="113668B8" w14:textId="76414258" w:rsidR="00EF1BC8" w:rsidRDefault="00676B32" w:rsidP="00EF1BC8">
      <w:pPr>
        <w:pBdr>
          <w:top w:val="single" w:sz="4" w:space="1" w:color="auto"/>
          <w:left w:val="single" w:sz="4" w:space="4" w:color="auto"/>
          <w:bottom w:val="single" w:sz="4" w:space="1" w:color="auto"/>
          <w:right w:val="single" w:sz="4" w:space="4" w:color="auto"/>
        </w:pBdr>
        <w:jc w:val="both"/>
      </w:pPr>
      <w:r w:rsidRPr="00676B32">
        <w:rPr>
          <w:b/>
          <w:bCs/>
        </w:rPr>
        <w:t>Diseño de la red</w:t>
      </w:r>
      <w:r>
        <w:t>.</w:t>
      </w:r>
      <w:r w:rsidRPr="00676B32">
        <w:t xml:space="preserve"> Una buena visualización de la red requiere un </w:t>
      </w:r>
      <w:proofErr w:type="spellStart"/>
      <w:r w:rsidRPr="00676B32">
        <w:t>diseñ</w:t>
      </w:r>
      <w:r w:rsidR="00C07242">
        <w:t>T</w:t>
      </w:r>
      <w:r w:rsidRPr="00676B32">
        <w:t>o</w:t>
      </w:r>
      <w:proofErr w:type="spellEnd"/>
      <w:r w:rsidRPr="00676B32">
        <w:t xml:space="preserve"> adecuado. Es por eso </w:t>
      </w:r>
      <w:proofErr w:type="gramStart"/>
      <w:r w:rsidRPr="00676B32">
        <w:t>que</w:t>
      </w:r>
      <w:proofErr w:type="gramEnd"/>
      <w:r w:rsidRPr="00676B32">
        <w:t xml:space="preserve"> diseñamos la red utilizando un algoritmo </w:t>
      </w:r>
      <w:proofErr w:type="spellStart"/>
      <w:r>
        <w:t>spring</w:t>
      </w:r>
      <w:proofErr w:type="spellEnd"/>
      <w:r w:rsidRPr="00676B32">
        <w:t>. Aquí los nodos se representan como partículas igualmente cargadas y se supone que los enlaces son resortes</w:t>
      </w:r>
      <w:r>
        <w:t xml:space="preserve"> (</w:t>
      </w:r>
      <w:proofErr w:type="spellStart"/>
      <w:r>
        <w:t>springs</w:t>
      </w:r>
      <w:proofErr w:type="spellEnd"/>
      <w:r>
        <w:t>)</w:t>
      </w:r>
      <w:r w:rsidRPr="00676B32">
        <w:t>. El diseño está determinado por las posiciones relajadas.</w:t>
      </w:r>
      <w:r w:rsidR="00C07242">
        <w:t xml:space="preserve"> </w:t>
      </w:r>
    </w:p>
    <w:p w14:paraId="79E368C6" w14:textId="15B0D9C1" w:rsidR="00676B32" w:rsidRDefault="00676B32" w:rsidP="00EF1BC8">
      <w:pPr>
        <w:pBdr>
          <w:top w:val="single" w:sz="4" w:space="1" w:color="auto"/>
          <w:left w:val="single" w:sz="4" w:space="4" w:color="auto"/>
          <w:bottom w:val="single" w:sz="4" w:space="1" w:color="auto"/>
          <w:right w:val="single" w:sz="4" w:space="4" w:color="auto"/>
        </w:pBdr>
        <w:jc w:val="both"/>
      </w:pPr>
      <w:r w:rsidRPr="00676B32">
        <w:t xml:space="preserve">Una ventaja de usar una representación de red es que podemos mirar simultáneamente la estructura del espacio y otras covariables. En nuestro caso, </w:t>
      </w:r>
      <w:r w:rsidRPr="00676B32">
        <w:rPr>
          <w:highlight w:val="yellow"/>
        </w:rPr>
        <w:t xml:space="preserve">pintamos la red utilizando las clasificaciones de productos realizadas por </w:t>
      </w:r>
      <w:proofErr w:type="spellStart"/>
      <w:proofErr w:type="gramStart"/>
      <w:r w:rsidRPr="00676B32">
        <w:rPr>
          <w:highlight w:val="yellow"/>
        </w:rPr>
        <w:t>Leamer</w:t>
      </w:r>
      <w:proofErr w:type="spellEnd"/>
      <w:r w:rsidRPr="00676B32">
        <w:rPr>
          <w:highlight w:val="yellow"/>
        </w:rPr>
        <w:t>[</w:t>
      </w:r>
      <w:proofErr w:type="gramEnd"/>
      <w:r w:rsidRPr="00676B32">
        <w:rPr>
          <w:highlight w:val="yellow"/>
        </w:rPr>
        <w:t xml:space="preserve">1] e hicimos que el tamaño de los nodos fuera proporcional al dinero movido por esa industria en particular o </w:t>
      </w:r>
      <w:proofErr w:type="spellStart"/>
      <w:r w:rsidRPr="00676B32">
        <w:rPr>
          <w:highlight w:val="yellow"/>
        </w:rPr>
        <w:t>World</w:t>
      </w:r>
      <w:proofErr w:type="spellEnd"/>
      <w:r w:rsidRPr="00676B32">
        <w:rPr>
          <w:highlight w:val="yellow"/>
        </w:rPr>
        <w:t xml:space="preserve"> </w:t>
      </w:r>
      <w:proofErr w:type="spellStart"/>
      <w:r w:rsidRPr="00676B32">
        <w:rPr>
          <w:highlight w:val="yellow"/>
        </w:rPr>
        <w:t>Trade</w:t>
      </w:r>
      <w:proofErr w:type="spellEnd"/>
      <w:r w:rsidRPr="00676B32">
        <w:rPr>
          <w:highlight w:val="yellow"/>
        </w:rPr>
        <w:t>. Para dar una idea de la proximidad de los enlaces involucrados en nuestra representación de red, los codificamos por colores usando rojo oscuro y azul para enlaces fuertes; y amarillo y azul claro para los más débiles.</w:t>
      </w:r>
    </w:p>
    <w:p w14:paraId="49560C31" w14:textId="24E29A8B" w:rsidR="00EF1BC8" w:rsidRDefault="00EF1BC8" w:rsidP="009663D2">
      <w:pPr>
        <w:jc w:val="both"/>
      </w:pPr>
    </w:p>
    <w:p w14:paraId="244F94B9" w14:textId="77777777" w:rsidR="00EF1BC8" w:rsidRDefault="00EF1BC8" w:rsidP="009663D2">
      <w:pPr>
        <w:jc w:val="both"/>
      </w:pPr>
    </w:p>
    <w:p w14:paraId="220BBC8C" w14:textId="374D178F" w:rsidR="00EF1BC8" w:rsidRDefault="00EF1BC8" w:rsidP="009663D2">
      <w:pPr>
        <w:jc w:val="both"/>
      </w:pPr>
    </w:p>
    <w:p w14:paraId="238D947B" w14:textId="0985E9C2" w:rsidR="00EF1BC8" w:rsidRDefault="00EF1BC8" w:rsidP="009663D2">
      <w:pPr>
        <w:jc w:val="both"/>
      </w:pPr>
    </w:p>
    <w:p w14:paraId="71657E5B" w14:textId="5DAD62D1" w:rsidR="00EF1BC8" w:rsidRDefault="00EF1BC8" w:rsidP="009663D2">
      <w:pPr>
        <w:jc w:val="both"/>
      </w:pPr>
    </w:p>
    <w:p w14:paraId="69A6DDDA" w14:textId="4199E75C" w:rsidR="009663D2" w:rsidRPr="00EF1BC8" w:rsidRDefault="009663D2" w:rsidP="009663D2">
      <w:pPr>
        <w:jc w:val="both"/>
      </w:pPr>
    </w:p>
    <w:p w14:paraId="484D953B" w14:textId="6362C5FC" w:rsidR="009663D2" w:rsidRPr="00EF1BC8" w:rsidRDefault="009663D2" w:rsidP="009663D2">
      <w:pPr>
        <w:jc w:val="both"/>
      </w:pPr>
    </w:p>
    <w:p w14:paraId="580446FF" w14:textId="3C9E6DEC" w:rsidR="00676B32" w:rsidRPr="00C07242" w:rsidRDefault="00676B32" w:rsidP="009663D2">
      <w:pPr>
        <w:jc w:val="both"/>
      </w:pPr>
    </w:p>
    <w:sectPr w:rsidR="00676B32" w:rsidRPr="00C0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2"/>
    <w:rsid w:val="0017173D"/>
    <w:rsid w:val="002767EE"/>
    <w:rsid w:val="002A4228"/>
    <w:rsid w:val="0044112E"/>
    <w:rsid w:val="004C494F"/>
    <w:rsid w:val="005019F4"/>
    <w:rsid w:val="00676B32"/>
    <w:rsid w:val="00687974"/>
    <w:rsid w:val="00687CA5"/>
    <w:rsid w:val="00744B99"/>
    <w:rsid w:val="00766F93"/>
    <w:rsid w:val="0096402F"/>
    <w:rsid w:val="009663D2"/>
    <w:rsid w:val="00B44738"/>
    <w:rsid w:val="00C07242"/>
    <w:rsid w:val="00EF1BC8"/>
    <w:rsid w:val="00F626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chartTrackingRefBased/>
  <w15:docId w15:val="{23B14F9E-4485-4C8B-AE10-50C6A78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6BC7-DD96-45B4-85E6-9EDE656A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9516</TotalTime>
  <Pages>1</Pages>
  <Words>1695</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9</cp:revision>
  <dcterms:created xsi:type="dcterms:W3CDTF">2023-01-17T20:01:00Z</dcterms:created>
  <dcterms:modified xsi:type="dcterms:W3CDTF">2023-02-01T01:45:00Z</dcterms:modified>
</cp:coreProperties>
</file>