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80841" w14:textId="77777777" w:rsidR="00B5612D" w:rsidRPr="00B5612D" w:rsidRDefault="00B5612D">
      <w:pPr>
        <w:rPr>
          <w:lang w:val="en-US"/>
        </w:rPr>
      </w:pPr>
      <w:r w:rsidRPr="00B5612D">
        <w:rPr>
          <w:lang w:val="en-US"/>
        </w:rPr>
        <w:t xml:space="preserve">Advanced Data Analysis in Python: Computing the </w:t>
      </w:r>
      <w:proofErr w:type="spellStart"/>
      <w:r w:rsidRPr="00B5612D">
        <w:rPr>
          <w:lang w:val="en-US"/>
        </w:rPr>
        <w:t>ProductSpace</w:t>
      </w:r>
      <w:proofErr w:type="spellEnd"/>
    </w:p>
    <w:p w14:paraId="66414C04" w14:textId="77777777" w:rsidR="00B5612D" w:rsidRPr="00B5612D" w:rsidRDefault="00B5612D" w:rsidP="00B5612D">
      <w:pPr>
        <w:pStyle w:val="Ttulo1"/>
        <w:shd w:val="clear" w:color="auto" w:fill="FFFFFF"/>
        <w:spacing w:before="161" w:beforeAutospacing="0" w:after="161" w:afterAutospacing="0"/>
        <w:rPr>
          <w:rFonts w:ascii="Arial" w:hAnsi="Arial" w:cs="Arial"/>
          <w:b w:val="0"/>
          <w:bCs w:val="0"/>
          <w:color w:val="0A0A0A"/>
          <w:lang w:val="en-US"/>
        </w:rPr>
      </w:pPr>
      <w:r w:rsidRPr="00B5612D">
        <w:rPr>
          <w:rFonts w:ascii="Arial" w:hAnsi="Arial" w:cs="Arial"/>
          <w:b w:val="0"/>
          <w:bCs w:val="0"/>
          <w:color w:val="0A0A0A"/>
          <w:lang w:val="en-US"/>
        </w:rPr>
        <w:t>Advanced Data Analysis using Python</w:t>
      </w:r>
    </w:p>
    <w:p w14:paraId="2666AA7B" w14:textId="77777777" w:rsidR="00B5612D" w:rsidRPr="00B5612D" w:rsidRDefault="00B5612D" w:rsidP="00B5612D">
      <w:pPr>
        <w:rPr>
          <w:lang w:val="en-US"/>
        </w:rPr>
      </w:pPr>
      <w:hyperlink r:id="rId5" w:history="1">
        <w:r w:rsidRPr="00B5612D">
          <w:rPr>
            <w:rStyle w:val="Hipervnculo"/>
            <w:lang w:val="en-US"/>
          </w:rPr>
          <w:t>https://notes.quantecon.org/submission/5b32e9b0b9eab00015b89f7d</w:t>
        </w:r>
      </w:hyperlink>
    </w:p>
    <w:p w14:paraId="720E2159" w14:textId="77777777" w:rsidR="00B5612D" w:rsidRPr="00B5612D" w:rsidRDefault="00B5612D" w:rsidP="00B5612D">
      <w:pPr>
        <w:pStyle w:val="NormalWeb"/>
        <w:shd w:val="clear" w:color="auto" w:fill="FFFFFF"/>
        <w:rPr>
          <w:rFonts w:ascii="Source Sans Pro" w:hAnsi="Source Sans Pro"/>
          <w:color w:val="0A0A0A"/>
          <w:lang w:val="en-US"/>
        </w:rPr>
      </w:pPr>
      <w:hyperlink r:id="rId6" w:history="1">
        <w:r w:rsidRPr="00B5612D">
          <w:rPr>
            <w:rStyle w:val="Hipervnculo"/>
            <w:rFonts w:ascii="Source Sans Pro" w:hAnsi="Source Sans Pro"/>
            <w:color w:val="D84D0A"/>
            <w:lang w:val="en-US"/>
          </w:rPr>
          <w:t>Matthew McKay</w:t>
        </w:r>
      </w:hyperlink>
    </w:p>
    <w:p w14:paraId="232242C1" w14:textId="77777777" w:rsidR="00B5612D" w:rsidRPr="00B5612D" w:rsidRDefault="00B5612D" w:rsidP="00B5612D">
      <w:pPr>
        <w:pStyle w:val="NormalWeb"/>
        <w:shd w:val="clear" w:color="auto" w:fill="FFFFFF"/>
        <w:rPr>
          <w:rFonts w:ascii="Source Sans Pro" w:hAnsi="Source Sans Pro"/>
          <w:color w:val="0A0A0A"/>
          <w:lang w:val="en-US"/>
        </w:rPr>
      </w:pPr>
      <w:r w:rsidRPr="00B5612D">
        <w:rPr>
          <w:rFonts w:ascii="Source Sans Pro" w:hAnsi="Source Sans Pro"/>
          <w:color w:val="0A0A0A"/>
          <w:lang w:val="en-US"/>
        </w:rPr>
        <w:t>In this notebook we demonstrate a few of the </w:t>
      </w:r>
      <w:r w:rsidRPr="00B5612D">
        <w:rPr>
          <w:rStyle w:val="CdigoHTML"/>
          <w:color w:val="0A0A0A"/>
          <w:sz w:val="24"/>
          <w:szCs w:val="24"/>
          <w:bdr w:val="none" w:sz="0" w:space="0" w:color="auto" w:frame="1"/>
          <w:lang w:val="en-US"/>
        </w:rPr>
        <w:t>Python</w:t>
      </w:r>
      <w:r w:rsidRPr="00B5612D">
        <w:rPr>
          <w:rFonts w:ascii="Source Sans Pro" w:hAnsi="Source Sans Pro"/>
          <w:color w:val="0A0A0A"/>
          <w:lang w:val="en-US"/>
        </w:rPr>
        <w:t> ecosystem tools that enable </w:t>
      </w:r>
      <w:r w:rsidRPr="00B5612D">
        <w:rPr>
          <w:rStyle w:val="Textoennegrita"/>
          <w:rFonts w:ascii="Source Sans Pro" w:hAnsi="Source Sans Pro"/>
          <w:color w:val="0A0A0A"/>
          <w:lang w:val="en-US"/>
        </w:rPr>
        <w:t>research</w:t>
      </w:r>
      <w:r w:rsidRPr="00B5612D">
        <w:rPr>
          <w:rFonts w:ascii="Source Sans Pro" w:hAnsi="Source Sans Pro"/>
          <w:color w:val="0A0A0A"/>
          <w:lang w:val="en-US"/>
        </w:rPr>
        <w:t> in areas that can be difficult to do using traditional tools such as </w:t>
      </w:r>
      <w:r w:rsidRPr="00B5612D">
        <w:rPr>
          <w:rStyle w:val="CdigoHTML"/>
          <w:color w:val="0A0A0A"/>
          <w:sz w:val="24"/>
          <w:szCs w:val="24"/>
          <w:bdr w:val="none" w:sz="0" w:space="0" w:color="auto" w:frame="1"/>
          <w:lang w:val="en-US"/>
        </w:rPr>
        <w:t>Stata</w:t>
      </w:r>
      <w:r w:rsidRPr="00B5612D">
        <w:rPr>
          <w:rFonts w:ascii="Source Sans Pro" w:hAnsi="Source Sans Pro"/>
          <w:color w:val="0A0A0A"/>
          <w:lang w:val="en-US"/>
        </w:rPr>
        <w:t> that are typically fit-for-purpose tools.</w:t>
      </w:r>
    </w:p>
    <w:p w14:paraId="74679D7B" w14:textId="77777777" w:rsidR="00B5612D" w:rsidRPr="00B5612D" w:rsidRDefault="00B5612D" w:rsidP="00B5612D">
      <w:pPr>
        <w:pStyle w:val="NormalWeb"/>
        <w:shd w:val="clear" w:color="auto" w:fill="FFFFFF"/>
        <w:rPr>
          <w:rFonts w:ascii="Source Sans Pro" w:hAnsi="Source Sans Pro"/>
          <w:color w:val="0A0A0A"/>
          <w:lang w:val="en-US"/>
        </w:rPr>
      </w:pPr>
      <w:r w:rsidRPr="00B5612D">
        <w:rPr>
          <w:rFonts w:ascii="Source Sans Pro" w:hAnsi="Source Sans Pro"/>
          <w:color w:val="0A0A0A"/>
          <w:lang w:val="en-US"/>
        </w:rPr>
        <w:t>The agility of a full programming language environment allows for a high degree of flexibility and the Python ecosystem provides a vast toolkit to remain productive.</w:t>
      </w:r>
    </w:p>
    <w:p w14:paraId="461180CD" w14:textId="77777777" w:rsidR="00B5612D" w:rsidRDefault="00B5612D" w:rsidP="00B5612D">
      <w:pPr>
        <w:pStyle w:val="Ttulo2"/>
        <w:shd w:val="clear" w:color="auto" w:fill="FFFFFF"/>
        <w:rPr>
          <w:rFonts w:ascii="Arial" w:hAnsi="Arial" w:cs="Arial"/>
          <w:b w:val="0"/>
          <w:bCs w:val="0"/>
          <w:color w:val="0A0A0A"/>
        </w:rPr>
      </w:pPr>
      <w:r>
        <w:rPr>
          <w:rFonts w:ascii="Arial" w:hAnsi="Arial" w:cs="Arial"/>
          <w:b w:val="0"/>
          <w:bCs w:val="0"/>
          <w:color w:val="0A0A0A"/>
        </w:rPr>
        <w:t xml:space="preserve">Table </w:t>
      </w:r>
      <w:proofErr w:type="spellStart"/>
      <w:r>
        <w:rPr>
          <w:rFonts w:ascii="Arial" w:hAnsi="Arial" w:cs="Arial"/>
          <w:b w:val="0"/>
          <w:bCs w:val="0"/>
          <w:color w:val="0A0A0A"/>
        </w:rPr>
        <w:t>of</w:t>
      </w:r>
      <w:proofErr w:type="spellEnd"/>
      <w:r>
        <w:rPr>
          <w:rFonts w:ascii="Arial" w:hAnsi="Arial" w:cs="Arial"/>
          <w:b w:val="0"/>
          <w:bCs w:val="0"/>
          <w:color w:val="0A0A0A"/>
        </w:rPr>
        <w:t xml:space="preserve"> </w:t>
      </w:r>
      <w:proofErr w:type="spellStart"/>
      <w:r>
        <w:rPr>
          <w:rFonts w:ascii="Arial" w:hAnsi="Arial" w:cs="Arial"/>
          <w:b w:val="0"/>
          <w:bCs w:val="0"/>
          <w:color w:val="0A0A0A"/>
        </w:rPr>
        <w:t>Contents</w:t>
      </w:r>
      <w:proofErr w:type="spellEnd"/>
    </w:p>
    <w:p w14:paraId="288721E6" w14:textId="77777777" w:rsidR="00B5612D" w:rsidRPr="00B5612D" w:rsidRDefault="00B5612D" w:rsidP="00B5612D">
      <w:pPr>
        <w:numPr>
          <w:ilvl w:val="0"/>
          <w:numId w:val="1"/>
        </w:numPr>
        <w:shd w:val="clear" w:color="auto" w:fill="FFFFFF"/>
        <w:spacing w:before="100" w:beforeAutospacing="1" w:after="100" w:afterAutospacing="1" w:line="240" w:lineRule="auto"/>
        <w:rPr>
          <w:rFonts w:ascii="Source Sans Pro" w:hAnsi="Source Sans Pro" w:cs="Times New Roman"/>
          <w:color w:val="0A0A0A"/>
          <w:lang w:val="en-US"/>
        </w:rPr>
      </w:pPr>
      <w:r w:rsidRPr="00B5612D">
        <w:rPr>
          <w:rFonts w:ascii="Source Sans Pro" w:hAnsi="Source Sans Pro"/>
          <w:color w:val="0A0A0A"/>
          <w:lang w:val="en-US"/>
        </w:rPr>
        <w:t>The Product Space Network (Hidalgo, 2007)</w:t>
      </w:r>
    </w:p>
    <w:p w14:paraId="632C3DD5" w14:textId="77777777" w:rsidR="00B5612D" w:rsidRPr="00B5612D" w:rsidRDefault="00B5612D" w:rsidP="00B5612D">
      <w:pPr>
        <w:numPr>
          <w:ilvl w:val="0"/>
          <w:numId w:val="1"/>
        </w:numPr>
        <w:shd w:val="clear" w:color="auto" w:fill="FFFFFF"/>
        <w:spacing w:before="100" w:beforeAutospacing="1" w:after="100" w:afterAutospacing="1" w:line="240" w:lineRule="auto"/>
        <w:rPr>
          <w:rFonts w:ascii="Source Sans Pro" w:hAnsi="Source Sans Pro"/>
          <w:color w:val="0A0A0A"/>
          <w:lang w:val="en-US"/>
        </w:rPr>
      </w:pPr>
      <w:r w:rsidRPr="00B5612D">
        <w:rPr>
          <w:rFonts w:ascii="Source Sans Pro" w:hAnsi="Source Sans Pro"/>
          <w:color w:val="0A0A0A"/>
          <w:lang w:val="en-US"/>
        </w:rPr>
        <w:t>Quick introduction to Networks and Graphs</w:t>
      </w:r>
    </w:p>
    <w:p w14:paraId="334D06F2" w14:textId="77777777" w:rsidR="00B5612D" w:rsidRDefault="00B5612D" w:rsidP="00B5612D">
      <w:pPr>
        <w:numPr>
          <w:ilvl w:val="0"/>
          <w:numId w:val="1"/>
        </w:numPr>
        <w:shd w:val="clear" w:color="auto" w:fill="FFFFFF"/>
        <w:spacing w:before="100" w:beforeAutospacing="1" w:after="100" w:afterAutospacing="1" w:line="240" w:lineRule="auto"/>
        <w:rPr>
          <w:rFonts w:ascii="Source Sans Pro" w:hAnsi="Source Sans Pro"/>
          <w:color w:val="0A0A0A"/>
        </w:rPr>
      </w:pPr>
      <w:proofErr w:type="spellStart"/>
      <w:r>
        <w:rPr>
          <w:rFonts w:ascii="Source Sans Pro" w:hAnsi="Source Sans Pro"/>
          <w:color w:val="0A0A0A"/>
        </w:rPr>
        <w:t>Replicate</w:t>
      </w:r>
      <w:proofErr w:type="spellEnd"/>
      <w:r>
        <w:rPr>
          <w:rFonts w:ascii="Source Sans Pro" w:hAnsi="Source Sans Pro"/>
          <w:color w:val="0A0A0A"/>
        </w:rPr>
        <w:t xml:space="preserve"> </w:t>
      </w:r>
      <w:proofErr w:type="spellStart"/>
      <w:r>
        <w:rPr>
          <w:rFonts w:ascii="Source Sans Pro" w:hAnsi="Source Sans Pro"/>
          <w:color w:val="0A0A0A"/>
        </w:rPr>
        <w:t>Product</w:t>
      </w:r>
      <w:proofErr w:type="spellEnd"/>
      <w:r>
        <w:rPr>
          <w:rFonts w:ascii="Source Sans Pro" w:hAnsi="Source Sans Pro"/>
          <w:color w:val="0A0A0A"/>
        </w:rPr>
        <w:t xml:space="preserve"> </w:t>
      </w:r>
      <w:proofErr w:type="spellStart"/>
      <w:r>
        <w:rPr>
          <w:rFonts w:ascii="Source Sans Pro" w:hAnsi="Source Sans Pro"/>
          <w:color w:val="0A0A0A"/>
        </w:rPr>
        <w:t>Space</w:t>
      </w:r>
      <w:proofErr w:type="spellEnd"/>
      <w:r>
        <w:rPr>
          <w:rFonts w:ascii="Source Sans Pro" w:hAnsi="Source Sans Pro"/>
          <w:color w:val="0A0A0A"/>
        </w:rPr>
        <w:t xml:space="preserve"> </w:t>
      </w:r>
      <w:proofErr w:type="spellStart"/>
      <w:r>
        <w:rPr>
          <w:rFonts w:ascii="Source Sans Pro" w:hAnsi="Source Sans Pro"/>
          <w:color w:val="0A0A0A"/>
        </w:rPr>
        <w:t>Proximity</w:t>
      </w:r>
      <w:proofErr w:type="spellEnd"/>
      <w:r>
        <w:rPr>
          <w:rFonts w:ascii="Source Sans Pro" w:hAnsi="Source Sans Pro"/>
          <w:color w:val="0A0A0A"/>
        </w:rPr>
        <w:t xml:space="preserve"> </w:t>
      </w:r>
      <w:proofErr w:type="spellStart"/>
      <w:r>
        <w:rPr>
          <w:rFonts w:ascii="Source Sans Pro" w:hAnsi="Source Sans Pro"/>
          <w:color w:val="0A0A0A"/>
        </w:rPr>
        <w:t>Measure</w:t>
      </w:r>
      <w:proofErr w:type="spellEnd"/>
    </w:p>
    <w:p w14:paraId="2D104157" w14:textId="77777777" w:rsidR="00B5612D" w:rsidRPr="00B5612D" w:rsidRDefault="00B5612D" w:rsidP="00B5612D">
      <w:pPr>
        <w:numPr>
          <w:ilvl w:val="1"/>
          <w:numId w:val="1"/>
        </w:numPr>
        <w:shd w:val="clear" w:color="auto" w:fill="FFFFFF"/>
        <w:spacing w:beforeAutospacing="1" w:after="0" w:afterAutospacing="1" w:line="240" w:lineRule="auto"/>
        <w:rPr>
          <w:rFonts w:ascii="Source Sans Pro" w:hAnsi="Source Sans Pro"/>
          <w:color w:val="0A0A0A"/>
          <w:lang w:val="en-US"/>
        </w:rPr>
      </w:pPr>
      <w:r w:rsidRPr="00B5612D">
        <w:rPr>
          <w:rFonts w:ascii="Source Sans Pro" w:hAnsi="Source Sans Pro"/>
          <w:color w:val="0A0A0A"/>
          <w:lang w:val="en-US"/>
        </w:rPr>
        <w:t>Compute Revealed Comparative Advantage and </w:t>
      </w:r>
      <w:proofErr w:type="spellStart"/>
      <w:r w:rsidRPr="00B5612D">
        <w:rPr>
          <w:rStyle w:val="mi"/>
          <w:rFonts w:ascii="MathJax_Math-italic" w:hAnsi="MathJax_Math-italic"/>
          <w:color w:val="0A0A0A"/>
          <w:sz w:val="29"/>
          <w:szCs w:val="29"/>
          <w:bdr w:val="none" w:sz="0" w:space="0" w:color="auto" w:frame="1"/>
          <w:lang w:val="en-US"/>
        </w:rPr>
        <w:t>M</w:t>
      </w:r>
      <w:r w:rsidRPr="00B5612D">
        <w:rPr>
          <w:rStyle w:val="mi"/>
          <w:rFonts w:ascii="MathJax_Math-italic" w:hAnsi="MathJax_Math-italic"/>
          <w:color w:val="0A0A0A"/>
          <w:sz w:val="20"/>
          <w:szCs w:val="20"/>
          <w:bdr w:val="none" w:sz="0" w:space="0" w:color="auto" w:frame="1"/>
          <w:lang w:val="en-US"/>
        </w:rPr>
        <w:t>cp</w:t>
      </w:r>
      <w:r w:rsidRPr="00B5612D">
        <w:rPr>
          <w:rStyle w:val="mjxassistivemathml"/>
          <w:rFonts w:ascii="Source Sans Pro" w:hAnsi="Source Sans Pro"/>
          <w:color w:val="0A0A0A"/>
          <w:bdr w:val="none" w:sz="0" w:space="0" w:color="auto" w:frame="1"/>
          <w:lang w:val="en-US"/>
        </w:rPr>
        <w:t>Mcp</w:t>
      </w:r>
      <w:proofErr w:type="spellEnd"/>
      <w:r w:rsidRPr="00B5612D">
        <w:rPr>
          <w:rFonts w:ascii="Source Sans Pro" w:hAnsi="Source Sans Pro"/>
          <w:color w:val="0A0A0A"/>
          <w:lang w:val="en-US"/>
        </w:rPr>
        <w:t> matrices </w:t>
      </w:r>
      <w:hyperlink r:id="rId7" w:history="1">
        <w:r w:rsidRPr="00B5612D">
          <w:rPr>
            <w:rStyle w:val="Textoennegrita"/>
            <w:rFonts w:ascii="Source Sans Pro" w:hAnsi="Source Sans Pro"/>
            <w:color w:val="D84D0A"/>
            <w:lang w:val="en-US"/>
          </w:rPr>
          <w:t>Tools: Pandas</w:t>
        </w:r>
      </w:hyperlink>
      <w:r w:rsidRPr="00B5612D">
        <w:rPr>
          <w:rFonts w:ascii="Source Sans Pro" w:hAnsi="Source Sans Pro"/>
          <w:color w:val="0A0A0A"/>
          <w:lang w:val="en-US"/>
        </w:rPr>
        <w:t> (786 Products, 200+ Countries, and 53 Years)</w:t>
      </w:r>
    </w:p>
    <w:p w14:paraId="63A76EC2" w14:textId="77777777" w:rsidR="00B5612D" w:rsidRPr="00B5612D" w:rsidRDefault="00B5612D" w:rsidP="00B5612D">
      <w:pPr>
        <w:numPr>
          <w:ilvl w:val="1"/>
          <w:numId w:val="1"/>
        </w:numPr>
        <w:shd w:val="clear" w:color="auto" w:fill="FFFFFF"/>
        <w:spacing w:beforeAutospacing="1" w:after="0" w:afterAutospacing="1" w:line="240" w:lineRule="auto"/>
        <w:rPr>
          <w:rFonts w:ascii="Source Sans Pro" w:hAnsi="Source Sans Pro"/>
          <w:color w:val="0A0A0A"/>
          <w:lang w:val="en-US"/>
        </w:rPr>
      </w:pPr>
      <w:r w:rsidRPr="00B5612D">
        <w:rPr>
          <w:rFonts w:ascii="Source Sans Pro" w:hAnsi="Source Sans Pro"/>
          <w:color w:val="0A0A0A"/>
          <w:lang w:val="en-US"/>
        </w:rPr>
        <w:t>Compute Proximity Matrices (</w:t>
      </w:r>
      <w:r>
        <w:rPr>
          <w:rStyle w:val="mjxp-mi"/>
          <w:i/>
          <w:iCs/>
          <w:color w:val="0A0A0A"/>
        </w:rPr>
        <w:t>ϕ</w:t>
      </w:r>
      <w:r w:rsidRPr="00B5612D">
        <w:rPr>
          <w:rStyle w:val="mjxp-mi"/>
          <w:i/>
          <w:iCs/>
          <w:color w:val="0A0A0A"/>
          <w:sz w:val="19"/>
          <w:szCs w:val="19"/>
          <w:lang w:val="en-US"/>
        </w:rPr>
        <w:t>pp</w:t>
      </w:r>
      <w:r w:rsidRPr="00B5612D">
        <w:rPr>
          <w:rStyle w:val="mjxp-mo"/>
          <w:color w:val="0A0A0A"/>
          <w:sz w:val="15"/>
          <w:szCs w:val="15"/>
          <w:lang w:val="en-US"/>
        </w:rPr>
        <w:t>′</w:t>
      </w:r>
      <w:r w:rsidRPr="00B5612D">
        <w:rPr>
          <w:rFonts w:ascii="Source Sans Pro" w:hAnsi="Source Sans Pro"/>
          <w:color w:val="0A0A0A"/>
          <w:lang w:val="en-US"/>
        </w:rPr>
        <w:t>) and make this code run fast </w:t>
      </w:r>
      <w:hyperlink r:id="rId8" w:history="1">
        <w:r w:rsidRPr="00B5612D">
          <w:rPr>
            <w:rStyle w:val="Textoennegrita"/>
            <w:rFonts w:ascii="Source Sans Pro" w:hAnsi="Source Sans Pro"/>
            <w:color w:val="D84D0A"/>
            <w:lang w:val="en-US"/>
          </w:rPr>
          <w:t xml:space="preserve">Tools: Pandas, </w:t>
        </w:r>
        <w:proofErr w:type="spellStart"/>
        <w:r w:rsidRPr="00B5612D">
          <w:rPr>
            <w:rStyle w:val="Textoennegrita"/>
            <w:rFonts w:ascii="Source Sans Pro" w:hAnsi="Source Sans Pro"/>
            <w:color w:val="D84D0A"/>
            <w:lang w:val="en-US"/>
          </w:rPr>
          <w:t>Numpy</w:t>
        </w:r>
        <w:proofErr w:type="spellEnd"/>
        <w:r w:rsidRPr="00B5612D">
          <w:rPr>
            <w:rStyle w:val="Textoennegrita"/>
            <w:rFonts w:ascii="Source Sans Pro" w:hAnsi="Source Sans Pro"/>
            <w:color w:val="D84D0A"/>
            <w:lang w:val="en-US"/>
          </w:rPr>
          <w:t xml:space="preserve">, </w:t>
        </w:r>
        <w:proofErr w:type="spellStart"/>
        <w:r w:rsidRPr="00B5612D">
          <w:rPr>
            <w:rStyle w:val="Textoennegrita"/>
            <w:rFonts w:ascii="Source Sans Pro" w:hAnsi="Source Sans Pro"/>
            <w:color w:val="D84D0A"/>
            <w:lang w:val="en-US"/>
          </w:rPr>
          <w:t>Numba</w:t>
        </w:r>
        <w:proofErr w:type="spellEnd"/>
        <w:r w:rsidRPr="00B5612D">
          <w:rPr>
            <w:rStyle w:val="Textoennegrita"/>
            <w:rFonts w:ascii="Source Sans Pro" w:hAnsi="Source Sans Pro"/>
            <w:color w:val="D84D0A"/>
            <w:lang w:val="en-US"/>
          </w:rPr>
          <w:t xml:space="preserve">, </w:t>
        </w:r>
        <w:proofErr w:type="spellStart"/>
        <w:r w:rsidRPr="00B5612D">
          <w:rPr>
            <w:rStyle w:val="Textoennegrita"/>
            <w:rFonts w:ascii="Source Sans Pro" w:hAnsi="Source Sans Pro"/>
            <w:color w:val="D84D0A"/>
            <w:lang w:val="en-US"/>
          </w:rPr>
          <w:t>Dask</w:t>
        </w:r>
        <w:proofErr w:type="spellEnd"/>
      </w:hyperlink>
    </w:p>
    <w:p w14:paraId="2951059C" w14:textId="77777777" w:rsidR="00B5612D" w:rsidRPr="00B5612D" w:rsidRDefault="00B5612D" w:rsidP="00B5612D">
      <w:pPr>
        <w:numPr>
          <w:ilvl w:val="1"/>
          <w:numId w:val="1"/>
        </w:numPr>
        <w:shd w:val="clear" w:color="auto" w:fill="FFFFFF"/>
        <w:spacing w:before="100" w:beforeAutospacing="1" w:after="100" w:afterAutospacing="1" w:line="240" w:lineRule="auto"/>
        <w:rPr>
          <w:rFonts w:ascii="Source Sans Pro" w:hAnsi="Source Sans Pro"/>
          <w:color w:val="0A0A0A"/>
          <w:lang w:val="en-US"/>
        </w:rPr>
      </w:pPr>
      <w:r w:rsidRPr="00B5612D">
        <w:rPr>
          <w:rFonts w:ascii="Source Sans Pro" w:hAnsi="Source Sans Pro"/>
          <w:color w:val="0A0A0A"/>
          <w:lang w:val="en-US"/>
        </w:rPr>
        <w:t xml:space="preserve">(Extension) Building Networks and Plotting Product Space Network Diagrams - </w:t>
      </w:r>
      <w:proofErr w:type="spellStart"/>
      <w:r w:rsidRPr="00B5612D">
        <w:rPr>
          <w:rFonts w:ascii="Source Sans Pro" w:hAnsi="Source Sans Pro"/>
          <w:color w:val="0A0A0A"/>
          <w:lang w:val="en-US"/>
        </w:rPr>
        <w:t>albiet</w:t>
      </w:r>
      <w:proofErr w:type="spellEnd"/>
      <w:r w:rsidRPr="00B5612D">
        <w:rPr>
          <w:rFonts w:ascii="Source Sans Pro" w:hAnsi="Source Sans Pro"/>
          <w:color w:val="0A0A0A"/>
          <w:lang w:val="en-US"/>
        </w:rPr>
        <w:t xml:space="preserve"> not as fancy </w:t>
      </w:r>
      <w:hyperlink r:id="rId9" w:history="1">
        <w:r w:rsidRPr="00B5612D">
          <w:rPr>
            <w:rStyle w:val="Textoennegrita"/>
            <w:rFonts w:ascii="Source Sans Pro" w:hAnsi="Source Sans Pro"/>
            <w:color w:val="D84D0A"/>
            <w:lang w:val="en-US"/>
          </w:rPr>
          <w:t xml:space="preserve">Tools: </w:t>
        </w:r>
        <w:proofErr w:type="spellStart"/>
        <w:r w:rsidRPr="00B5612D">
          <w:rPr>
            <w:rStyle w:val="Textoennegrita"/>
            <w:rFonts w:ascii="Source Sans Pro" w:hAnsi="Source Sans Pro"/>
            <w:color w:val="D84D0A"/>
            <w:lang w:val="en-US"/>
          </w:rPr>
          <w:t>NetworkX</w:t>
        </w:r>
        <w:proofErr w:type="spellEnd"/>
      </w:hyperlink>
    </w:p>
    <w:p w14:paraId="17F225EF" w14:textId="66A457E5" w:rsidR="00B5612D" w:rsidRDefault="00B5612D">
      <w:pPr>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t>_____________________________________________________________________________</w:t>
      </w:r>
    </w:p>
    <w:p w14:paraId="68ACBD6A" w14:textId="49CCDE75" w:rsidR="00B5612D" w:rsidRDefault="00B5612D" w:rsidP="00B5612D">
      <w:pPr>
        <w:pStyle w:val="Ttulo2"/>
        <w:spacing w:before="0" w:beforeAutospacing="0" w:after="0" w:afterAutospacing="0" w:line="360" w:lineRule="atLeast"/>
        <w:rPr>
          <w:lang w:val="en-US"/>
        </w:rPr>
      </w:pPr>
      <w:r w:rsidRPr="00B5612D">
        <w:rPr>
          <w:rFonts w:ascii="Arial" w:hAnsi="Arial" w:cs="Arial"/>
          <w:color w:val="000000"/>
          <w:sz w:val="32"/>
          <w:szCs w:val="32"/>
          <w:lang w:val="en-US"/>
        </w:rPr>
        <w:t>5.2.2 The product space methodology</w:t>
      </w:r>
    </w:p>
    <w:p w14:paraId="7936D813" w14:textId="240BF293" w:rsidR="00B5612D" w:rsidRDefault="00B5612D">
      <w:pPr>
        <w:rPr>
          <w:lang w:val="en-US"/>
        </w:rPr>
      </w:pPr>
      <w:hyperlink r:id="rId10" w:history="1">
        <w:r w:rsidRPr="00465633">
          <w:rPr>
            <w:rStyle w:val="Hipervnculo"/>
            <w:lang w:val="en-US"/>
          </w:rPr>
          <w:t>https://www.coursera.org/lecture/global-statistics/5-2-2-the-product-space-methodology-ADVv2</w:t>
        </w:r>
      </w:hyperlink>
    </w:p>
    <w:p w14:paraId="1966C685" w14:textId="77777777" w:rsidR="00B5612D" w:rsidRDefault="00B5612D" w:rsidP="00B5612D">
      <w:pPr>
        <w:shd w:val="clear" w:color="auto" w:fill="FFFFFF"/>
        <w:rPr>
          <w:rFonts w:ascii="Arial" w:hAnsi="Arial" w:cs="Arial"/>
          <w:color w:val="757575"/>
          <w:sz w:val="18"/>
          <w:szCs w:val="18"/>
        </w:rPr>
      </w:pPr>
      <w:r>
        <w:rPr>
          <w:rFonts w:ascii="Arial" w:hAnsi="Arial" w:cs="Arial"/>
          <w:color w:val="757575"/>
          <w:sz w:val="18"/>
          <w:szCs w:val="18"/>
        </w:rPr>
        <w:t>De la lección</w:t>
      </w:r>
    </w:p>
    <w:p w14:paraId="16DA9185" w14:textId="77777777" w:rsidR="00B5612D" w:rsidRDefault="00B5612D" w:rsidP="00B5612D">
      <w:pPr>
        <w:shd w:val="clear" w:color="auto" w:fill="FFFFFF"/>
        <w:spacing w:line="360" w:lineRule="atLeast"/>
        <w:rPr>
          <w:rFonts w:ascii="Arial" w:hAnsi="Arial" w:cs="Arial"/>
          <w:color w:val="1F1F1F"/>
          <w:sz w:val="24"/>
          <w:szCs w:val="24"/>
        </w:rPr>
      </w:pPr>
      <w:proofErr w:type="spellStart"/>
      <w:r>
        <w:rPr>
          <w:rFonts w:ascii="Arial" w:hAnsi="Arial" w:cs="Arial"/>
          <w:color w:val="1F1F1F"/>
        </w:rPr>
        <w:t>Export</w:t>
      </w:r>
      <w:proofErr w:type="spellEnd"/>
      <w:r>
        <w:rPr>
          <w:rFonts w:ascii="Arial" w:hAnsi="Arial" w:cs="Arial"/>
          <w:color w:val="1F1F1F"/>
        </w:rPr>
        <w:t xml:space="preserve"> </w:t>
      </w:r>
      <w:proofErr w:type="spellStart"/>
      <w:r>
        <w:rPr>
          <w:rFonts w:ascii="Arial" w:hAnsi="Arial" w:cs="Arial"/>
          <w:color w:val="1F1F1F"/>
        </w:rPr>
        <w:t>Potential</w:t>
      </w:r>
      <w:proofErr w:type="spellEnd"/>
      <w:r>
        <w:rPr>
          <w:rFonts w:ascii="Arial" w:hAnsi="Arial" w:cs="Arial"/>
          <w:color w:val="1F1F1F"/>
        </w:rPr>
        <w:t xml:space="preserve"> </w:t>
      </w:r>
      <w:proofErr w:type="spellStart"/>
      <w:r>
        <w:rPr>
          <w:rFonts w:ascii="Arial" w:hAnsi="Arial" w:cs="Arial"/>
          <w:color w:val="1F1F1F"/>
        </w:rPr>
        <w:t>Assessment</w:t>
      </w:r>
      <w:proofErr w:type="spellEnd"/>
      <w:r>
        <w:rPr>
          <w:rFonts w:ascii="Arial" w:hAnsi="Arial" w:cs="Arial"/>
          <w:color w:val="1F1F1F"/>
        </w:rPr>
        <w:t xml:space="preserve"> (ITC)</w:t>
      </w:r>
    </w:p>
    <w:p w14:paraId="5A0D4D71" w14:textId="77777777" w:rsidR="00B5612D" w:rsidRPr="00B5612D" w:rsidRDefault="00B5612D" w:rsidP="00B5612D">
      <w:pPr>
        <w:pStyle w:val="NormalWeb"/>
        <w:shd w:val="clear" w:color="auto" w:fill="FFFFFF"/>
        <w:spacing w:before="0" w:beforeAutospacing="0" w:after="150" w:afterAutospacing="0" w:line="315" w:lineRule="atLeast"/>
        <w:rPr>
          <w:rFonts w:ascii="Arial" w:hAnsi="Arial" w:cs="Arial"/>
          <w:color w:val="373A3C"/>
          <w:sz w:val="21"/>
          <w:szCs w:val="21"/>
          <w:lang w:val="en-US"/>
        </w:rPr>
      </w:pPr>
      <w:r w:rsidRPr="00B5612D">
        <w:rPr>
          <w:rFonts w:ascii="Arial" w:hAnsi="Arial" w:cs="Arial"/>
          <w:color w:val="373A3C"/>
          <w:sz w:val="21"/>
          <w:szCs w:val="21"/>
          <w:lang w:val="en-US"/>
        </w:rPr>
        <w:t>This module focuses on trade indices developed by the International Trade Centre, the Export Potential Index (EDI) and the Product Diversification index (PDI).</w:t>
      </w:r>
    </w:p>
    <w:p w14:paraId="4B60D5BF" w14:textId="77777777" w:rsidR="00B5612D" w:rsidRPr="00B5612D" w:rsidRDefault="00B5612D" w:rsidP="00B5612D">
      <w:pPr>
        <w:pStyle w:val="NormalWeb"/>
        <w:shd w:val="clear" w:color="auto" w:fill="FFFFFF"/>
        <w:spacing w:before="0" w:beforeAutospacing="0" w:after="150" w:afterAutospacing="0" w:line="315" w:lineRule="atLeast"/>
        <w:rPr>
          <w:rFonts w:ascii="Arial" w:hAnsi="Arial" w:cs="Arial"/>
          <w:color w:val="373A3C"/>
          <w:sz w:val="21"/>
          <w:szCs w:val="21"/>
          <w:lang w:val="en-US"/>
        </w:rPr>
      </w:pPr>
      <w:r w:rsidRPr="00B5612D">
        <w:rPr>
          <w:rFonts w:ascii="Arial" w:hAnsi="Arial" w:cs="Arial"/>
          <w:color w:val="373A3C"/>
          <w:sz w:val="21"/>
          <w:szCs w:val="21"/>
          <w:lang w:val="en-US"/>
        </w:rPr>
        <w:t>Frictions often create a gap between what a country could export and what it does export to markets around the world. Trade advisers could better address these frictions and help firms realize greater exports if they knew exactly which products and markets offer best chances. During this week, you will learn about the Export Potential Assessment (EPI and PDI), which indicates products, sectors and markets for trade development activities for over 200 countries and 4,000 products. Based upon an assessment of the exporting country’s supply capacity, the target market’s demand and tariff conditions as well as the bilateral links between the exporting country and the target market, it provides a ranking of untapped opportunities.</w:t>
      </w:r>
    </w:p>
    <w:p w14:paraId="5CF4D73A" w14:textId="77777777" w:rsidR="00B5612D" w:rsidRPr="00B5612D" w:rsidRDefault="00B5612D" w:rsidP="00B5612D">
      <w:pPr>
        <w:shd w:val="clear" w:color="auto" w:fill="FFFFFF"/>
        <w:spacing w:line="315" w:lineRule="atLeast"/>
        <w:rPr>
          <w:rFonts w:ascii="Arial" w:hAnsi="Arial" w:cs="Arial"/>
          <w:color w:val="373A3C"/>
          <w:sz w:val="21"/>
          <w:szCs w:val="21"/>
          <w:lang w:val="en-US"/>
        </w:rPr>
      </w:pPr>
      <w:hyperlink r:id="rId11" w:history="1">
        <w:proofErr w:type="spellStart"/>
        <w:r w:rsidRPr="00B5612D">
          <w:rPr>
            <w:rStyle w:val="more-btn"/>
            <w:rFonts w:ascii="Arial" w:hAnsi="Arial" w:cs="Arial"/>
            <w:color w:val="0062E4"/>
            <w:sz w:val="21"/>
            <w:szCs w:val="21"/>
            <w:lang w:val="en-US"/>
          </w:rPr>
          <w:t>Mostrar</w:t>
        </w:r>
        <w:proofErr w:type="spellEnd"/>
        <w:r w:rsidRPr="00B5612D">
          <w:rPr>
            <w:rStyle w:val="more-btn"/>
            <w:rFonts w:ascii="Arial" w:hAnsi="Arial" w:cs="Arial"/>
            <w:color w:val="0062E4"/>
            <w:sz w:val="21"/>
            <w:szCs w:val="21"/>
            <w:lang w:val="en-US"/>
          </w:rPr>
          <w:t xml:space="preserve"> </w:t>
        </w:r>
        <w:proofErr w:type="spellStart"/>
        <w:r w:rsidRPr="00B5612D">
          <w:rPr>
            <w:rStyle w:val="more-btn"/>
            <w:rFonts w:ascii="Arial" w:hAnsi="Arial" w:cs="Arial"/>
            <w:color w:val="0062E4"/>
            <w:sz w:val="21"/>
            <w:szCs w:val="21"/>
            <w:lang w:val="en-US"/>
          </w:rPr>
          <w:t>menos</w:t>
        </w:r>
        <w:proofErr w:type="spellEnd"/>
      </w:hyperlink>
    </w:p>
    <w:p w14:paraId="37F1B9EA" w14:textId="4B72C983" w:rsidR="00B5612D" w:rsidRPr="00B5612D" w:rsidRDefault="00B5612D" w:rsidP="00B5612D">
      <w:pPr>
        <w:shd w:val="clear" w:color="auto" w:fill="FFFFFF"/>
        <w:spacing w:line="240" w:lineRule="auto"/>
        <w:rPr>
          <w:rFonts w:ascii="Arial" w:hAnsi="Arial" w:cs="Arial"/>
          <w:color w:val="373A3C"/>
          <w:sz w:val="21"/>
          <w:szCs w:val="21"/>
          <w:lang w:val="en-US"/>
        </w:rPr>
      </w:pPr>
      <w:hyperlink r:id="rId12" w:history="1">
        <w:r w:rsidRPr="00B5612D">
          <w:rPr>
            <w:rStyle w:val="video-name"/>
            <w:rFonts w:ascii="Arial" w:hAnsi="Arial" w:cs="Arial"/>
            <w:color w:val="0062E4"/>
            <w:sz w:val="21"/>
            <w:szCs w:val="21"/>
            <w:lang w:val="en-US"/>
          </w:rPr>
          <w:t>5.2.1 Overview of PDI, motivation and data treatment</w:t>
        </w:r>
        <w:r>
          <w:rPr>
            <w:rStyle w:val="video-name"/>
            <w:rFonts w:ascii="Arial" w:hAnsi="Arial" w:cs="Arial"/>
            <w:color w:val="0062E4"/>
            <w:sz w:val="21"/>
            <w:szCs w:val="21"/>
            <w:lang w:val="en-US"/>
          </w:rPr>
          <w:t xml:space="preserve"> </w:t>
        </w:r>
        <w:r w:rsidRPr="00B5612D">
          <w:rPr>
            <w:rStyle w:val="video-duration"/>
            <w:rFonts w:ascii="Arial" w:hAnsi="Arial" w:cs="Arial"/>
            <w:color w:val="1F1F1F"/>
            <w:sz w:val="18"/>
            <w:szCs w:val="18"/>
            <w:lang w:val="en-US"/>
          </w:rPr>
          <w:t>5:27</w:t>
        </w:r>
      </w:hyperlink>
      <w:r w:rsidRPr="00B5612D">
        <w:rPr>
          <w:rFonts w:ascii="Arial" w:hAnsi="Arial" w:cs="Arial"/>
          <w:color w:val="373A3C"/>
          <w:sz w:val="21"/>
          <w:szCs w:val="21"/>
          <w:lang w:val="en-US"/>
        </w:rPr>
        <w:t xml:space="preserve"> </w:t>
      </w:r>
    </w:p>
    <w:p w14:paraId="4F762AC9" w14:textId="77777777" w:rsidR="00B5612D" w:rsidRPr="00B5612D" w:rsidRDefault="00B5612D" w:rsidP="00B5612D">
      <w:pPr>
        <w:shd w:val="clear" w:color="auto" w:fill="FFFFFF"/>
        <w:rPr>
          <w:rFonts w:ascii="Arial" w:hAnsi="Arial" w:cs="Arial"/>
          <w:color w:val="373A3C"/>
          <w:sz w:val="21"/>
          <w:szCs w:val="21"/>
          <w:lang w:val="en-US"/>
        </w:rPr>
      </w:pPr>
      <w:hyperlink r:id="rId13" w:history="1">
        <w:r w:rsidRPr="00B5612D">
          <w:rPr>
            <w:rStyle w:val="video-name"/>
            <w:rFonts w:ascii="Arial" w:hAnsi="Arial" w:cs="Arial"/>
            <w:color w:val="0062E4"/>
            <w:sz w:val="21"/>
            <w:szCs w:val="21"/>
            <w:shd w:val="clear" w:color="auto" w:fill="F0F0F0"/>
            <w:lang w:val="en-US"/>
          </w:rPr>
          <w:t>5.2.2 The product space methodology</w:t>
        </w:r>
        <w:r w:rsidRPr="00B5612D">
          <w:rPr>
            <w:rStyle w:val="video-duration"/>
            <w:rFonts w:ascii="Arial" w:hAnsi="Arial" w:cs="Arial"/>
            <w:color w:val="1F1F1F"/>
            <w:sz w:val="18"/>
            <w:szCs w:val="18"/>
            <w:shd w:val="clear" w:color="auto" w:fill="F0F0F0"/>
            <w:lang w:val="en-US"/>
          </w:rPr>
          <w:t>6:50</w:t>
        </w:r>
      </w:hyperlink>
    </w:p>
    <w:p w14:paraId="035446A0" w14:textId="77777777" w:rsidR="00B5612D" w:rsidRPr="00B5612D" w:rsidRDefault="00B5612D" w:rsidP="00B5612D">
      <w:pPr>
        <w:shd w:val="clear" w:color="auto" w:fill="FFFFFF"/>
        <w:rPr>
          <w:rFonts w:ascii="Arial" w:hAnsi="Arial" w:cs="Arial"/>
          <w:color w:val="373A3C"/>
          <w:sz w:val="21"/>
          <w:szCs w:val="21"/>
          <w:lang w:val="en-US"/>
        </w:rPr>
      </w:pPr>
      <w:hyperlink r:id="rId14" w:history="1">
        <w:r w:rsidRPr="00B5612D">
          <w:rPr>
            <w:rStyle w:val="video-name"/>
            <w:rFonts w:ascii="Arial" w:hAnsi="Arial" w:cs="Arial"/>
            <w:color w:val="0062E4"/>
            <w:sz w:val="21"/>
            <w:szCs w:val="21"/>
            <w:lang w:val="en-US"/>
          </w:rPr>
          <w:t>5.2.3 Dimensions of the index: supply and demand sides, and results</w:t>
        </w:r>
        <w:r w:rsidRPr="00B5612D">
          <w:rPr>
            <w:rStyle w:val="video-duration"/>
            <w:rFonts w:ascii="Arial" w:hAnsi="Arial" w:cs="Arial"/>
            <w:color w:val="1F1F1F"/>
            <w:sz w:val="18"/>
            <w:szCs w:val="18"/>
            <w:lang w:val="en-US"/>
          </w:rPr>
          <w:t>7:54</w:t>
        </w:r>
      </w:hyperlink>
    </w:p>
    <w:p w14:paraId="5326274A" w14:textId="77777777" w:rsidR="00B5612D" w:rsidRDefault="00B5612D" w:rsidP="00B5612D">
      <w:pPr>
        <w:shd w:val="clear" w:color="auto" w:fill="FFFFFF"/>
        <w:rPr>
          <w:rFonts w:ascii="Arial" w:hAnsi="Arial" w:cs="Arial"/>
          <w:color w:val="373A3C"/>
          <w:sz w:val="21"/>
          <w:szCs w:val="21"/>
        </w:rPr>
      </w:pPr>
      <w:hyperlink r:id="rId15" w:history="1">
        <w:r>
          <w:rPr>
            <w:rStyle w:val="video-name"/>
            <w:rFonts w:ascii="Arial" w:hAnsi="Arial" w:cs="Arial"/>
            <w:color w:val="0062E4"/>
            <w:sz w:val="21"/>
            <w:szCs w:val="21"/>
          </w:rPr>
          <w:t xml:space="preserve">5.2.4 </w:t>
        </w:r>
        <w:proofErr w:type="spellStart"/>
        <w:r>
          <w:rPr>
            <w:rStyle w:val="video-name"/>
            <w:rFonts w:ascii="Arial" w:hAnsi="Arial" w:cs="Arial"/>
            <w:color w:val="0062E4"/>
            <w:sz w:val="21"/>
            <w:szCs w:val="21"/>
          </w:rPr>
          <w:t>User</w:t>
        </w:r>
        <w:proofErr w:type="spellEnd"/>
        <w:r>
          <w:rPr>
            <w:rStyle w:val="video-name"/>
            <w:rFonts w:ascii="Arial" w:hAnsi="Arial" w:cs="Arial"/>
            <w:color w:val="0062E4"/>
            <w:sz w:val="21"/>
            <w:szCs w:val="21"/>
          </w:rPr>
          <w:t xml:space="preserve"> perspective</w:t>
        </w:r>
        <w:r>
          <w:rPr>
            <w:rStyle w:val="video-duration"/>
            <w:rFonts w:ascii="Arial" w:hAnsi="Arial" w:cs="Arial"/>
            <w:color w:val="1F1F1F"/>
            <w:sz w:val="18"/>
            <w:szCs w:val="18"/>
          </w:rPr>
          <w:t>2:33</w:t>
        </w:r>
      </w:hyperlink>
    </w:p>
    <w:p w14:paraId="79BE2071" w14:textId="77777777" w:rsidR="00B5612D" w:rsidRDefault="00B5612D" w:rsidP="00B5612D">
      <w:pPr>
        <w:pStyle w:val="Ttulo3"/>
        <w:shd w:val="clear" w:color="auto" w:fill="FFFFFF"/>
        <w:spacing w:before="0"/>
        <w:rPr>
          <w:rFonts w:ascii="Arial" w:hAnsi="Arial" w:cs="Arial"/>
          <w:color w:val="373A3C"/>
          <w:sz w:val="23"/>
          <w:szCs w:val="23"/>
        </w:rPr>
      </w:pPr>
      <w:r>
        <w:rPr>
          <w:rFonts w:ascii="Arial" w:hAnsi="Arial" w:cs="Arial"/>
          <w:color w:val="373A3C"/>
          <w:sz w:val="23"/>
          <w:szCs w:val="23"/>
        </w:rPr>
        <w:t>Impartido por:</w:t>
      </w:r>
    </w:p>
    <w:p w14:paraId="7FC9B73F" w14:textId="77777777" w:rsidR="00B5612D" w:rsidRPr="00B5612D" w:rsidRDefault="00B5612D">
      <w:pPr>
        <w:rPr>
          <w:lang w:val="en-US"/>
        </w:rPr>
      </w:pPr>
    </w:p>
    <w:sectPr w:rsidR="00B5612D" w:rsidRPr="00B561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56A77"/>
    <w:multiLevelType w:val="multilevel"/>
    <w:tmpl w:val="63926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2D"/>
    <w:rsid w:val="0005404D"/>
    <w:rsid w:val="00B5612D"/>
    <w:rsid w:val="00C81E9F"/>
    <w:rsid w:val="00F30A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4C08"/>
  <w15:chartTrackingRefBased/>
  <w15:docId w15:val="{5D7B3357-4C33-4C00-A7B6-1AB26921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561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5612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561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612D"/>
    <w:rPr>
      <w:color w:val="0563C1" w:themeColor="hyperlink"/>
      <w:u w:val="single"/>
    </w:rPr>
  </w:style>
  <w:style w:type="character" w:styleId="Mencinsinresolver">
    <w:name w:val="Unresolved Mention"/>
    <w:basedOn w:val="Fuentedeprrafopredeter"/>
    <w:uiPriority w:val="99"/>
    <w:semiHidden/>
    <w:unhideWhenUsed/>
    <w:rsid w:val="00B5612D"/>
    <w:rPr>
      <w:color w:val="605E5C"/>
      <w:shd w:val="clear" w:color="auto" w:fill="E1DFDD"/>
    </w:rPr>
  </w:style>
  <w:style w:type="character" w:customStyle="1" w:styleId="Ttulo1Car">
    <w:name w:val="Título 1 Car"/>
    <w:basedOn w:val="Fuentedeprrafopredeter"/>
    <w:link w:val="Ttulo1"/>
    <w:uiPriority w:val="9"/>
    <w:rsid w:val="00B5612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5612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B5612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B5612D"/>
    <w:rPr>
      <w:rFonts w:ascii="Courier New" w:eastAsia="Times New Roman" w:hAnsi="Courier New" w:cs="Courier New"/>
      <w:sz w:val="20"/>
      <w:szCs w:val="20"/>
    </w:rPr>
  </w:style>
  <w:style w:type="character" w:styleId="Textoennegrita">
    <w:name w:val="Strong"/>
    <w:basedOn w:val="Fuentedeprrafopredeter"/>
    <w:uiPriority w:val="22"/>
    <w:qFormat/>
    <w:rsid w:val="00B5612D"/>
    <w:rPr>
      <w:b/>
      <w:bCs/>
    </w:rPr>
  </w:style>
  <w:style w:type="character" w:customStyle="1" w:styleId="mi">
    <w:name w:val="mi"/>
    <w:basedOn w:val="Fuentedeprrafopredeter"/>
    <w:rsid w:val="00B5612D"/>
  </w:style>
  <w:style w:type="character" w:customStyle="1" w:styleId="mjxassistivemathml">
    <w:name w:val="mjx_assistive_mathml"/>
    <w:basedOn w:val="Fuentedeprrafopredeter"/>
    <w:rsid w:val="00B5612D"/>
  </w:style>
  <w:style w:type="character" w:customStyle="1" w:styleId="mjxp-mi">
    <w:name w:val="mjxp-mi"/>
    <w:basedOn w:val="Fuentedeprrafopredeter"/>
    <w:rsid w:val="00B5612D"/>
  </w:style>
  <w:style w:type="character" w:customStyle="1" w:styleId="mjxp-mo">
    <w:name w:val="mjxp-mo"/>
    <w:basedOn w:val="Fuentedeprrafopredeter"/>
    <w:rsid w:val="00B5612D"/>
  </w:style>
  <w:style w:type="character" w:customStyle="1" w:styleId="Ttulo3Car">
    <w:name w:val="Título 3 Car"/>
    <w:basedOn w:val="Fuentedeprrafopredeter"/>
    <w:link w:val="Ttulo3"/>
    <w:uiPriority w:val="9"/>
    <w:semiHidden/>
    <w:rsid w:val="00B5612D"/>
    <w:rPr>
      <w:rFonts w:asciiTheme="majorHAnsi" w:eastAsiaTheme="majorEastAsia" w:hAnsiTheme="majorHAnsi" w:cstheme="majorBidi"/>
      <w:color w:val="1F3763" w:themeColor="accent1" w:themeShade="7F"/>
      <w:sz w:val="24"/>
      <w:szCs w:val="24"/>
    </w:rPr>
  </w:style>
  <w:style w:type="character" w:customStyle="1" w:styleId="more-btn">
    <w:name w:val="more-btn"/>
    <w:basedOn w:val="Fuentedeprrafopredeter"/>
    <w:rsid w:val="00B5612D"/>
  </w:style>
  <w:style w:type="character" w:customStyle="1" w:styleId="video-name">
    <w:name w:val="video-name"/>
    <w:basedOn w:val="Fuentedeprrafopredeter"/>
    <w:rsid w:val="00B5612D"/>
  </w:style>
  <w:style w:type="character" w:customStyle="1" w:styleId="video-duration">
    <w:name w:val="video-duration"/>
    <w:basedOn w:val="Fuentedeprrafopredeter"/>
    <w:rsid w:val="00B56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799725">
      <w:bodyDiv w:val="1"/>
      <w:marLeft w:val="0"/>
      <w:marRight w:val="0"/>
      <w:marTop w:val="0"/>
      <w:marBottom w:val="0"/>
      <w:divBdr>
        <w:top w:val="none" w:sz="0" w:space="0" w:color="auto"/>
        <w:left w:val="none" w:sz="0" w:space="0" w:color="auto"/>
        <w:bottom w:val="none" w:sz="0" w:space="0" w:color="auto"/>
        <w:right w:val="none" w:sz="0" w:space="0" w:color="auto"/>
      </w:divBdr>
    </w:div>
    <w:div w:id="1265042894">
      <w:bodyDiv w:val="1"/>
      <w:marLeft w:val="0"/>
      <w:marRight w:val="0"/>
      <w:marTop w:val="0"/>
      <w:marBottom w:val="0"/>
      <w:divBdr>
        <w:top w:val="none" w:sz="0" w:space="0" w:color="auto"/>
        <w:left w:val="none" w:sz="0" w:space="0" w:color="auto"/>
        <w:bottom w:val="none" w:sz="0" w:space="0" w:color="auto"/>
        <w:right w:val="none" w:sz="0" w:space="0" w:color="auto"/>
      </w:divBdr>
      <w:divsChild>
        <w:div w:id="1268731616">
          <w:marLeft w:val="0"/>
          <w:marRight w:val="0"/>
          <w:marTop w:val="0"/>
          <w:marBottom w:val="0"/>
          <w:divBdr>
            <w:top w:val="single" w:sz="6" w:space="12" w:color="F0F0F0"/>
            <w:left w:val="single" w:sz="36" w:space="24" w:color="F0F0F0"/>
            <w:bottom w:val="single" w:sz="6" w:space="12" w:color="F0F0F0"/>
            <w:right w:val="single" w:sz="6" w:space="24" w:color="F0F0F0"/>
          </w:divBdr>
          <w:divsChild>
            <w:div w:id="800995490">
              <w:marLeft w:val="0"/>
              <w:marRight w:val="0"/>
              <w:marTop w:val="0"/>
              <w:marBottom w:val="0"/>
              <w:divBdr>
                <w:top w:val="none" w:sz="0" w:space="0" w:color="auto"/>
                <w:left w:val="none" w:sz="0" w:space="0" w:color="auto"/>
                <w:bottom w:val="none" w:sz="0" w:space="0" w:color="auto"/>
                <w:right w:val="none" w:sz="0" w:space="0" w:color="auto"/>
              </w:divBdr>
            </w:div>
            <w:div w:id="1119840469">
              <w:marLeft w:val="0"/>
              <w:marRight w:val="0"/>
              <w:marTop w:val="0"/>
              <w:marBottom w:val="150"/>
              <w:divBdr>
                <w:top w:val="none" w:sz="0" w:space="0" w:color="auto"/>
                <w:left w:val="none" w:sz="0" w:space="0" w:color="auto"/>
                <w:bottom w:val="none" w:sz="0" w:space="0" w:color="auto"/>
                <w:right w:val="none" w:sz="0" w:space="0" w:color="auto"/>
              </w:divBdr>
            </w:div>
            <w:div w:id="912852560">
              <w:marLeft w:val="0"/>
              <w:marRight w:val="0"/>
              <w:marTop w:val="0"/>
              <w:marBottom w:val="0"/>
              <w:divBdr>
                <w:top w:val="none" w:sz="0" w:space="0" w:color="auto"/>
                <w:left w:val="none" w:sz="0" w:space="0" w:color="auto"/>
                <w:bottom w:val="none" w:sz="0" w:space="0" w:color="auto"/>
                <w:right w:val="none" w:sz="0" w:space="0" w:color="auto"/>
              </w:divBdr>
              <w:divsChild>
                <w:div w:id="2074309501">
                  <w:marLeft w:val="0"/>
                  <w:marRight w:val="0"/>
                  <w:marTop w:val="0"/>
                  <w:marBottom w:val="0"/>
                  <w:divBdr>
                    <w:top w:val="none" w:sz="0" w:space="0" w:color="auto"/>
                    <w:left w:val="none" w:sz="0" w:space="0" w:color="auto"/>
                    <w:bottom w:val="none" w:sz="0" w:space="0" w:color="auto"/>
                    <w:right w:val="none" w:sz="0" w:space="0" w:color="auto"/>
                  </w:divBdr>
                  <w:divsChild>
                    <w:div w:id="2031685298">
                      <w:marLeft w:val="0"/>
                      <w:marRight w:val="0"/>
                      <w:marTop w:val="0"/>
                      <w:marBottom w:val="0"/>
                      <w:divBdr>
                        <w:top w:val="none" w:sz="0" w:space="0" w:color="auto"/>
                        <w:left w:val="none" w:sz="0" w:space="0" w:color="auto"/>
                        <w:bottom w:val="none" w:sz="0" w:space="0" w:color="auto"/>
                        <w:right w:val="none" w:sz="0" w:space="0" w:color="auto"/>
                      </w:divBdr>
                      <w:divsChild>
                        <w:div w:id="1783760586">
                          <w:marLeft w:val="0"/>
                          <w:marRight w:val="0"/>
                          <w:marTop w:val="0"/>
                          <w:marBottom w:val="0"/>
                          <w:divBdr>
                            <w:top w:val="none" w:sz="0" w:space="0" w:color="auto"/>
                            <w:left w:val="none" w:sz="0" w:space="0" w:color="auto"/>
                            <w:bottom w:val="none" w:sz="0" w:space="0" w:color="auto"/>
                            <w:right w:val="none" w:sz="0" w:space="0" w:color="auto"/>
                          </w:divBdr>
                        </w:div>
                      </w:divsChild>
                    </w:div>
                    <w:div w:id="14207157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1793504">
              <w:marLeft w:val="0"/>
              <w:marRight w:val="0"/>
              <w:marTop w:val="0"/>
              <w:marBottom w:val="0"/>
              <w:divBdr>
                <w:top w:val="none" w:sz="0" w:space="0" w:color="auto"/>
                <w:left w:val="none" w:sz="0" w:space="0" w:color="auto"/>
                <w:bottom w:val="none" w:sz="0" w:space="0" w:color="auto"/>
                <w:right w:val="none" w:sz="0" w:space="0" w:color="auto"/>
              </w:divBdr>
              <w:divsChild>
                <w:div w:id="797190288">
                  <w:marLeft w:val="0"/>
                  <w:marRight w:val="0"/>
                  <w:marTop w:val="0"/>
                  <w:marBottom w:val="0"/>
                  <w:divBdr>
                    <w:top w:val="none" w:sz="0" w:space="0" w:color="auto"/>
                    <w:left w:val="none" w:sz="0" w:space="0" w:color="auto"/>
                    <w:bottom w:val="none" w:sz="0" w:space="0" w:color="auto"/>
                    <w:right w:val="none" w:sz="0" w:space="0" w:color="auto"/>
                  </w:divBdr>
                </w:div>
                <w:div w:id="829757861">
                  <w:marLeft w:val="0"/>
                  <w:marRight w:val="0"/>
                  <w:marTop w:val="0"/>
                  <w:marBottom w:val="0"/>
                  <w:divBdr>
                    <w:top w:val="none" w:sz="0" w:space="0" w:color="auto"/>
                    <w:left w:val="none" w:sz="0" w:space="0" w:color="auto"/>
                    <w:bottom w:val="none" w:sz="0" w:space="0" w:color="auto"/>
                    <w:right w:val="none" w:sz="0" w:space="0" w:color="auto"/>
                  </w:divBdr>
                </w:div>
                <w:div w:id="1677884053">
                  <w:marLeft w:val="0"/>
                  <w:marRight w:val="0"/>
                  <w:marTop w:val="0"/>
                  <w:marBottom w:val="0"/>
                  <w:divBdr>
                    <w:top w:val="none" w:sz="0" w:space="0" w:color="auto"/>
                    <w:left w:val="none" w:sz="0" w:space="0" w:color="auto"/>
                    <w:bottom w:val="none" w:sz="0" w:space="0" w:color="auto"/>
                    <w:right w:val="none" w:sz="0" w:space="0" w:color="auto"/>
                  </w:divBdr>
                </w:div>
                <w:div w:id="11817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9465">
          <w:marLeft w:val="0"/>
          <w:marRight w:val="0"/>
          <w:marTop w:val="0"/>
          <w:marBottom w:val="0"/>
          <w:divBdr>
            <w:top w:val="none" w:sz="0" w:space="0" w:color="auto"/>
            <w:left w:val="none" w:sz="0" w:space="0" w:color="auto"/>
            <w:bottom w:val="none" w:sz="0" w:space="0" w:color="auto"/>
            <w:right w:val="none" w:sz="0" w:space="0" w:color="auto"/>
          </w:divBdr>
        </w:div>
      </w:divsChild>
    </w:div>
    <w:div w:id="167249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s.quantecon.org/submission/5b32e9b0b9eab00015b89f7d" TargetMode="External"/><Relationship Id="rId13" Type="http://schemas.openxmlformats.org/officeDocument/2006/relationships/hyperlink" Target="https://www.coursera.org/lecture/global-statistics/5-2-2-the-product-space-methodology-ADVv2" TargetMode="External"/><Relationship Id="rId3" Type="http://schemas.openxmlformats.org/officeDocument/2006/relationships/settings" Target="settings.xml"/><Relationship Id="rId7" Type="http://schemas.openxmlformats.org/officeDocument/2006/relationships/hyperlink" Target="https://notes.quantecon.org/submission/5b32e9b0b9eab00015b89f7d" TargetMode="External"/><Relationship Id="rId12" Type="http://schemas.openxmlformats.org/officeDocument/2006/relationships/hyperlink" Target="https://www.coursera.org/lecture/global-statistics/5-2-1-overview-of-pdi-motivation-and-data-treatment-EfLV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mcky" TargetMode="External"/><Relationship Id="rId11" Type="http://schemas.openxmlformats.org/officeDocument/2006/relationships/hyperlink" Target="https://www.coursera.org/lecture/global-statistics/5-2-2-the-product-space-methodology-ADVv2" TargetMode="External"/><Relationship Id="rId5" Type="http://schemas.openxmlformats.org/officeDocument/2006/relationships/hyperlink" Target="https://notes.quantecon.org/submission/5b32e9b0b9eab00015b89f7d" TargetMode="External"/><Relationship Id="rId15" Type="http://schemas.openxmlformats.org/officeDocument/2006/relationships/hyperlink" Target="https://www.coursera.org/lecture/global-statistics/5-2-4-user-perspective-UKZSf" TargetMode="External"/><Relationship Id="rId10" Type="http://schemas.openxmlformats.org/officeDocument/2006/relationships/hyperlink" Target="https://www.coursera.org/lecture/global-statistics/5-2-2-the-product-space-methodology-ADVv2" TargetMode="External"/><Relationship Id="rId4" Type="http://schemas.openxmlformats.org/officeDocument/2006/relationships/webSettings" Target="webSettings.xml"/><Relationship Id="rId9" Type="http://schemas.openxmlformats.org/officeDocument/2006/relationships/hyperlink" Target="https://notes.quantecon.org/submission/5b32e9b0b9eab00015b89f7d" TargetMode="External"/><Relationship Id="rId14" Type="http://schemas.openxmlformats.org/officeDocument/2006/relationships/hyperlink" Target="https://www.coursera.org/lecture/global-statistics/5-2-3-dimensions-of-the-index-supply-and-demand-sides-and-results-7HAF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530</Words>
  <Characters>2920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1</cp:revision>
  <dcterms:created xsi:type="dcterms:W3CDTF">2021-01-12T20:05:00Z</dcterms:created>
  <dcterms:modified xsi:type="dcterms:W3CDTF">2021-01-12T20:37:00Z</dcterms:modified>
</cp:coreProperties>
</file>