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PROCEDIMIENTO DE USO</w:t>
      </w:r>
    </w:p>
    <w:p>
      <w:pPr>
        <w:jc w:val="center"/>
      </w:pPr>
      <w:r>
        <w:rPr>
          <w:b/>
          <w:color w:val="404040"/>
          <w:sz w:val="28"/>
        </w:rPr>
        <w:t>Sistema de Control de Insumos Críticos — SIMET-USACH</w:t>
      </w:r>
    </w:p>
    <w:p/>
    <w:tbl>
      <w:tblPr>
        <w:tblStyle w:val="TableGrid"/>
        <w:tblW w:type="auto" w:w="0"/>
        <w:jc w:val="center"/>
        <w:tblLayout w:type="fixed"/>
        <w:tblLook w:firstColumn="1" w:firstRow="1" w:lastColumn="0" w:lastRow="0" w:noHBand="0" w:noVBand="1" w:val="04A0"/>
        <w:tblLayout w:type="fixed"/>
        <w:tblW w:w="9072" w:type="dxa"/>
      </w:tblPr>
      <w:tblGrid>
        <w:gridCol w:w="3402"/>
        <w:gridCol w:w="5670"/>
      </w:tblGrid>
      <w:tr>
        <w:tc>
          <w:tcPr>
            <w:tcW w:type="dxa" w:w="3402"/>
            <w:shd w:val="clear" w:color="auto" w:fill="DCE6F1"/>
          </w:tcPr>
          <w:p>
            <w:r/>
            <w:r>
              <w:rPr>
                <w:b/>
              </w:rPr>
              <w:t>Código</w:t>
            </w:r>
          </w:p>
        </w:tc>
        <w:tc>
          <w:tcPr>
            <w:tcW w:type="dxa" w:w="5669"/>
          </w:tcPr>
          <w:p>
            <w:r>
              <w:t>PROC-SIMET-001</w:t>
            </w:r>
          </w:p>
        </w:tc>
      </w:tr>
      <w:tr>
        <w:tc>
          <w:tcPr>
            <w:tcW w:type="dxa" w:w="3402"/>
            <w:shd w:val="clear" w:color="auto" w:fill="DCE6F1"/>
          </w:tcPr>
          <w:p>
            <w:r/>
            <w:r>
              <w:rPr>
                <w:b/>
              </w:rPr>
              <w:t>Versión</w:t>
            </w:r>
          </w:p>
        </w:tc>
        <w:tc>
          <w:tcPr>
            <w:tcW w:type="dxa" w:w="5669"/>
          </w:tcPr>
          <w:p>
            <w:r>
              <w:t>1.0</w:t>
            </w:r>
          </w:p>
        </w:tc>
      </w:tr>
      <w:tr>
        <w:tc>
          <w:tcPr>
            <w:tcW w:type="dxa" w:w="3402"/>
            <w:shd w:val="clear" w:color="auto" w:fill="DCE6F1"/>
          </w:tcPr>
          <w:p>
            <w:r/>
            <w:r>
              <w:rPr>
                <w:b/>
              </w:rPr>
              <w:t>Fecha de emisión</w:t>
            </w:r>
          </w:p>
        </w:tc>
        <w:tc>
          <w:tcPr>
            <w:tcW w:type="dxa" w:w="5669"/>
          </w:tcPr>
          <w:p>
            <w:r>
              <w:t>22-08-2026</w:t>
            </w:r>
          </w:p>
        </w:tc>
      </w:tr>
      <w:tr>
        <w:tc>
          <w:tcPr>
            <w:tcW w:type="dxa" w:w="3402"/>
            <w:shd w:val="clear" w:color="auto" w:fill="DCE6F1"/>
          </w:tcPr>
          <w:p>
            <w:r/>
            <w:r>
              <w:rPr>
                <w:b/>
              </w:rPr>
              <w:t>Elaborado por</w:t>
            </w:r>
          </w:p>
        </w:tc>
        <w:tc>
          <w:tcPr>
            <w:tcW w:type="dxa" w:w="5669"/>
          </w:tcPr>
          <w:p>
            <w:r>
              <w:t>Sofía Cáceres Manzano</w:t>
            </w:r>
          </w:p>
        </w:tc>
      </w:tr>
      <w:tr>
        <w:tc>
          <w:tcPr>
            <w:tcW w:type="dxa" w:w="3402"/>
            <w:shd w:val="clear" w:color="auto" w:fill="DCE6F1"/>
          </w:tcPr>
          <w:p>
            <w:r/>
            <w:r>
              <w:rPr>
                <w:b/>
              </w:rPr>
              <w:t>Proceso asociado</w:t>
            </w:r>
          </w:p>
        </w:tc>
        <w:tc>
          <w:tcPr>
            <w:tcW w:type="dxa" w:w="5669"/>
          </w:tcPr>
          <w:p>
            <w:r>
              <w:t>Gestión de insumos críticos de laboratorio</w:t>
            </w:r>
          </w:p>
        </w:tc>
      </w:tr>
    </w:tbl>
    <w:p>
      <w:r>
        <w:br w:type="page"/>
      </w:r>
    </w:p>
    <w:p>
      <w:pPr>
        <w:pStyle w:val="Heading1"/>
      </w:pPr>
      <w:r>
        <w:t>1. Objetivo</w:t>
      </w:r>
    </w:p>
    <w:p>
      <w:r>
        <w:t>Establecer la forma correcta de utilizar el Sistema de Control de Insumos Críticos (en adelante, "la aplicación" o "el sistema") para registrar ingresos y egresos de insumos, consultar el estado de stock y mantener actualizado el catálogo de insumos críticos del laboratorio SIMET-USACH, asegurando trazabilidad y disponibilidad de la información para la toma de decisiones.</w:t>
      </w:r>
    </w:p>
    <w:p>
      <w:pPr>
        <w:pStyle w:val="Heading1"/>
      </w:pPr>
      <w:r>
        <w:t>2. Alcance</w:t>
      </w:r>
    </w:p>
    <w:p>
      <w:r>
        <w:t>Este procedimiento aplica a todo el personal del laboratorio SIMET-USACH que registre movimientos de insumos (ingresos o egresos), consulte el estado de stock, o administre el catálogo de insumos críticos, ya sea utilizando la aplicación en su versión local (instalada en el computador del laboratorio) o en su versión publicada en Streamlit Community Cloud.</w:t>
      </w:r>
    </w:p>
    <w:p>
      <w:pPr>
        <w:pStyle w:val="Heading1"/>
      </w:pPr>
      <w:r>
        <w:t>3. Documentos de referencia</w:t>
      </w:r>
    </w:p>
    <w:p>
      <w:pPr>
        <w:pStyle w:val="ListBullet"/>
      </w:pPr>
      <w:r>
        <w:rPr>
          <w:b/>
        </w:rPr>
        <w:t xml:space="preserve">Planilla </w:t>
      </w:r>
      <w:r>
        <w:t>Clasificación ABC Multicriterio de insumos críticos SIMET-USACH.</w:t>
      </w:r>
    </w:p>
    <w:p>
      <w:pPr>
        <w:pStyle w:val="ListBullet"/>
      </w:pPr>
      <w:r>
        <w:rPr>
          <w:b/>
        </w:rPr>
        <w:t xml:space="preserve">Planilla </w:t>
      </w:r>
      <w:r>
        <w:t>Ficha de Consumo de Insumos por Operación SIMET-USACH.</w:t>
      </w:r>
    </w:p>
    <w:p>
      <w:pPr>
        <w:pStyle w:val="ListBullet"/>
      </w:pPr>
      <w:r>
        <w:t>Repositorio del código fuente de la aplicación: github.com/scaceresmanzano-boop/control-insumos-simet.</w:t>
      </w:r>
    </w:p>
    <w:p>
      <w:pPr>
        <w:pStyle w:val="Heading1"/>
      </w:pPr>
      <w:r>
        <w:t>4. Definiciones y abreviaturas</w:t>
      </w:r>
    </w:p>
    <w:tbl>
      <w:tblPr>
        <w:tblStyle w:val="TableGrid"/>
        <w:tblW w:type="auto" w:w="0"/>
        <w:tblLayout w:type="fixed"/>
        <w:tblLook w:firstColumn="1" w:firstRow="1" w:lastColumn="0" w:lastRow="0" w:noHBand="0" w:noVBand="1" w:val="04A0"/>
        <w:tblLayout w:type="fixed"/>
        <w:tblW w:w="9072" w:type="dxa"/>
      </w:tblPr>
      <w:tblGrid>
        <w:gridCol w:w="2551"/>
        <w:gridCol w:w="6520"/>
      </w:tblGrid>
      <w:tr>
        <w:tc>
          <w:tcPr>
            <w:tcW w:type="dxa" w:w="2551"/>
            <w:shd w:val="clear" w:color="auto" w:fill="1F3864"/>
          </w:tcPr>
          <w:p>
            <w:r>
              <w:rPr>
                <w:b/>
                <w:color w:val="FFFFFF"/>
              </w:rPr>
              <w:t>Término</w:t>
            </w:r>
          </w:p>
        </w:tc>
        <w:tc>
          <w:tcPr>
            <w:tcW w:type="dxa" w:w="6520"/>
            <w:shd w:val="clear" w:color="auto" w:fill="1F3864"/>
          </w:tcPr>
          <w:p>
            <w:r>
              <w:rPr>
                <w:b/>
                <w:color w:val="FFFFFF"/>
              </w:rPr>
              <w:t>Definición</w:t>
            </w:r>
          </w:p>
        </w:tc>
      </w:tr>
      <w:tr>
        <w:tc>
          <w:tcPr>
            <w:tcW w:type="dxa" w:w="2551"/>
          </w:tcPr>
          <w:p>
            <w:r>
              <w:rPr>
                <w:b/>
              </w:rPr>
              <w:t>Insumo crítico</w:t>
            </w:r>
          </w:p>
        </w:tc>
        <w:tc>
          <w:tcPr>
            <w:tcW w:type="dxa" w:w="6520"/>
          </w:tcPr>
          <w:p>
            <w:r>
              <w:t>Material o consumible cuya falta de disponibilidad puede afectar la continuidad de los ensayos u operaciones del laboratorio.</w:t>
            </w:r>
          </w:p>
        </w:tc>
      </w:tr>
      <w:tr>
        <w:tc>
          <w:tcPr>
            <w:tcW w:type="dxa" w:w="2551"/>
          </w:tcPr>
          <w:p>
            <w:r>
              <w:rPr>
                <w:b/>
              </w:rPr>
              <w:t>Clasificación ABC</w:t>
            </w:r>
          </w:p>
        </w:tc>
        <w:tc>
          <w:tcPr>
            <w:tcW w:type="dxa" w:w="6520"/>
          </w:tcPr>
          <w:p>
            <w:r>
              <w:t>Metodología multicriterio (Hadi-Vencheh) que ordena los insumos en clases A, B o C según un puntaje ponderado de costo unitario, frecuencia de uso, impacto operacional y tiempo de reposición. Clase A agrupa a los insumos más críticos.</w:t>
            </w:r>
          </w:p>
        </w:tc>
      </w:tr>
      <w:tr>
        <w:tc>
          <w:tcPr>
            <w:tcW w:type="dxa" w:w="2551"/>
          </w:tcPr>
          <w:p>
            <w:r>
              <w:rPr>
                <w:b/>
              </w:rPr>
              <w:t>Stock mínimo</w:t>
            </w:r>
          </w:p>
        </w:tc>
        <w:tc>
          <w:tcPr>
            <w:tcW w:type="dxa" w:w="6520"/>
          </w:tcPr>
          <w:p>
            <w:r>
              <w:t>Cantidad de un insumo bajo la cual se considera que el nivel de existencias es insuficiente y se activa la alerta correspondiente.</w:t>
            </w:r>
          </w:p>
        </w:tc>
      </w:tr>
      <w:tr>
        <w:tc>
          <w:tcPr>
            <w:tcW w:type="dxa" w:w="2551"/>
          </w:tcPr>
          <w:p>
            <w:r>
              <w:rPr>
                <w:b/>
              </w:rPr>
              <w:t>Ingreso</w:t>
            </w:r>
          </w:p>
        </w:tc>
        <w:tc>
          <w:tcPr>
            <w:tcW w:type="dxa" w:w="6520"/>
          </w:tcPr>
          <w:p>
            <w:r>
              <w:t>Movimiento que aumenta el stock de un insumo (por ejemplo, una compra recibida).</w:t>
            </w:r>
          </w:p>
        </w:tc>
      </w:tr>
      <w:tr>
        <w:tc>
          <w:tcPr>
            <w:tcW w:type="dxa" w:w="2551"/>
          </w:tcPr>
          <w:p>
            <w:r>
              <w:rPr>
                <w:b/>
              </w:rPr>
              <w:t>Egreso</w:t>
            </w:r>
          </w:p>
        </w:tc>
        <w:tc>
          <w:tcPr>
            <w:tcW w:type="dxa" w:w="6520"/>
          </w:tcPr>
          <w:p>
            <w:r>
              <w:t>Movimiento que disminuye el stock de un insumo (por ejemplo, su consumo en un ensayo u orden de trabajo).</w:t>
            </w:r>
          </w:p>
        </w:tc>
      </w:tr>
      <w:tr>
        <w:tc>
          <w:tcPr>
            <w:tcW w:type="dxa" w:w="2551"/>
          </w:tcPr>
          <w:p>
            <w:r>
              <w:rPr>
                <w:b/>
              </w:rPr>
              <w:t>OT</w:t>
            </w:r>
          </w:p>
        </w:tc>
        <w:tc>
          <w:tcPr>
            <w:tcW w:type="dxa" w:w="6520"/>
          </w:tcPr>
          <w:p>
            <w:r>
              <w:t>Orden de trabajo u ensayo asociado a un egreso de insumo.</w:t>
            </w:r>
          </w:p>
        </w:tc>
      </w:tr>
      <w:tr>
        <w:tc>
          <w:tcPr>
            <w:tcW w:type="dxa" w:w="2551"/>
          </w:tcPr>
          <w:p>
            <w:r>
              <w:rPr>
                <w:b/>
              </w:rPr>
              <w:t>Administrador</w:t>
            </w:r>
          </w:p>
        </w:tc>
        <w:tc>
          <w:tcPr>
            <w:tcW w:type="dxa" w:w="6520"/>
          </w:tcPr>
          <w:p>
            <w:r>
              <w:t>Usuario autorizado (SCM) para incorporar insumos nuevos al catálogo mediante contraseña.</w:t>
            </w:r>
          </w:p>
        </w:tc>
      </w:tr>
    </w:tbl>
    <w:p>
      <w:pPr>
        <w:pStyle w:val="Heading1"/>
      </w:pPr>
      <w:r>
        <w:t>5. Responsabilidades</w:t>
      </w:r>
    </w:p>
    <w:tbl>
      <w:tblPr>
        <w:tblStyle w:val="TableGrid"/>
        <w:tblW w:type="auto" w:w="0"/>
        <w:tblLayout w:type="fixed"/>
        <w:tblLook w:firstColumn="1" w:firstRow="1" w:lastColumn="0" w:lastRow="0" w:noHBand="0" w:noVBand="1" w:val="04A0"/>
        <w:tblLayout w:type="fixed"/>
        <w:tblW w:w="9072" w:type="dxa"/>
      </w:tblPr>
      <w:tblGrid>
        <w:gridCol w:w="2835"/>
        <w:gridCol w:w="6237"/>
      </w:tblGrid>
      <w:tr>
        <w:tc>
          <w:tcPr>
            <w:tcW w:type="dxa" w:w="2835"/>
            <w:shd w:val="clear" w:color="auto" w:fill="1F3864"/>
          </w:tcPr>
          <w:p>
            <w:r>
              <w:rPr>
                <w:b/>
                <w:color w:val="FFFFFF"/>
              </w:rPr>
              <w:t>Rol</w:t>
            </w:r>
          </w:p>
        </w:tc>
        <w:tc>
          <w:tcPr>
            <w:tcW w:type="dxa" w:w="6236"/>
            <w:shd w:val="clear" w:color="auto" w:fill="1F3864"/>
          </w:tcPr>
          <w:p>
            <w:r>
              <w:rPr>
                <w:b/>
                <w:color w:val="FFFFFF"/>
              </w:rPr>
              <w:t>Responsabilidad</w:t>
            </w:r>
          </w:p>
        </w:tc>
      </w:tr>
      <w:tr>
        <w:tc>
          <w:tcPr>
            <w:tcW w:type="dxa" w:w="2835"/>
          </w:tcPr>
          <w:p>
            <w:r>
              <w:rPr>
                <w:b/>
              </w:rPr>
              <w:t>Personal de laboratorio</w:t>
            </w:r>
          </w:p>
        </w:tc>
        <w:tc>
          <w:tcPr>
            <w:tcW w:type="dxa" w:w="6236"/>
          </w:tcPr>
          <w:p>
            <w:r>
              <w:t>Registrar ingresos y egresos de insumos de forma oportuna y veraz, indicando responsable y ensayo/OT en cada egreso. Consultar el estado de stock antes de iniciar un ensayo que requiera insumos críticos.</w:t>
            </w:r>
          </w:p>
        </w:tc>
      </w:tr>
      <w:tr>
        <w:tc>
          <w:tcPr>
            <w:tcW w:type="dxa" w:w="2835"/>
          </w:tcPr>
          <w:p>
            <w:r>
              <w:rPr>
                <w:b/>
              </w:rPr>
              <w:t>Administrador (SCM)</w:t>
            </w:r>
          </w:p>
        </w:tc>
        <w:tc>
          <w:tcPr>
            <w:tcW w:type="dxa" w:w="6236"/>
          </w:tcPr>
          <w:p>
            <w:r>
              <w:t>Mantener actualizado el catálogo de insumos, incorporando ítems nuevos cuando corresponda, definiendo stock mínimo, proveedor y criterios de clasificación ABC. Custodiar la contraseña de administrador.</w:t>
            </w:r>
          </w:p>
        </w:tc>
      </w:tr>
    </w:tbl>
    <w:p>
      <w:r>
        <w:br w:type="page"/>
      </w:r>
    </w:p>
    <w:p>
      <w:pPr>
        <w:pStyle w:val="Heading1"/>
      </w:pPr>
      <w:r>
        <w:t>6. Desarrollo del procedimiento</w:t>
      </w:r>
    </w:p>
    <w:p>
      <w:pPr>
        <w:pStyle w:val="Heading2"/>
      </w:pPr>
      <w:r>
        <w:t>6.1 Acceso al sistema</w:t>
      </w:r>
    </w:p>
    <w:p>
      <w:r>
        <w:t>El sistema puede utilizarse de dos formas:</w:t>
      </w:r>
    </w:p>
    <w:p>
      <w:pPr>
        <w:pStyle w:val="ListBullet"/>
      </w:pPr>
      <w:r>
        <w:rPr>
          <w:b/>
        </w:rPr>
        <w:t xml:space="preserve">Acceso local: </w:t>
      </w:r>
      <w:r>
        <w:t>Doble clic en el acceso directo "Control Insumos SIMET" del Escritorio (o en el archivo Abrir_App.bat dentro de la carpeta del proyecto). Se abre una ventana del sistema y, luego, la aplicación en el navegador. No cerrar esa ventana mientras se use la aplicación.</w:t>
      </w:r>
    </w:p>
    <w:p>
      <w:pPr>
        <w:pStyle w:val="ListBullet"/>
      </w:pPr>
      <w:r>
        <w:rPr>
          <w:b/>
        </w:rPr>
        <w:t xml:space="preserve">Acceso remoto: </w:t>
      </w:r>
      <w:r>
        <w:t>Ingresar directamente al link público entregado por el laboratorio (Streamlit Community Cloud). No requiere instalación, pero el almacenamiento de esa versión puede reiniciarse si el servicio está inactivo por un tiempo prolongado; para el registro diario de movimientos se recomienda el acceso local.</w:t>
      </w:r>
    </w:p>
    <w:p>
      <w:r>
        <w:t>Una vez abierta, la aplicación muestra tres pantallas disponibles en el menú lateral izquierdo: Registrar Ingreso, Registrar Egreso y Ver Estado.</w:t>
      </w:r>
    </w:p>
    <w:p>
      <w:pPr>
        <w:pStyle w:val="Heading2"/>
      </w:pPr>
      <w:r>
        <w:t>6.2 Registrar ingreso de insumos</w:t>
      </w:r>
    </w:p>
    <w:p>
      <w:r>
        <w:t>Se utiliza cada vez que se recibe una compra o reposición de un insumo. Pasos:</w:t>
      </w:r>
    </w:p>
    <w:p>
      <w:pPr>
        <w:pStyle w:val="ListNumber"/>
      </w:pPr>
      <w:r>
        <w:t>En el menú lateral, seleccionar "Registrar Ingreso".</w:t>
      </w:r>
    </w:p>
    <w:p>
      <w:pPr>
        <w:pStyle w:val="ListNumber"/>
      </w:pPr>
      <w:r>
        <w:t>Opcional: escanear el código de barras del insumo con el lector USB en el campo "Escanear código de barras"; el sistema selecciona automáticamente el insumo correspondiente. Si no se escanea, seleccionar el insumo manualmente en el campo "Insumo".</w:t>
      </w:r>
    </w:p>
    <w:p>
      <w:pPr>
        <w:pStyle w:val="ListNumber"/>
      </w:pPr>
      <w:r>
        <w:t>Ingresar la "Cantidad" recibida.</w:t>
      </w:r>
    </w:p>
    <w:p>
      <w:pPr>
        <w:pStyle w:val="ListNumber"/>
      </w:pPr>
      <w:r>
        <w:t>Ingresar el "Proveedor".</w:t>
      </w:r>
    </w:p>
    <w:p>
      <w:pPr>
        <w:pStyle w:val="ListNumber"/>
      </w:pPr>
      <w:r>
        <w:t>Verificar o ajustar la "Fecha" (por defecto, la fecha actual).</w:t>
      </w:r>
    </w:p>
    <w:p>
      <w:pPr>
        <w:pStyle w:val="ListNumber"/>
      </w:pPr>
      <w:r>
        <w:t>Opcional: agregar una observación.</w:t>
      </w:r>
    </w:p>
    <w:p>
      <w:pPr>
        <w:pStyle w:val="ListNumber"/>
      </w:pPr>
      <w:r>
        <w:t>Presionar "Registrar ingreso". El sistema suma la cantidad al stock actual del insumo y deja el movimiento registrado en la tabla "Últimos ingresos registrados".</w:t>
      </w:r>
    </w:p>
    <w:p>
      <w:pPr>
        <w:pStyle w:val="Heading2"/>
      </w:pPr>
      <w:r>
        <w:t>6.3 Registrar egreso de insumos</w:t>
      </w:r>
    </w:p>
    <w:p>
      <w:r>
        <w:t>Se utiliza cada vez que se retira un insumo del laboratorio para un ensayo u orden de trabajo. Pasos:</w:t>
      </w:r>
    </w:p>
    <w:p>
      <w:pPr>
        <w:pStyle w:val="ListNumber"/>
      </w:pPr>
      <w:r>
        <w:t>En el menú lateral, seleccionar "Registrar Egreso".</w:t>
      </w:r>
    </w:p>
    <w:p>
      <w:pPr>
        <w:pStyle w:val="ListNumber"/>
      </w:pPr>
      <w:r>
        <w:t>Opcional: escanear el código de barras del insumo, o seleccionarlo manualmente en el campo "Insumo".</w:t>
      </w:r>
    </w:p>
    <w:p>
      <w:pPr>
        <w:pStyle w:val="ListNumber"/>
      </w:pPr>
      <w:r>
        <w:t>El sistema muestra, bajo el selector de insumo, quién fue la última persona que retiró ese insumo, cuándo y para qué ensayo/OT, como referencia.</w:t>
      </w:r>
    </w:p>
    <w:p>
      <w:pPr>
        <w:pStyle w:val="ListNumber"/>
      </w:pPr>
      <w:r>
        <w:t>Ingresar la "Cantidad" a retirar. El sistema valida que exista stock suficiente; si la cantidad solicitada supera el stock disponible, la operación se bloquea y muestra un mensaje de error.</w:t>
      </w:r>
    </w:p>
    <w:p>
      <w:pPr>
        <w:pStyle w:val="ListNumber"/>
      </w:pPr>
      <w:r>
        <w:t>Ingresar el "Ensayo / OT asociado".</w:t>
      </w:r>
    </w:p>
    <w:p>
      <w:pPr>
        <w:pStyle w:val="ListNumber"/>
      </w:pPr>
      <w:r>
        <w:t>Seleccionar el "Responsable" de la lista predefinida. Si la persona no aparece en la lista, seleccionar "➕ Otro (nuevo)" y escribir su nombre o iniciales en el campo que aparece debajo; quedará disponible en la lista para la próxima vez.</w:t>
      </w:r>
    </w:p>
    <w:p>
      <w:pPr>
        <w:pStyle w:val="ListNumber"/>
      </w:pPr>
      <w:r>
        <w:t>Verificar o ajustar la "Fecha".</w:t>
      </w:r>
    </w:p>
    <w:p>
      <w:pPr>
        <w:pStyle w:val="ListNumber"/>
      </w:pPr>
      <w:r>
        <w:t>Opcional: agregar una observación.</w:t>
      </w:r>
    </w:p>
    <w:p>
      <w:pPr>
        <w:pStyle w:val="ListNumber"/>
      </w:pPr>
      <w:r>
        <w:t>Presionar "Registrar egreso". El sistema resta la cantidad del stock actual del insumo y deja el movimiento registrado en la tabla "Últimos egresos registrados".</w:t>
      </w:r>
    </w:p>
    <w:p>
      <w:pPr>
        <w:pStyle w:val="Heading2"/>
      </w:pPr>
      <w:r>
        <w:t>6.4 Consultar el estado de insumos</w:t>
      </w:r>
    </w:p>
    <w:p>
      <w:r>
        <w:t>Permite visualizar el catálogo completo y su nivel de stock. Pasos:</w:t>
      </w:r>
    </w:p>
    <w:p>
      <w:pPr>
        <w:pStyle w:val="ListNumber"/>
      </w:pPr>
      <w:r>
        <w:t>En el menú lateral, seleccionar "Ver Estado".</w:t>
      </w:r>
    </w:p>
    <w:p>
      <w:pPr>
        <w:pStyle w:val="ListNumber"/>
      </w:pPr>
      <w:r>
        <w:t>La tabla muestra todos los insumos ordenados por clase ABC (A primero), con una columna de alerta visual: 🔴 stock bajo el mínimo, 🟠 stock dentro de un 20% sobre el mínimo, 🟢 stock saludable.</w:t>
      </w:r>
    </w:p>
    <w:p>
      <w:pPr>
        <w:pStyle w:val="ListNumber"/>
      </w:pPr>
      <w:r>
        <w:t>Se pueden editar directamente en la tabla los campos: código, categoría, stock mínimo, unidad, proveedor y los cuatro criterios de clasificación ABC (costo unitario, frecuencia de uso, impacto operacional, tiempo de reposición).</w:t>
      </w:r>
    </w:p>
    <w:p>
      <w:pPr>
        <w:pStyle w:val="ListNumber"/>
      </w:pPr>
      <w:r>
        <w:t>Al presionar "💾 Guardar cambios", el sistema guarda las modificaciones y recalcula automáticamente la clasificación ABC de todo el catálogo.</w:t>
      </w:r>
    </w:p>
    <w:p>
      <w:pPr>
        <w:pStyle w:val="Heading2"/>
      </w:pPr>
      <w:r>
        <w:t>6.5 Uso del lector de código de barras</w:t>
      </w:r>
    </w:p>
    <w:p>
      <w:r>
        <w:t>Cada insumo del catálogo tiene asignado un código único (formato INS0000). Pasos para su uso:</w:t>
      </w:r>
    </w:p>
    <w:p>
      <w:pPr>
        <w:pStyle w:val="ListNumber"/>
      </w:pPr>
      <w:r>
        <w:t>Si un insumo no tiene código asignado, en "Ver Estado" presionar el botón "🏷️ Generar códigos automáticos para insumos sin código".</w:t>
      </w:r>
    </w:p>
    <w:p>
      <w:pPr>
        <w:pStyle w:val="ListNumber"/>
      </w:pPr>
      <w:r>
        <w:t>En la sección "🏷️ Etiquetas para imprimir" de "Ver Estado", presionar "Descargar etiquetas (PDF)" para obtener un documento con una etiqueta de código de barras por insumo, lista para imprimir y pegar en cada envase o contenedor.</w:t>
      </w:r>
    </w:p>
    <w:p>
      <w:pPr>
        <w:pStyle w:val="ListNumber"/>
      </w:pPr>
      <w:r>
        <w:t>En las pantallas "Registrar Ingreso" y "Registrar Egreso", hacer clic en el campo "Escanear código de barras" y pasar el lector sobre la etiqueta; el sistema selecciona automáticamente el insumo correspondiente.</w:t>
      </w:r>
    </w:p>
    <w:p>
      <w:pPr>
        <w:pStyle w:val="Heading2"/>
      </w:pPr>
      <w:r>
        <w:t>6.6 Incorporar un insumo nuevo al catálogo</w:t>
      </w:r>
    </w:p>
    <w:p>
      <w:r>
        <w:t>Esta función está restringida al administrador del sistema (SCM) mediante contraseña, para mantener la integridad del catálogo. Pasos:</w:t>
      </w:r>
    </w:p>
    <w:p>
      <w:pPr>
        <w:pStyle w:val="ListNumber"/>
      </w:pPr>
      <w:r>
        <w:t>En "Ver Estado", abrir el panel "➕ Agregar nuevo insumo (solo SCM)".</w:t>
      </w:r>
    </w:p>
    <w:p>
      <w:pPr>
        <w:pStyle w:val="ListNumber"/>
      </w:pPr>
      <w:r>
        <w:t>Ingresar la contraseña de administrador y presionar "Desbloquear".</w:t>
      </w:r>
    </w:p>
    <w:p>
      <w:pPr>
        <w:pStyle w:val="ListNumber"/>
      </w:pPr>
      <w:r>
        <w:t>Completar el nombre del insumo (obligatorio), categoría, unidad, stock inicial, stock mínimo y proveedor.</w:t>
      </w:r>
    </w:p>
    <w:p>
      <w:pPr>
        <w:pStyle w:val="ListNumber"/>
      </w:pPr>
      <w:r>
        <w:t>Opcional: marcar "Definir criterios de clasificación ABC ahora" e ingresar costo unitario, frecuencia de uso, impacto operacional y tiempo de reposición.</w:t>
      </w:r>
    </w:p>
    <w:p>
      <w:pPr>
        <w:pStyle w:val="ListNumber"/>
      </w:pPr>
      <w:r>
        <w:t>Presionar "Agregar insumo". El sistema asigna un código único automáticamente y recalcula la clasificación ABC de todo el catálogo.</w:t>
      </w:r>
    </w:p>
    <w:p>
      <w:pPr>
        <w:pStyle w:val="Heading2"/>
      </w:pPr>
      <w:r>
        <w:t>6.7 Exportar información a Excel</w:t>
      </w:r>
    </w:p>
    <w:p>
      <w:r>
        <w:t>En "Ver Estado", en la sección "⬇ Exportar", presionar el botón "Exportar a Excel" para descargar el estado completo del catálogo (stock, clasificación ABC, proveedor, etc.) en un archivo .xlsx, con el mismo formato de columnas utilizado en la planilla original de clasificación ABC de la tesis.</w:t>
      </w:r>
    </w:p>
    <w:p>
      <w:pPr>
        <w:pStyle w:val="Heading1"/>
      </w:pPr>
      <w:r>
        <w:t>7. Registros generados por el sistema</w:t>
      </w:r>
    </w:p>
    <w:tbl>
      <w:tblPr>
        <w:tblStyle w:val="TableGrid"/>
        <w:tblW w:type="auto" w:w="0"/>
        <w:tblLayout w:type="fixed"/>
        <w:tblLook w:firstColumn="1" w:firstRow="1" w:lastColumn="0" w:lastRow="0" w:noHBand="0" w:noVBand="1" w:val="04A0"/>
        <w:tblLayout w:type="fixed"/>
        <w:tblW w:w="9072" w:type="dxa"/>
      </w:tblPr>
      <w:tblGrid>
        <w:gridCol w:w="3402"/>
        <w:gridCol w:w="5670"/>
      </w:tblGrid>
      <w:tr>
        <w:tc>
          <w:tcPr>
            <w:tcW w:type="dxa" w:w="3402"/>
            <w:shd w:val="clear" w:color="auto" w:fill="1F3864"/>
          </w:tcPr>
          <w:p>
            <w:r>
              <w:rPr>
                <w:b/>
                <w:color w:val="FFFFFF"/>
              </w:rPr>
              <w:t>Registro</w:t>
            </w:r>
          </w:p>
        </w:tc>
        <w:tc>
          <w:tcPr>
            <w:tcW w:type="dxa" w:w="5669"/>
            <w:shd w:val="clear" w:color="auto" w:fill="1F3864"/>
          </w:tcPr>
          <w:p>
            <w:r>
              <w:rPr>
                <w:b/>
                <w:color w:val="FFFFFF"/>
              </w:rPr>
              <w:t>Dónde se genera / consulta</w:t>
            </w:r>
          </w:p>
        </w:tc>
      </w:tr>
      <w:tr>
        <w:tc>
          <w:tcPr>
            <w:tcW w:type="dxa" w:w="3402"/>
          </w:tcPr>
          <w:p>
            <w:r>
              <w:t>Bitácora de ingresos y egresos</w:t>
            </w:r>
          </w:p>
        </w:tc>
        <w:tc>
          <w:tcPr>
            <w:tcW w:type="dxa" w:w="5669"/>
          </w:tcPr>
          <w:p>
            <w:r>
              <w:t>Tabla "movimientos" de la base de datos; visible en las tablas "Últimos ingresos/egresos registrados" de cada pantalla.</w:t>
            </w:r>
          </w:p>
        </w:tc>
      </w:tr>
      <w:tr>
        <w:tc>
          <w:tcPr>
            <w:tcW w:type="dxa" w:w="3402"/>
          </w:tcPr>
          <w:p>
            <w:r>
              <w:t>Catálogo de insumos y su clasificación ABC</w:t>
            </w:r>
          </w:p>
        </w:tc>
        <w:tc>
          <w:tcPr>
            <w:tcW w:type="dxa" w:w="5669"/>
          </w:tcPr>
          <w:p>
            <w:r>
              <w:t>Tabla "insumos" de la base de datos; visible y editable en "Ver Estado".</w:t>
            </w:r>
          </w:p>
        </w:tc>
      </w:tr>
      <w:tr>
        <w:tc>
          <w:tcPr>
            <w:tcW w:type="dxa" w:w="3402"/>
          </w:tcPr>
          <w:p>
            <w:r>
              <w:t>Exportación en Excel</w:t>
            </w:r>
          </w:p>
        </w:tc>
        <w:tc>
          <w:tcPr>
            <w:tcW w:type="dxa" w:w="5669"/>
          </w:tcPr>
          <w:p>
            <w:r>
              <w:t>Botón "Exportar a Excel" en "Ver Estado".</w:t>
            </w:r>
          </w:p>
        </w:tc>
      </w:tr>
      <w:tr>
        <w:tc>
          <w:tcPr>
            <w:tcW w:type="dxa" w:w="3402"/>
          </w:tcPr>
          <w:p>
            <w:r>
              <w:t>Etiquetas de código de barras</w:t>
            </w:r>
          </w:p>
        </w:tc>
        <w:tc>
          <w:tcPr>
            <w:tcW w:type="dxa" w:w="5669"/>
          </w:tcPr>
          <w:p>
            <w:r>
              <w:t>Botón "Descargar etiquetas (PDF)" en "Ver Estado".</w:t>
            </w:r>
          </w:p>
        </w:tc>
      </w:tr>
    </w:tbl>
    <w:p>
      <w:pPr>
        <w:pStyle w:val="Heading1"/>
      </w:pPr>
      <w:r>
        <w:t>8. Control de cambios</w:t>
      </w:r>
    </w:p>
    <w:tbl>
      <w:tblPr>
        <w:tblStyle w:val="TableGrid"/>
        <w:tblW w:type="auto" w:w="0"/>
        <w:tblLayout w:type="fixed"/>
        <w:tblLook w:firstColumn="1" w:firstRow="1" w:lastColumn="0" w:lastRow="0" w:noHBand="0" w:noVBand="1" w:val="04A0"/>
        <w:tblLayout w:type="fixed"/>
        <w:tblW w:w="9072" w:type="dxa"/>
      </w:tblPr>
      <w:tblGrid>
        <w:gridCol w:w="1417"/>
        <w:gridCol w:w="1701"/>
        <w:gridCol w:w="3402"/>
        <w:gridCol w:w="2551"/>
      </w:tblGrid>
      <w:tr>
        <w:tc>
          <w:tcPr>
            <w:tcW w:type="dxa" w:w="1417"/>
            <w:shd w:val="clear" w:color="auto" w:fill="1F3864"/>
          </w:tcPr>
          <w:p>
            <w:r>
              <w:rPr>
                <w:b/>
                <w:color w:val="FFFFFF"/>
              </w:rPr>
              <w:t>Versión</w:t>
            </w:r>
          </w:p>
        </w:tc>
        <w:tc>
          <w:tcPr>
            <w:tcW w:type="dxa" w:w="1701"/>
            <w:shd w:val="clear" w:color="auto" w:fill="1F3864"/>
          </w:tcPr>
          <w:p>
            <w:r>
              <w:rPr>
                <w:b/>
                <w:color w:val="FFFFFF"/>
              </w:rPr>
              <w:t>Fecha</w:t>
            </w:r>
          </w:p>
        </w:tc>
        <w:tc>
          <w:tcPr>
            <w:tcW w:type="dxa" w:w="3402"/>
            <w:shd w:val="clear" w:color="auto" w:fill="1F3864"/>
          </w:tcPr>
          <w:p>
            <w:r>
              <w:rPr>
                <w:b/>
                <w:color w:val="FFFFFF"/>
              </w:rPr>
              <w:t>Descripción del cambio</w:t>
            </w:r>
          </w:p>
        </w:tc>
        <w:tc>
          <w:tcPr>
            <w:tcW w:type="dxa" w:w="2551"/>
            <w:shd w:val="clear" w:color="auto" w:fill="1F3864"/>
          </w:tcPr>
          <w:p>
            <w:r>
              <w:rPr>
                <w:b/>
                <w:color w:val="FFFFFF"/>
              </w:rPr>
              <w:t>Elaborado por</w:t>
            </w:r>
          </w:p>
        </w:tc>
      </w:tr>
      <w:tr>
        <w:tc>
          <w:tcPr>
            <w:tcW w:type="dxa" w:w="1417"/>
          </w:tcPr>
          <w:p>
            <w:r>
              <w:t>1.0</w:t>
            </w:r>
          </w:p>
        </w:tc>
        <w:tc>
          <w:tcPr>
            <w:tcW w:type="dxa" w:w="1701"/>
          </w:tcPr>
          <w:p>
            <w:r>
              <w:t>22-08-2026</w:t>
            </w:r>
          </w:p>
        </w:tc>
        <w:tc>
          <w:tcPr>
            <w:tcW w:type="dxa" w:w="3402"/>
          </w:tcPr>
          <w:p>
            <w:r>
              <w:t>Emisión inicial del procedimiento.</w:t>
            </w:r>
          </w:p>
        </w:tc>
        <w:tc>
          <w:tcPr>
            <w:tcW w:type="dxa" w:w="2551"/>
          </w:tcPr>
          <w:p>
            <w:r>
              <w:t>Sofía Cáceres Manzano</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040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