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Why</w:t>
      </w:r>
      <w:r>
        <w:t xml:space="preserve"> </w:t>
      </w:r>
      <w:r>
        <w:t xml:space="preserve">Academic</w:t>
      </w:r>
      <w:r>
        <w:t xml:space="preserve"> </w:t>
      </w:r>
      <w:r>
        <w:t xml:space="preserve">Thesis</w:t>
      </w:r>
      <w:r>
        <w:t xml:space="preserve"> </w:t>
      </w:r>
      <w:r>
        <w:t xml:space="preserve">AI</w:t>
      </w:r>
      <w:r>
        <w:t xml:space="preserve"> </w:t>
      </w:r>
      <w:r>
        <w:t xml:space="preserve">Saves</w:t>
      </w:r>
      <w:r>
        <w:t xml:space="preserve"> </w:t>
      </w:r>
      <w:r>
        <w:t xml:space="preserve">The</w:t>
      </w:r>
      <w:r>
        <w:t xml:space="preserve"> </w:t>
      </w:r>
      <w:r>
        <w:t xml:space="preserve">World</w:t>
      </w:r>
    </w:p>
    <w:p>
      <w:pPr>
        <w:pStyle w:val="Subtitle"/>
      </w:pPr>
      <w:r>
        <w:t xml:space="preserve">OpenDraft:</w:t>
      </w:r>
      <w:r>
        <w:t xml:space="preserve"> </w:t>
      </w:r>
      <w:r>
        <w:t xml:space="preserve">Democratizing</w:t>
      </w:r>
      <w:r>
        <w:t xml:space="preserve"> </w:t>
      </w:r>
      <w:r>
        <w:t xml:space="preserve">Academic</w:t>
      </w:r>
      <w:r>
        <w:t xml:space="preserve"> </w:t>
      </w:r>
      <w:r>
        <w:t xml:space="preserve">Research</w:t>
      </w:r>
      <w:r>
        <w:t xml:space="preserve"> </w:t>
      </w:r>
      <w:r>
        <w:t xml:space="preserve">Through</w:t>
      </w:r>
      <w:r>
        <w:t xml:space="preserve"> </w:t>
      </w:r>
      <w:r>
        <w:t xml:space="preserve">Multi-Agent</w:t>
      </w:r>
      <w:r>
        <w:t xml:space="preserve"> </w:t>
      </w:r>
      <w:r>
        <w:t xml:space="preserve">AI</w:t>
      </w:r>
      <w:r>
        <w:t xml:space="preserve"> </w:t>
      </w:r>
      <w:r>
        <w:t xml:space="preserve">Systems</w:t>
      </w:r>
    </w:p>
    <w:p>
      <w:pPr>
        <w:pStyle w:val="Author"/>
      </w:pPr>
      <w:r>
        <w:t xml:space="preserve">Federico</w:t>
      </w:r>
      <w:r>
        <w:t xml:space="preserve"> </w:t>
      </w:r>
      <w:r>
        <w:t xml:space="preserve">De</w:t>
      </w:r>
      <w:r>
        <w:t xml:space="preserve"> </w:t>
      </w:r>
      <w:r>
        <w:t xml:space="preserve">Ponte</w:t>
      </w:r>
    </w:p>
    <w:p>
      <w:pPr>
        <w:pStyle w:val="Date"/>
      </w:pP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Research Problem and Approach:</w:t>
      </w:r>
      <w:r>
        <w:t xml:space="preserve"> </w:t>
      </w:r>
      <w:r>
        <w:t xml:space="preserve">Academic inquiry faces significant barriers, including inequalities in access to resources, linguistic challenges, and time constraints, which limit diverse participation in scholarly communication. This thesis explores how Artificial Intelligence, specifically a multi-agent open-source system like OpenDraft, can address these challenges by democratizing academic writing.</w:t>
      </w:r>
    </w:p>
    <w:p>
      <w:pPr>
        <w:pStyle w:val="BodyText"/>
      </w:pPr>
      <w:r>
        <w:rPr>
          <w:bCs/>
          <w:b/>
        </w:rPr>
        <w:t xml:space="preserve">Methodology and Findings:</w:t>
      </w:r>
      <w:r>
        <w:t xml:space="preserve"> </w:t>
      </w:r>
      <w:r>
        <w:t xml:space="preserve">Employing a 14-agent workflow with API-backed citation discovery, the research analyzes OpenDraft’s architecture and performance. Findings indicate substantial time savings, enhanced accessibility for non-native English speakers, improved academic rigor through validated citations, and a framework for effective human-AI collaboration.</w:t>
      </w:r>
    </w:p>
    <w:p>
      <w:pPr>
        <w:pStyle w:val="BodyText"/>
      </w:pPr>
      <w:r>
        <w:rPr>
          <w:bCs/>
          <w:b/>
        </w:rPr>
        <w:t xml:space="preserve">Key Contributions:</w:t>
      </w:r>
      <w:r>
        <w:t xml:space="preserve"> </w:t>
      </w:r>
      <w:r>
        <w:t xml:space="preserve">This work offers (1) a comprehensive blueprint for multi-agent systems in complex academic writing, (2) an open-source model promoting equitable access to advanced AI tools, and (3) a robust framework for ethical and effective human-AI collaboration in scholarly production.</w:t>
      </w:r>
    </w:p>
    <w:p>
      <w:pPr>
        <w:pStyle w:val="BodyText"/>
      </w:pPr>
      <w:r>
        <w:rPr>
          <w:bCs/>
          <w:b/>
        </w:rPr>
        <w:t xml:space="preserve">Implications:</w:t>
      </w:r>
      <w:r>
        <w:t xml:space="preserve"> </w:t>
      </w:r>
      <w:r>
        <w:t xml:space="preserve">The system fosters a more inclusive and efficient academic landscape, accelerating knowledge creation and dissemination. It necessitates proactive policy development, educational reforms, and a commitment to responsible AI development to ensure ethical integration and mitigate potential biases and new forms of inequality.</w:t>
      </w:r>
    </w:p>
    <w:p>
      <w:pPr>
        <w:pStyle w:val="BodyText"/>
      </w:pPr>
      <w:r>
        <w:rPr>
          <w:bCs/>
          <w:b/>
        </w:rPr>
        <w:t xml:space="preserve">Keywords:</w:t>
      </w:r>
      <w:r>
        <w:t xml:space="preserve"> </w:t>
      </w:r>
      <w:r>
        <w:t xml:space="preserve">Artificial Intelligence, Multi-Agent Systems, Academic Writing, Open Source, Democratization, Scholarly Communication, AI-Human Collaboration, Research Productivity, Citation Integrity, Academic Equity, Natural Language Processing, Ethical AI.</w:t>
      </w:r>
    </w:p>
    <w:bookmarkEnd w:id="20"/>
    <w:bookmarkStart w:id="22" w:name="introduction"/>
    <w:p>
      <w:pPr>
        <w:pStyle w:val="Heading1"/>
      </w:pPr>
      <w:r>
        <w:t xml:space="preserve">Introduction</w:t>
      </w:r>
    </w:p>
    <w:p>
      <w:pPr>
        <w:pStyle w:val="FirstParagraph"/>
      </w:pPr>
      <w:r>
        <w:t xml:space="preserve">Academic inquiry and scholarly communication have always demanded rigor. This means intellectual depth, extensive research, careful writing, and thorough peer review. (Arling et al., 2025) While these core tenets uphold quality, they also create significant hurdles for many academics, both aspiring and established. Consider the complexities of academic writing itself. It requires precise language, structured arguments, meticulous referencing, and strict adherence to disciplinary norms. Then there’s the substantial time commitment. We’re talking comprehensive literature reviews, data collection, analysis, and those endless cycles of drafting and revision (Brien, 2020). Such hurdles often lead to academic inequality. This particularly affects early career researchers, scholars from under-resourced institutions, non-native English speakers, and those with limited research support (Mwangi et al., 2021)(Austin et al., 2021). The</w:t>
      </w:r>
      <w:r>
        <w:t xml:space="preserve"> </w:t>
      </w:r>
      <w:r>
        <w:t xml:space="preserve">‘</w:t>
      </w:r>
      <w:r>
        <w:t xml:space="preserve">publish or perish</w:t>
      </w:r>
      <w:r>
        <w:t xml:space="preserve">’</w:t>
      </w:r>
      <w:r>
        <w:t xml:space="preserve"> </w:t>
      </w:r>
      <w:r>
        <w:t xml:space="preserve">culture only amplifies these pressures. Researchers must produce a high volume of quality publications under tight deadlines, frequently sacrificing work-life balance and mental well-being (Madhavi, 2025). The net result? A system that, for all its merits, often inadvertently restricts diverse voices from contributing to the global knowledge commons, slowing the democratization of research and scholarly communication (Sarker et al., 2024).</w:t>
      </w:r>
    </w:p>
    <w:bookmarkStart w:id="21" w:name="background-and-motivation"/>
    <w:p>
      <w:pPr>
        <w:pStyle w:val="Heading2"/>
      </w:pPr>
      <w:r>
        <w:t xml:space="preserve">1.1 Background and Motivation</w:t>
      </w:r>
    </w:p>
    <w:p>
      <w:pPr>
        <w:pStyle w:val="FirstParagraph"/>
      </w:pPr>
      <w:r>
        <w:t xml:space="preserve">In recent years, however, Artificial Intelligence (AI) has advanced rapidly. Large Language Models (LLMs), in particular, are fundamentally reshaping professional domains. This includes academic research and writing (Salman et al., 2025)(Teh &amp; Uwasomba, 2024)(Selim, 2024). Initially, AI-assisted writing…</w:t>
      </w:r>
    </w:p>
    <w:bookmarkEnd w:id="21"/>
    <w:bookmarkEnd w:id="22"/>
    <w:bookmarkStart w:id="48" w:name="literature-review"/>
    <w:p>
      <w:pPr>
        <w:pStyle w:val="Heading1"/>
      </w:pPr>
      <w:r>
        <w:t xml:space="preserve">Literature Review</w:t>
      </w:r>
    </w:p>
    <w:p>
      <w:pPr>
        <w:pStyle w:val="FirstParagraph"/>
      </w:pPr>
      <w:r>
        <w:t xml:space="preserve">The pervasive integration of artificial intelligence (AI) into various facets of society has profoundly reshaped industries, economies, and intellectual pursuits. Academic research and writing, traditionally human-centric endeavors, are increasingly experiencing the transformative influence of AI. This literature review systematically examines the evolution of AI in academic writing, the emergence of multi-agent AI systems, the role of AI in enhancing research accessibility, the democratization facilitated by open-source AI tools, the automation of citation and literature management, and the critical ethical considerations surrounding AI-generated academic content. By synthesizing current scholarship, this review aims to provide a comprehensive understanding of the opportunities, challenges, and future trajectories of AI in the academic landscape, laying the groundwork for the theoretical analysis and case studies presented in this paper.</w:t>
      </w:r>
    </w:p>
    <w:bookmarkStart w:id="27" w:name="Xc1d4a7073ba1502f91ecb935b92749a227f9923"/>
    <w:p>
      <w:pPr>
        <w:pStyle w:val="Heading2"/>
      </w:pPr>
      <w:r>
        <w:t xml:space="preserve">2.1 The Evolution of Artificial Intelligence in Academic Writing</w:t>
      </w:r>
    </w:p>
    <w:p>
      <w:pPr>
        <w:pStyle w:val="FirstParagraph"/>
      </w:pPr>
      <w:r>
        <w:t xml:space="preserve">The journey of AI in academic writing spans several decades, evolving from rudimentary rule-based systems to highly sophisticated generative models. This progression reflects advancements in computational power, algorithmic design, and the increasing availability of vast digital text corpora. Understanding this historical trajectory is crucial for appreciating the current capabilities and future potential of AI tools in scholarly communication (Selim, 2024).</w:t>
      </w:r>
    </w:p>
    <w:bookmarkStart w:id="23" w:name="X26ebe937e7f7639ee314bf00ab71dd48efb3d5e"/>
    <w:p>
      <w:pPr>
        <w:pStyle w:val="Heading3"/>
      </w:pPr>
      <w:r>
        <w:t xml:space="preserve">2.1.1 Early Applications and Rule-Based Systems</w:t>
      </w:r>
    </w:p>
    <w:p>
      <w:pPr>
        <w:pStyle w:val="FirstParagraph"/>
      </w:pPr>
      <w:r>
        <w:t xml:space="preserve">The initial foray of AI into academic writing was characterized by the development of tools designed to assist with basic linguistic correctness and structural coherence. Early applications primarily focused on automating tasks that were repetitive and rule-bound, aiming to augment human writers rather than replace them (Madhavi, 2025). Spell checkers, for instance, represented one of the earliest and most widely adopted forms of AI assistance. These tools operated on predefined dictionaries and simple pattern-matching algorithms to identify and suggest corrections for typographical errors. While seemingly simplistic by today’s standards, they significantly reduced the manual effort required for proofreading and improved the overall quality of written output. Grammar checkers followed a similar trajectory, leveraging rule-based systems to detect common grammatical errors, such as subject-verb agreement, tense consistency, and punctuation mistakes. These systems relied on explicit linguistic rules programmed by human experts, analyzing sentence structures against a set of predefined patterns (Tran, 2024).</w:t>
      </w:r>
    </w:p>
    <w:p>
      <w:pPr>
        <w:pStyle w:val="BodyText"/>
      </w:pPr>
      <w:r>
        <w:t xml:space="preserve">Beyond basic error correction, early AI tools also ventured into stylistic suggestions and readability assessments. Tools like early versions of style guides or text editors with built-in analytical features could offer advice on sentence length, passive voice usage, and jargon detection. Their underlying mechanisms were often based on statistical analyses of large text corpora, identifying common patterns associated with clear or convoluted writing. However, these systems were inherently limited by their reliance on static rule sets. They struggled with nuances of language, context-dependent meanings, and complex semantic relationships. For example, a rule-based grammar checker might flag a perfectly valid idiomatic expression as incorrect because it deviated from a standard grammatical pattern (Casal &amp; Kessler, 2023). Consequently, their suggestions often lacked the contextual understanding necessary for sophisticated academic discourse, requiring significant human oversight and discernment. Despite these limitations, these early AI applications laid foundational groundwork, familiarizing academics with the concept of automated writing assistance and demonstrating the potential for technology to streamline the writing process (Selim, 2024). They highlighted the demand for tools that could enhance efficiency and accuracy in academic communication, paving the way for more advanced AI paradigms.</w:t>
      </w:r>
    </w:p>
    <w:bookmarkEnd w:id="23"/>
    <w:bookmarkStart w:id="24" w:name="X1b652a100e47f8e2ae7a49e2c8991b659ca60f9"/>
    <w:p>
      <w:pPr>
        <w:pStyle w:val="Heading3"/>
      </w:pPr>
      <w:r>
        <w:t xml:space="preserve">2.1.2 The Rise of Machine Learning and Natural Language Processing</w:t>
      </w:r>
    </w:p>
    <w:p>
      <w:pPr>
        <w:pStyle w:val="FirstParagraph"/>
      </w:pPr>
      <w:r>
        <w:t xml:space="preserve">The late 20th and early 21st centuries witnessed a paradigm shift in AI, driven by advancements in machine learning (ML) and natural language processing (NLP). This era moved beyond rigid rule-based systems towards models capable of learning from vast datasets, thereby acquiring a more nuanced understanding of language (Dalabih &amp; Aljabari, 2023). ML algorithms, particularly those in NLP, enabled AI tools to identify complex patterns, infer linguistic rules, and generate more contextually appropriate suggestions. This marked a significant leap from merely detecting errors to actively assisting in the refinement of academic prose (Madhavi, 2025).</w:t>
      </w:r>
    </w:p>
    <w:p>
      <w:pPr>
        <w:pStyle w:val="BodyText"/>
      </w:pPr>
      <w:r>
        <w:t xml:space="preserve">Key innovations in this period included the development of statistical NLP models, which processed text by analyzing probabilities of word sequences and grammatical structures. These models could offer more sophisticated grammar and style suggestions, often learning from professionally edited texts to understand what constitutes effective academic writing. For instance, ML-powered tools began to provide more intelligent feedback on conciseness, academic tone, and coherence, moving beyond simple error identification to suggesting improvements that enhanced the overall quality and impact of scholarly work (Selim, 2024). The introduction of techniques like latent semantic analysis and topic modeling allowed AI to understand the thematic content of texts, enabling tools that could help researchers organize their thoughts, identify key concepts in literature reviews, and even suggest relevant sources based on the content being written. This capability was particularly beneficial for managing the increasing volume of scholarly information, helping researchers navigate complex bodies of literature more efficiently (Huzaifa et al., 2025).</w:t>
      </w:r>
    </w:p>
    <w:p>
      <w:pPr>
        <w:pStyle w:val="BodyText"/>
      </w:pPr>
      <w:r>
        <w:t xml:space="preserve">Furthermore, the rise of neural networks and deep learning in the 2010s further propelled NLP capabilities. Deep learning models, with their ability to process vast amounts of data and learn intricate representations of language, began to excel at tasks such as machine translation, sentiment analysis, and text summarization. While not directly focused on generation initially, these advancements indirectly supported academic writing by providing tools that could quickly process and synthesize information from multiple sources, aiding in the preliminary stages of research and literature review (Radensky et al., 2024). For example, AI-powered summarization tools could condense lengthy research papers, helping academics quickly grasp key findings and arguments. This period also saw the emergence of more interactive writing assistants that could offer real-time suggestions as users typed, learning from their writing style and preferences over time. These tools represented a significant step towards more personalized and adaptive writing support, laying the groundwork for the even more advanced generative capabilities that would soon follow (Tran, 2024). The transition to ML and NLP marked a shift from reactive error correction to proactive writing enhancement, fundamentally changing how academics could leverage technology in their writing processes.</w:t>
      </w:r>
    </w:p>
    <w:bookmarkEnd w:id="24"/>
    <w:bookmarkStart w:id="25" w:name="the-generative-ai-paradigm-shift"/>
    <w:p>
      <w:pPr>
        <w:pStyle w:val="Heading3"/>
      </w:pPr>
      <w:r>
        <w:t xml:space="preserve">2.1.3 The Generative AI Paradigm Shift</w:t>
      </w:r>
    </w:p>
    <w:p>
      <w:pPr>
        <w:pStyle w:val="FirstParagraph"/>
      </w:pPr>
      <w:r>
        <w:t xml:space="preserve">The most recent and perhaps the most revolutionary phase in the evolution of AI in academic writing is the advent of generative AI, particularly large language models (LLMs). This paradigm shift, largely driven by transformer architectures and massive training datasets, has moved AI beyond mere assistance to actual content generation (Salman et al., 2025)(King &amp; Prasetyo, 2023). LLMs like GPT-3, GPT-4, and their successors are capable of generating coherent, contextually relevant, and stylistically appropriate text across a wide range of academic domains, from drafting initial outlines to composing entire sections of papers (Granjeiro et al., 2025).</w:t>
      </w:r>
    </w:p>
    <w:p>
      <w:pPr>
        <w:pStyle w:val="BodyText"/>
      </w:pPr>
      <w:r>
        <w:t xml:space="preserve">The core innovation of generative AI lies in its ability to predict the next word in a sequence based on the preceding context, trained on billions of parameters and vast internet-scale datasets. This predictive power allows LLMs to produce human-like text that can respond to complex prompts, synthesize information, and even mimic specific writing styles (Ocampo et al., 2024). In academic writing, this translates into capabilities such as generating literature review drafts, assisting with abstract writing, formulating research questions, and even aiding in the development of theoretical frameworks (Selim, 2024). Researchers can now prompt these models to summarize articles, paraphrase complex ideas, brainstorm topics, or even translate research findings into different linguistic styles (Madhavi, 2025). The potential for LLMs to accelerate the initial stages of writing, overcome writer’s block, and provide diverse perspectives on a topic is immense (Kell et al., 2025).</w:t>
      </w:r>
    </w:p>
    <w:p>
      <w:pPr>
        <w:pStyle w:val="BodyText"/>
      </w:pPr>
      <w:r>
        <w:t xml:space="preserve">However, this generative capability also introduces unprecedented challenges and ethical dilemmas (Bhatt, 2025). The ability of AI to produce high-quality text raises questions about authorship, academic integrity, and plagiarism (Kotsis, 2025)(Partyko et al., 2024). Distinguishing between AI-generated and human-written content has become increasingly difficult, leading to concerns about the authenticity of scholarly work (Casal &amp; Kessler, 2023). Furthermore, LLMs can</w:t>
      </w:r>
      <w:r>
        <w:t xml:space="preserve"> </w:t>
      </w:r>
      <w:r>
        <w:t xml:space="preserve">“</w:t>
      </w:r>
      <w:r>
        <w:t xml:space="preserve">hallucinate</w:t>
      </w:r>
      <w:r>
        <w:t xml:space="preserve">”</w:t>
      </w:r>
      <w:r>
        <w:t xml:space="preserve"> </w:t>
      </w:r>
      <w:r>
        <w:t xml:space="preserve">information, generating plausible but factually incorrect statements or fabricating non-existent citations, posing a significant threat to the veracity of academic research (Tang et al., 2024). The black-box nature of many LLMs also raises issues of bias, as these models learn from data that may reflect societal prejudices, potentially perpetuating or amplifying them in academic discourse (Polemi et al., 2024).</w:t>
      </w:r>
    </w:p>
    <w:p>
      <w:pPr>
        <w:pStyle w:val="BodyText"/>
      </w:pPr>
      <w:r>
        <w:t xml:space="preserve">Despite these challenges, the generative AI paradigm shift represents a critical juncture. It necessitates a re-evaluation of pedagogical practices, research methodologies, and ethical guidelines in academia (Chan, 2023). The focus is now shifting from simply detecting AI use to integrating these tools responsibly, leveraging their power to enhance human creativity and productivity while mitigating risks. This includes developing policies for transparent AI use, educating researchers on ethical considerations, and fostering a collaborative environment where humans and AI co-create knowledge (Shao et al., 2025). The transformative impact of generative AI is not merely an incremental improvement but a fundamental change in the relationship between technology and scholarly production, requiring a nuanced and proactive response from the academic community (Salman et al., 2025).</w:t>
      </w:r>
    </w:p>
    <w:bookmarkEnd w:id="25"/>
    <w:bookmarkStart w:id="26" w:name="X99b86a41b47ad678ab3253b78ce899f80c6091e"/>
    <w:p>
      <w:pPr>
        <w:pStyle w:val="Heading3"/>
      </w:pPr>
      <w:r>
        <w:t xml:space="preserve">2.1.4 Comparative Overview of AI Writing Assistance Models</w:t>
      </w:r>
    </w:p>
    <w:p>
      <w:pPr>
        <w:pStyle w:val="FirstParagraph"/>
      </w:pPr>
      <w:r>
        <w:t xml:space="preserve">The evolution of AI in academic writing highlights a progression from basic tools to highly complex, integrated systems. Understanding the distinctions between these approaches is crucial for appreciating the unique contributions of multi-agent systems like OpenDraft.</w:t>
      </w:r>
    </w:p>
    <w:p>
      <w:pPr>
        <w:pStyle w:val="BodyText"/>
      </w:pPr>
      <w:r>
        <w:rPr>
          <w:bCs/>
          <w:b/>
        </w:rPr>
        <w:t xml:space="preserve">Table 1: Comparison of AI Writing Assistance Models</w:t>
      </w:r>
    </w:p>
    <w:tbl>
      <w:tblPr>
        <w:tblStyle w:val="Table"/>
        <w:tblW w:type="pct" w:w="5000.0"/>
        <w:tblLook w:firstRow="1" w:lastRow="0" w:firstColumn="0" w:lastColumn="0" w:noHBand="0" w:noVBand="0" w:val="0020"/>
      </w:tblPr>
      <w:tblGrid>
        <w:gridCol w:w="587"/>
        <w:gridCol w:w="1203"/>
        <w:gridCol w:w="1623"/>
        <w:gridCol w:w="1287"/>
        <w:gridCol w:w="895"/>
        <w:gridCol w:w="2322"/>
      </w:tblGrid>
      <w:tr>
        <w:tc>
          <w:p>
            <w:pPr>
              <w:pStyle w:val="Compact"/>
              <w:jc w:val="left"/>
            </w:pPr>
            <w:r>
              <w:t xml:space="preserve">Dimension</w:t>
            </w:r>
          </w:p>
        </w:tc>
        <w:tc>
          <w:p>
            <w:pPr>
              <w:pStyle w:val="Compact"/>
              <w:jc w:val="left"/>
            </w:pPr>
            <w:r>
              <w:t xml:space="preserve">Rule-Based Systems (e.g., Spell Checkers)</w:t>
            </w:r>
          </w:p>
        </w:tc>
        <w:tc>
          <w:p>
            <w:pPr>
              <w:pStyle w:val="Compact"/>
              <w:jc w:val="left"/>
            </w:pPr>
            <w:r>
              <w:t xml:space="preserve">Machine Learning/NLP (e.g., Grammarly, Early Summarizers)</w:t>
            </w:r>
          </w:p>
        </w:tc>
        <w:tc>
          <w:p>
            <w:pPr>
              <w:pStyle w:val="Compact"/>
              <w:jc w:val="left"/>
            </w:pPr>
            <w:r>
              <w:t xml:space="preserve">Generative LLM (Single Agent, e.g., ChatGPT)</w:t>
            </w:r>
          </w:p>
        </w:tc>
        <w:tc>
          <w:p>
            <w:pPr>
              <w:pStyle w:val="Compact"/>
              <w:jc w:val="left"/>
            </w:pPr>
            <w:r>
              <w:t xml:space="preserve">Multi-Agent System (OpenDraft)</w:t>
            </w:r>
          </w:p>
        </w:tc>
        <w:tc>
          <w:p>
            <w:pPr>
              <w:pStyle w:val="Compact"/>
              <w:jc w:val="left"/>
            </w:pPr>
            <w:r>
              <w:t xml:space="preserve">Impact/Significance</w:t>
            </w:r>
          </w:p>
        </w:tc>
      </w:tr>
      <w:tr>
        <w:tc>
          <w:p>
            <w:pPr>
              <w:pStyle w:val="Compact"/>
              <w:jc w:val="left"/>
            </w:pPr>
            <w:r>
              <w:rPr>
                <w:bCs/>
                <w:b/>
              </w:rPr>
              <w:t xml:space="preserve">Approach</w:t>
            </w:r>
          </w:p>
        </w:tc>
        <w:tc>
          <w:p>
            <w:pPr>
              <w:pStyle w:val="Compact"/>
              <w:jc w:val="left"/>
            </w:pPr>
            <w:r>
              <w:t xml:space="preserve">Predefined linguistic rules</w:t>
            </w:r>
          </w:p>
        </w:tc>
        <w:tc>
          <w:p>
            <w:pPr>
              <w:pStyle w:val="Compact"/>
              <w:jc w:val="left"/>
            </w:pPr>
            <w:r>
              <w:t xml:space="preserve">Statistical patterns, neural networks</w:t>
            </w:r>
          </w:p>
        </w:tc>
        <w:tc>
          <w:p>
            <w:pPr>
              <w:pStyle w:val="Compact"/>
              <w:jc w:val="left"/>
            </w:pPr>
            <w:r>
              <w:t xml:space="preserve">Transformer architecture, large datasets</w:t>
            </w:r>
          </w:p>
        </w:tc>
        <w:tc>
          <w:p>
            <w:pPr>
              <w:pStyle w:val="Compact"/>
              <w:jc w:val="left"/>
            </w:pPr>
            <w:r>
              <w:t xml:space="preserve">Collaborative specialized agents</w:t>
            </w:r>
          </w:p>
        </w:tc>
        <w:tc>
          <w:p>
            <w:pPr>
              <w:pStyle w:val="Compact"/>
              <w:jc w:val="left"/>
            </w:pPr>
            <w:r>
              <w:t xml:space="preserve">Drives increasing sophistication in AI-human interaction.</w:t>
            </w:r>
          </w:p>
        </w:tc>
      </w:tr>
      <w:tr>
        <w:tc>
          <w:p>
            <w:pPr>
              <w:pStyle w:val="Compact"/>
              <w:jc w:val="left"/>
            </w:pPr>
            <w:r>
              <w:rPr>
                <w:bCs/>
                <w:b/>
              </w:rPr>
              <w:t xml:space="preserve">Key Features</w:t>
            </w:r>
          </w:p>
        </w:tc>
        <w:tc>
          <w:p>
            <w:pPr>
              <w:pStyle w:val="Compact"/>
              <w:jc w:val="left"/>
            </w:pPr>
            <w:r>
              <w:t xml:space="preserve">Error detection, basic style checks</w:t>
            </w:r>
          </w:p>
        </w:tc>
        <w:tc>
          <w:p>
            <w:pPr>
              <w:pStyle w:val="Compact"/>
              <w:jc w:val="left"/>
            </w:pPr>
            <w:r>
              <w:t xml:space="preserve">Grammar/style suggestions, summarization, topic modeling</w:t>
            </w:r>
          </w:p>
        </w:tc>
        <w:tc>
          <w:p>
            <w:pPr>
              <w:pStyle w:val="Compact"/>
              <w:jc w:val="left"/>
            </w:pPr>
            <w:r>
              <w:t xml:space="preserve">Content generation, paraphrasing, ideation</w:t>
            </w:r>
          </w:p>
        </w:tc>
        <w:tc>
          <w:p>
            <w:pPr>
              <w:pStyle w:val="Compact"/>
              <w:jc w:val="left"/>
            </w:pPr>
            <w:r>
              <w:t xml:space="preserve">Full workflow automation, verification</w:t>
            </w:r>
          </w:p>
        </w:tc>
        <w:tc>
          <w:p>
            <w:pPr>
              <w:pStyle w:val="Compact"/>
              <w:jc w:val="left"/>
            </w:pPr>
            <w:r>
              <w:t xml:space="preserve">Holistic support across the entire academic writing process.</w:t>
            </w:r>
          </w:p>
        </w:tc>
      </w:tr>
      <w:tr>
        <w:tc>
          <w:p>
            <w:pPr>
              <w:pStyle w:val="Compact"/>
              <w:jc w:val="left"/>
            </w:pPr>
            <w:r>
              <w:rPr>
                <w:bCs/>
                <w:b/>
              </w:rPr>
              <w:t xml:space="preserve">Strengths</w:t>
            </w:r>
          </w:p>
        </w:tc>
        <w:tc>
          <w:p>
            <w:pPr>
              <w:pStyle w:val="Compact"/>
              <w:jc w:val="left"/>
            </w:pPr>
            <w:r>
              <w:t xml:space="preserve">High accuracy for simple rules</w:t>
            </w:r>
          </w:p>
        </w:tc>
        <w:tc>
          <w:p>
            <w:pPr>
              <w:pStyle w:val="Compact"/>
              <w:jc w:val="left"/>
            </w:pPr>
            <w:r>
              <w:t xml:space="preserve">Contextual understanding, improved suggestions</w:t>
            </w:r>
          </w:p>
        </w:tc>
        <w:tc>
          <w:p>
            <w:pPr>
              <w:pStyle w:val="Compact"/>
              <w:jc w:val="left"/>
            </w:pPr>
            <w:r>
              <w:t xml:space="preserve">High fluency, creativity, rapid drafting</w:t>
            </w:r>
          </w:p>
        </w:tc>
        <w:tc>
          <w:p>
            <w:pPr>
              <w:pStyle w:val="Compact"/>
              <w:jc w:val="left"/>
            </w:pPr>
            <w:r>
              <w:t xml:space="preserve">High accuracy, integrity, scalability</w:t>
            </w:r>
          </w:p>
        </w:tc>
        <w:tc>
          <w:p>
            <w:pPr>
              <w:pStyle w:val="Compact"/>
              <w:jc w:val="left"/>
            </w:pPr>
            <w:r>
              <w:t xml:space="preserve">Addresses complex academic needs, minimizes common AI weaknesses.</w:t>
            </w:r>
          </w:p>
        </w:tc>
      </w:tr>
      <w:tr>
        <w:tc>
          <w:p>
            <w:pPr>
              <w:pStyle w:val="Compact"/>
              <w:jc w:val="left"/>
            </w:pPr>
            <w:r>
              <w:rPr>
                <w:bCs/>
                <w:b/>
              </w:rPr>
              <w:t xml:space="preserve">Weaknesses</w:t>
            </w:r>
          </w:p>
        </w:tc>
        <w:tc>
          <w:p>
            <w:pPr>
              <w:pStyle w:val="Compact"/>
              <w:jc w:val="left"/>
            </w:pPr>
            <w:r>
              <w:t xml:space="preserve">Lacks nuance, context-blind</w:t>
            </w:r>
          </w:p>
        </w:tc>
        <w:tc>
          <w:p>
            <w:pPr>
              <w:pStyle w:val="Compact"/>
              <w:jc w:val="left"/>
            </w:pPr>
            <w:r>
              <w:t xml:space="preserve">Limited generation, occasional errors</w:t>
            </w:r>
          </w:p>
        </w:tc>
        <w:tc>
          <w:p>
            <w:pPr>
              <w:pStyle w:val="Compact"/>
              <w:jc w:val="left"/>
            </w:pPr>
            <w:r>
              <w:t xml:space="preserve">Hallucination, bias, lack of transparency</w:t>
            </w:r>
          </w:p>
        </w:tc>
        <w:tc>
          <w:p>
            <w:pPr>
              <w:pStyle w:val="Compact"/>
              <w:jc w:val="left"/>
            </w:pPr>
            <w:r>
              <w:t xml:space="preserve">Design complexity, initial setup</w:t>
            </w:r>
          </w:p>
        </w:tc>
        <w:tc>
          <w:p>
            <w:pPr>
              <w:pStyle w:val="Compact"/>
              <w:jc w:val="left"/>
            </w:pPr>
            <w:r>
              <w:t xml:space="preserve">Requires careful design but offers robust, verifiable outputs.</w:t>
            </w:r>
          </w:p>
        </w:tc>
      </w:tr>
      <w:tr>
        <w:tc>
          <w:p>
            <w:pPr>
              <w:pStyle w:val="Compact"/>
              <w:jc w:val="left"/>
            </w:pPr>
            <w:r>
              <w:rPr>
                <w:bCs/>
                <w:b/>
              </w:rPr>
              <w:t xml:space="preserve">Citation Handling</w:t>
            </w:r>
          </w:p>
        </w:tc>
        <w:tc>
          <w:p>
            <w:pPr>
              <w:pStyle w:val="Compact"/>
              <w:jc w:val="left"/>
            </w:pPr>
            <w:r>
              <w:t xml:space="preserve">None</w:t>
            </w:r>
          </w:p>
        </w:tc>
        <w:tc>
          <w:p>
            <w:pPr>
              <w:pStyle w:val="Compact"/>
              <w:jc w:val="left"/>
            </w:pPr>
            <w:r>
              <w:t xml:space="preserve">Basic reference formatting</w:t>
            </w:r>
          </w:p>
        </w:tc>
        <w:tc>
          <w:p>
            <w:pPr>
              <w:pStyle w:val="Compact"/>
              <w:jc w:val="left"/>
            </w:pPr>
            <w:r>
              <w:t xml:space="preserve">Prone to hallucination, requires verification</w:t>
            </w:r>
          </w:p>
        </w:tc>
        <w:tc>
          <w:p>
            <w:pPr>
              <w:pStyle w:val="Compact"/>
              <w:jc w:val="left"/>
            </w:pPr>
            <w:r>
              <w:t xml:space="preserve">API-backed, verifiable, accurate</w:t>
            </w:r>
          </w:p>
        </w:tc>
        <w:tc>
          <w:p>
            <w:pPr>
              <w:pStyle w:val="Compact"/>
              <w:jc w:val="left"/>
            </w:pPr>
            <w:r>
              <w:t xml:space="preserve">Critical for academic integrity, ensures evidence-based claims.</w:t>
            </w:r>
          </w:p>
        </w:tc>
      </w:tr>
      <w:tr>
        <w:tc>
          <w:p>
            <w:pPr>
              <w:pStyle w:val="Compact"/>
              <w:jc w:val="left"/>
            </w:pPr>
            <w:r>
              <w:rPr>
                <w:bCs/>
                <w:b/>
              </w:rPr>
              <w:t xml:space="preserve">Human Oversight</w:t>
            </w:r>
          </w:p>
        </w:tc>
        <w:tc>
          <w:p>
            <w:pPr>
              <w:pStyle w:val="Compact"/>
              <w:jc w:val="left"/>
            </w:pPr>
            <w:r>
              <w:t xml:space="preserve">Moderate</w:t>
            </w:r>
          </w:p>
        </w:tc>
        <w:tc>
          <w:p>
            <w:pPr>
              <w:pStyle w:val="Compact"/>
              <w:jc w:val="left"/>
            </w:pPr>
            <w:r>
              <w:t xml:space="preserve">Moderate</w:t>
            </w:r>
          </w:p>
        </w:tc>
        <w:tc>
          <w:p>
            <w:pPr>
              <w:pStyle w:val="Compact"/>
              <w:jc w:val="left"/>
            </w:pPr>
            <w:r>
              <w:t xml:space="preserve">High (for verification)</w:t>
            </w:r>
          </w:p>
        </w:tc>
        <w:tc>
          <w:p>
            <w:pPr>
              <w:pStyle w:val="Compact"/>
              <w:jc w:val="left"/>
            </w:pPr>
            <w:r>
              <w:t xml:space="preserve">Moderate (for strategic direction)</w:t>
            </w:r>
          </w:p>
        </w:tc>
        <w:tc>
          <w:p>
            <w:pPr>
              <w:pStyle w:val="Compact"/>
              <w:jc w:val="left"/>
            </w:pPr>
            <w:r>
              <w:t xml:space="preserve">Shifts from error correction to strategic guidance and critical refinement.</w:t>
            </w:r>
          </w:p>
        </w:tc>
      </w:tr>
    </w:tbl>
    <w:p>
      <w:pPr>
        <w:pStyle w:val="BodyText"/>
      </w:pPr>
      <w:r>
        <w:rPr>
          <w:iCs/>
          <w:i/>
        </w:rPr>
        <w:t xml:space="preserve">Note: This table illustrates a general progression, with multi-agent systems representing an advanced, integrated approach to overcoming limitations of earlier models. The</w:t>
      </w:r>
      <w:r>
        <w:rPr>
          <w:iCs/>
          <w:i/>
        </w:rPr>
        <w:t xml:space="preserve"> </w:t>
      </w:r>
      <w:r>
        <w:rPr>
          <w:iCs/>
          <w:i/>
        </w:rPr>
        <w:t xml:space="preserve">“</w:t>
      </w:r>
      <w:r>
        <w:rPr>
          <w:iCs/>
          <w:i/>
        </w:rPr>
        <w:t xml:space="preserve">Impact/Significance</w:t>
      </w:r>
      <w:r>
        <w:rPr>
          <w:iCs/>
          <w:i/>
        </w:rPr>
        <w:t xml:space="preserve">”</w:t>
      </w:r>
      <w:r>
        <w:rPr>
          <w:iCs/>
          <w:i/>
        </w:rPr>
        <w:t xml:space="preserve"> </w:t>
      </w:r>
      <w:r>
        <w:rPr>
          <w:iCs/>
          <w:i/>
        </w:rPr>
        <w:t xml:space="preserve">column highlights the broader implications of each model type for academic practice.</w:t>
      </w:r>
    </w:p>
    <w:p>
      <w:r>
        <w:pict>
          <v:rect style="width:0;height:1.5pt" o:hralign="center" o:hrstd="t" o:hr="t"/>
        </w:pict>
      </w:r>
    </w:p>
    <w:bookmarkEnd w:id="26"/>
    <w:bookmarkEnd w:id="27"/>
    <w:bookmarkStart w:id="31" w:name="Xa4f9cf15f9a23ac04ec0ef9edf3c6393c4d88f1"/>
    <w:p>
      <w:pPr>
        <w:pStyle w:val="Heading2"/>
      </w:pPr>
      <w:r>
        <w:t xml:space="preserve">2.2 Multi-Agent AI Systems for Enhanced Research Productivity</w:t>
      </w:r>
    </w:p>
    <w:p>
      <w:pPr>
        <w:pStyle w:val="FirstParagraph"/>
      </w:pPr>
      <w:r>
        <w:t xml:space="preserve">Beyond individual AI tools, the concept of multi-agent AI systems (MAAS) is gaining traction, promising to revolutionize how complex academic tasks are approached. MAAS involve multiple AI agents interacting and collaborating to achieve a common goal, often exhibiting emergent behaviors that surpass the capabilities of single-agent systems (Maecker et al., 2023).</w:t>
      </w:r>
    </w:p>
    <w:bookmarkStart w:id="28" w:name="X0cbb233b62bdd441541b4df6c80f40d62517e01"/>
    <w:p>
      <w:pPr>
        <w:pStyle w:val="Heading3"/>
      </w:pPr>
      <w:r>
        <w:t xml:space="preserve">2.2.1 Defining Multi-Agent Systems in Academic Contexts</w:t>
      </w:r>
    </w:p>
    <w:p>
      <w:pPr>
        <w:pStyle w:val="FirstParagraph"/>
      </w:pPr>
      <w:r>
        <w:t xml:space="preserve">Multi-agent AI systems are characterized by a collection of autonomous or semi-autonomous intelligent agents that interact within a shared environment to solve problems that are too complex for a single agent (Bahrpeyma &amp; Reichelt, 2022). Each agent in such a system possesses specific capabilities, knowledge, and goals, and their collective intelligence emerges from their communication, cooperation, and coordination. In an academic context, these agents can be designed to perform specialized research tasks, such as literature searching, data extraction, hypothesis generation, experimental design, and even preliminary analysis (Shao et al., 2025). The architecture typically involves a communication layer, allowing agents to exchange information and coordinate their actions, and a decision-making framework that guides individual agent behavior and collective problem-solving strategies.</w:t>
      </w:r>
    </w:p>
    <w:p>
      <w:pPr>
        <w:pStyle w:val="BodyText"/>
      </w:pPr>
      <w:r>
        <w:t xml:space="preserve">The application of MAAS in academia moves beyond the traditional use of single AI tools for isolated tasks. Instead of using a grammar checker (one agent) and a summarizer (another agent) independently, a MAAS could integrate these functions into a coordinated workflow. For example, one agent might be responsible for identifying relevant literature, another for extracting key findings, a third for synthesizing these findings into a coherent narrative, and a fourth for ensuring stylistic and grammatical correctness (Shao et al., 2025). This integrated approach mimics the collaborative nature of human research teams, where different experts contribute their specialized skills to a common project. The autonomy of each agent allows for parallel processing and flexible adaptation to dynamic research environments, making MAAS particularly well-suited for tackling interdisciplinary and complex research questions that require diverse analytical perspectives (Bienefeld et al., 2023).</w:t>
      </w:r>
    </w:p>
    <w:p>
      <w:pPr>
        <w:pStyle w:val="BodyText"/>
      </w:pPr>
      <w:r>
        <w:t xml:space="preserve">Furthermore, MAAS can be designed with varying degrees of autonomy and intelligence, from rule-based agents performing simple, repetitive tasks to sophisticated learning agents that adapt their behavior based on new data and interactions (Bahrpeyma &amp; Reichelt, 2022). This adaptability is crucial in academic research, where new information constantly emerges, and research questions often evolve. The interaction between agents can be cooperative, where they work together towards a shared objective, or even competitive, where they vie for resources or optimal solutions, leading to more robust and innovative outcomes. The potential of MAAS lies not just in automating individual tasks but in orchestrating a complex research workflow, allowing researchers to offload intricate, time-consuming processes to a team of intelligent agents, thereby freeing up human intellect for higher-level conceptualization, critical thinking, and creative problem-solving (Shao et al., 2025). This shift represents a significant evolution in how AI can augment and transform the research process, moving towards a more symbiotic human-AI collaboration model.</w:t>
      </w:r>
    </w:p>
    <w:bookmarkEnd w:id="28"/>
    <w:bookmarkStart w:id="29" w:name="X272b522bb42d77da77f7844d1321214ebdc8b4e"/>
    <w:p>
      <w:pPr>
        <w:pStyle w:val="Heading3"/>
      </w:pPr>
      <w:r>
        <w:t xml:space="preserve">2.2.2 Applications in Complex Problem-Solving and Collaboration</w:t>
      </w:r>
    </w:p>
    <w:p>
      <w:pPr>
        <w:pStyle w:val="FirstParagraph"/>
      </w:pPr>
      <w:r>
        <w:t xml:space="preserve">The inherent collaborative nature and distributed intelligence of multi-agent AI systems make them exceptionally suitable for addressing complex problems in academic research that often span multiple disciplines and require the integration of diverse information sources. Such systems can significantly enhance research productivity by automating intricate workflows, facilitating interdisciplinary collaboration, and generating novel insights (Shao et al., 2025).</w:t>
      </w:r>
    </w:p>
    <w:p>
      <w:pPr>
        <w:pStyle w:val="BodyText"/>
      </w:pPr>
      <w:r>
        <w:t xml:space="preserve">One primary application area for MAAS is in comprehensive literature reviews and meta-analyses. Instead of a single researcher sifting through thousands of papers, a team of AI agents can be deployed. One agent might specialize in searching specific databases using advanced query techniques, another in filtering papers based on predefined criteria (e.g., methodology, publication year, keywords), a third in extracting relevant data points or arguments, and a fourth in synthesizing these findings into a structured review (Huzaifa et al., 2025). This coordinated effort can dramatically reduce the time and effort required for literature synthesis, ensuring broader coverage and higher consistency in data extraction. Similarly, in fields like medicine or environmental science, MAAS can analyze vast datasets from various sources—such as patient records, genomic data, climate models, or sensor networks—to identify patterns, predict outcomes, or generate hypotheses (Wu et al., 2024). For instance, in critical care, human-AI teaming approaches, where AI agents provide real-time data analysis and recommendations, have shown promise in improving decision-making processes (Bienefeld et al., 2023).</w:t>
      </w:r>
    </w:p>
    <w:p>
      <w:pPr>
        <w:pStyle w:val="BodyText"/>
      </w:pPr>
      <w:r>
        <w:t xml:space="preserve">Beyond data processing, MAAS can also play a crucial role in experimental design and simulation. Agents can be tasked with designing optimal experimental parameters, simulating different scenarios, and evaluating potential outcomes before physical experiments are conducted, thereby saving resources and accelerating discovery (Maecker et al., 2023). In computational fields, for example, agents can explore vast parameter spaces for models, identifying configurations that yield the most promising results. The</w:t>
      </w:r>
      <w:r>
        <w:t xml:space="preserve"> </w:t>
      </w:r>
      <w:r>
        <w:t xml:space="preserve">“</w:t>
      </w:r>
      <w:r>
        <w:t xml:space="preserve">OmniScientist</w:t>
      </w:r>
      <w:r>
        <w:t xml:space="preserve">”</w:t>
      </w:r>
      <w:r>
        <w:t xml:space="preserve"> </w:t>
      </w:r>
      <w:r>
        <w:t xml:space="preserve">concept, as described by Shao, Huang et al. (Shao et al., 2025), envisions a co-evolving ecosystem of human and AI scientists, where AI agents act as specialized researchers, collaborating with human counterparts to push the boundaries of scientific discovery. These agents can autonomously formulate hypotheses, design experiments, analyze results, and even draft scientific reports, with human scientists providing high-level guidance and critical oversight.</w:t>
      </w:r>
    </w:p>
    <w:p>
      <w:pPr>
        <w:pStyle w:val="BodyText"/>
      </w:pPr>
      <w:r>
        <w:t xml:space="preserve">Furthermore, MAAS can facilitate interdisciplinary collaboration by acting as intelligent intermediaries. In projects involving researchers from different domains, agents can translate concepts, identify common ground, and bridge knowledge gaps, fostering more effective communication and integration of diverse perspectives (Bienefeld et al., 2023). For example, an agent might summarize findings from a biology paper in terms understandable to a computer scientist, or vice-versa. The ability of MAAS to handle complex, multi-faceted problems, integrate information from disparate sources, and operate collaboratively opens new avenues for accelerating scientific progress and fostering innovation across academic disciplines (Dalabih &amp; Aljabari, 2023). This distributed intelligence approach promises to transform individual research efforts into highly efficient, collaborative ecosystems, significantly enhancing overall research productivity.</w:t>
      </w:r>
    </w:p>
    <w:bookmarkEnd w:id="29"/>
    <w:bookmarkStart w:id="30" w:name="X587e42676faa638c7d28a0cc6c2592c0bf71f37"/>
    <w:p>
      <w:pPr>
        <w:pStyle w:val="Heading3"/>
      </w:pPr>
      <w:r>
        <w:t xml:space="preserve">2.2.3 Challenges and Future Directions of Multi-Agent AI</w:t>
      </w:r>
    </w:p>
    <w:p>
      <w:pPr>
        <w:pStyle w:val="FirstParagraph"/>
      </w:pPr>
      <w:r>
        <w:t xml:space="preserve">While multi-agent AI systems offer unprecedented opportunities for enhancing academic research, their implementation and widespread adoption face several significant challenges. Addressing these challenges is crucial for realizing the full potential of MAAS in scholarly endeavors (Bahrpeyma &amp; Reichelt, 2022).</w:t>
      </w:r>
    </w:p>
    <w:p>
      <w:pPr>
        <w:pStyle w:val="BodyText"/>
      </w:pPr>
      <w:r>
        <w:t xml:space="preserve">One primary challenge lies in the</w:t>
      </w:r>
      <w:r>
        <w:t xml:space="preserve"> </w:t>
      </w:r>
      <w:r>
        <w:rPr>
          <w:bCs/>
          <w:b/>
        </w:rPr>
        <w:t xml:space="preserve">complexity of design and implementation</w:t>
      </w:r>
      <w:r>
        <w:t xml:space="preserve">. Developing MAAS requires sophisticated architectural planning, including defining agent roles, communication protocols, coordination mechanisms, and decision-making algorithms (Maecker et al., 2023). Ensuring that agents can effectively interact, resolve conflicts, and learn from their collective experiences is a non-trivial task. The interoperability of different AI models and tools, especially when integrating diverse functionalities, also presents a technical hurdle. Furthermore, the</w:t>
      </w:r>
      <w:r>
        <w:t xml:space="preserve"> </w:t>
      </w:r>
      <w:r>
        <w:rPr>
          <w:bCs/>
          <w:b/>
        </w:rPr>
        <w:t xml:space="preserve">transparency and interpretability</w:t>
      </w:r>
      <w:r>
        <w:t xml:space="preserve"> </w:t>
      </w:r>
      <w:r>
        <w:t xml:space="preserve">of MAAS are critical concerns. As systems become more complex, understanding how agents arrive at their conclusions or coordinate their actions can become opaque, making it difficult for human researchers to trust and validate their outputs (Polemi et al., 2024). This</w:t>
      </w:r>
      <w:r>
        <w:t xml:space="preserve"> </w:t>
      </w:r>
      <w:r>
        <w:t xml:space="preserve">“</w:t>
      </w:r>
      <w:r>
        <w:t xml:space="preserve">black box</w:t>
      </w:r>
      <w:r>
        <w:t xml:space="preserve">”</w:t>
      </w:r>
      <w:r>
        <w:t xml:space="preserve"> </w:t>
      </w:r>
      <w:r>
        <w:t xml:space="preserve">problem is particularly acute in academic research, where reproducibility and accountability are paramount. Researchers need to understand the reasoning behind AI-generated insights to ensure their scientific validity and avoid perpetuating biases (Tang et al., 2024).</w:t>
      </w:r>
    </w:p>
    <w:p>
      <w:pPr>
        <w:pStyle w:val="BodyText"/>
      </w:pPr>
      <w:r>
        <w:t xml:space="preserve">Another significant challenge pertains to</w:t>
      </w:r>
      <w:r>
        <w:t xml:space="preserve"> </w:t>
      </w:r>
      <w:r>
        <w:rPr>
          <w:bCs/>
          <w:b/>
        </w:rPr>
        <w:t xml:space="preserve">ethical considerations and accountability</w:t>
      </w:r>
      <w:r>
        <w:t xml:space="preserve">. When multiple agents contribute to a research outcome, attributing responsibility for errors, biases, or even misconduct becomes complex (Bhatt, 2025). Establishing clear guidelines for ethical AI behavior within a multi-agent framework, and ensuring that the system’s collective actions align with academic integrity principles, is essential (Partyko et al., 2024). This includes addressing issues of data privacy, intellectual property, and the potential for autonomous agents to generate misleading or fabricated information (Tang et al., 2024). The development of robust</w:t>
      </w:r>
      <w:r>
        <w:t xml:space="preserve"> </w:t>
      </w:r>
      <w:r>
        <w:rPr>
          <w:bCs/>
          <w:b/>
        </w:rPr>
        <w:t xml:space="preserve">validation and verification</w:t>
      </w:r>
      <w:r>
        <w:t xml:space="preserve"> </w:t>
      </w:r>
      <w:r>
        <w:t xml:space="preserve">mechanisms is also critical. How can human researchers rigorously test and confirm the accuracy and reliability of MAAS outputs, especially when the system operates semi-autonomously on complex tasks? This requires novel approaches to quality control and peer review that can accommodate AI-generated contributions (Huzaifa et al., 2025).</w:t>
      </w:r>
    </w:p>
    <w:p>
      <w:pPr>
        <w:pStyle w:val="BodyText"/>
      </w:pPr>
      <w:r>
        <w:t xml:space="preserve">Looking to the future, research in MAAS for academic contexts is likely to focus on several key directions. One area is the development of more</w:t>
      </w:r>
      <w:r>
        <w:t xml:space="preserve"> </w:t>
      </w:r>
      <w:r>
        <w:rPr>
          <w:bCs/>
          <w:b/>
        </w:rPr>
        <w:t xml:space="preserve">adaptive and self-organizing MAAS</w:t>
      </w:r>
      <w:r>
        <w:t xml:space="preserve"> </w:t>
      </w:r>
      <w:r>
        <w:t xml:space="preserve">that can dynamically reconfigure their roles and strategies in response to evolving research questions or new data (Bahrpeyma &amp; Reichelt, 2022). This would enhance their flexibility and resilience in highly dynamic academic environments. Another direction involves improving</w:t>
      </w:r>
      <w:r>
        <w:t xml:space="preserve"> </w:t>
      </w:r>
      <w:r>
        <w:rPr>
          <w:bCs/>
          <w:b/>
        </w:rPr>
        <w:t xml:space="preserve">human-AI teaming interfaces</w:t>
      </w:r>
      <w:r>
        <w:t xml:space="preserve">, making it easier for human researchers to collaborate with, guide, and oversee MAAS. This includes developing intuitive dashboards for monitoring agent activities, tools for intervening in agent decision-making, and mechanisms for agents to provide clear explanations of their reasoning (Bienefeld et al., 2023). Furthermore, there will be an emphasis on embedding</w:t>
      </w:r>
      <w:r>
        <w:t xml:space="preserve"> </w:t>
      </w:r>
      <w:r>
        <w:rPr>
          <w:bCs/>
          <w:b/>
        </w:rPr>
        <w:t xml:space="preserve">ethical AI principles</w:t>
      </w:r>
      <w:r>
        <w:t xml:space="preserve"> </w:t>
      </w:r>
      <w:r>
        <w:t xml:space="preserve">directly into the design of MAAS, incorporating mechanisms for bias detection, transparency, and accountability at the architectural level (Peters et al., 2020). The integration of explainable AI (XAI) techniques will be crucial for making MAAS more transparent and trustworthy. Finally, the development of</w:t>
      </w:r>
      <w:r>
        <w:t xml:space="preserve"> </w:t>
      </w:r>
      <w:r>
        <w:rPr>
          <w:bCs/>
          <w:b/>
        </w:rPr>
        <w:t xml:space="preserve">open-source MAAS frameworks</w:t>
      </w:r>
      <w:r>
        <w:t xml:space="preserve"> </w:t>
      </w:r>
      <w:r>
        <w:t xml:space="preserve">could accelerate adoption and foster community-driven innovation, allowing researchers to build upon and customize existing systems (Fiotto-Kaufman et al., 2024). Overcoming these challenges will pave the way for MAAS to become indispensable collaborators in the pursuit of knowledge, fundamentally transforming the landscape of academic research.</w:t>
      </w:r>
    </w:p>
    <w:bookmarkEnd w:id="30"/>
    <w:bookmarkEnd w:id="31"/>
    <w:bookmarkStart w:id="35" w:name="X358fecfc54a66ef629694066e10ba5639c4790f"/>
    <w:p>
      <w:pPr>
        <w:pStyle w:val="Heading2"/>
      </w:pPr>
      <w:r>
        <w:t xml:space="preserve">2.3 Addressing Barriers to Academic Research and Writing Accessibility</w:t>
      </w:r>
    </w:p>
    <w:p>
      <w:pPr>
        <w:pStyle w:val="FirstParagraph"/>
      </w:pPr>
      <w:r>
        <w:t xml:space="preserve">Academic research and writing have historically been characterized by significant barriers, limiting participation and access to knowledge. These barriers include issues of resource disparity, language differences, and the complexities of navigating vast scholarly literature. AI, particularly in its generative and assistive forms, presents a powerful opportunity to dismantle some of these impediments, thereby fostering greater inclusivity and democratizing access to scholarly pursuits (Sarker et al., 2024).</w:t>
      </w:r>
    </w:p>
    <w:bookmarkStart w:id="32" w:name="Xdedc2d24651faeec7d01aa03b8bcdec75739cdb"/>
    <w:p>
      <w:pPr>
        <w:pStyle w:val="Heading3"/>
      </w:pPr>
      <w:r>
        <w:t xml:space="preserve">2.3.1 The Digital Divide and Resource Disparities</w:t>
      </w:r>
    </w:p>
    <w:p>
      <w:pPr>
        <w:pStyle w:val="FirstParagraph"/>
      </w:pPr>
      <w:r>
        <w:t xml:space="preserve">The digital divide refers to the gap in access to information and communication technologies (ICTs) between different populations, often along socioeconomic, geographic, or educational lines. This divide manifests significantly in academic research, where researchers in less developed regions or institutions with limited funding often lack access to essential resources such as expensive journal subscriptions, advanced software, and high-performance computing infrastructure (Mwangi et al., 2021)(Austin et al., 2021). Such disparities create a significant imbalance in the ability to conduct cutting-edge research and effectively disseminate findings, perpetuating inequalities in global knowledge production. Without access to the latest scholarly publications, researchers are constrained in their ability to build upon existing knowledge, identify research gaps, and contribute meaningfully to their fields.</w:t>
      </w:r>
    </w:p>
    <w:p>
      <w:pPr>
        <w:pStyle w:val="BodyText"/>
      </w:pPr>
      <w:r>
        <w:t xml:space="preserve">Furthermore, the high cost of specialized academic writing software, sophisticated data analysis tools, and even professional editing services creates an additional barrier. Researchers from under-resourced institutions or early-career researchers often cannot afford these tools, putting them at a disadvantage compared to their peers in well-funded environments (Chinchu, 2021). This resource disparity extends beyond financial costs to include access to training and expertise in using advanced research methodologies and technologies. While some open-source alternatives exist, their adoption often requires technical proficiency that may not be universally available. The language barrier also constitutes a significant impediment. English remains the dominant language of international academic discourse, posing a challenge for non-native English speakers who may struggle with writing and publishing in English, despite possessing valuable research insights (Tran, 2024). This linguistic barrier can limit the global impact of research conducted in other languages and disadvantage researchers whose primary language is not English (Merkviladze, 2024).</w:t>
      </w:r>
    </w:p>
    <w:p>
      <w:pPr>
        <w:pStyle w:val="BodyText"/>
      </w:pPr>
      <w:r>
        <w:t xml:space="preserve">The digital divide and resource disparities thus create a multi-faceted problem, limiting who can participate in global academic discourse and whose voices are heard. It restricts the diversity of perspectives, methodologies, and research questions addressed in the global scientific community. Addressing these fundamental inequalities is paramount for fostering a truly inclusive and equitable academic ecosystem. The emergence of affordable or open-source AI tools, coupled with initiatives promoting open science and data sharing, offers promising avenues to mitigate these long-standing barriers and enable broader participation in the generation and dissemination of knowledge (Sarker et al., 2024). The potential of AI to bridge these gaps lies in its ability to democratize access to sophisticated analytical and writing capabilities, transforming the landscape of academic opportunity (Fiotto-Kaufman et al., 2024).</w:t>
      </w:r>
    </w:p>
    <w:bookmarkEnd w:id="32"/>
    <w:bookmarkStart w:id="33" w:name="X267ac27a4b1668686f54012218afffcf1dabe1f"/>
    <w:p>
      <w:pPr>
        <w:pStyle w:val="Heading3"/>
      </w:pPr>
      <w:r>
        <w:t xml:space="preserve">2.3.2 Open Science Initiatives and Data Sharing</w:t>
      </w:r>
    </w:p>
    <w:p>
      <w:pPr>
        <w:pStyle w:val="FirstParagraph"/>
      </w:pPr>
      <w:r>
        <w:t xml:space="preserve">Open science initiatives represent a concerted global effort to make scientific research, data, and publications accessible to all, fostering transparency, collaboration, and reproducibility (Mwangi et al., 2021). These initiatives directly address many of the barriers to academic accessibility, particularly those related to the digital divide and resource disparities. By advocating for open access to scholarly articles, open data, and open methodologies, open science aims to democratize the entire research lifecycle, ensuring that knowledge is not confined behind paywalls or proprietary systems (Austin et al., 2021).</w:t>
      </w:r>
    </w:p>
    <w:p>
      <w:pPr>
        <w:pStyle w:val="BodyText"/>
      </w:pPr>
      <w:r>
        <w:t xml:space="preserve">Open access publishing, a cornerstone of open science, ensures that research articles are freely available online, removing financial barriers to information access. This is particularly beneficial for researchers in institutions with limited library budgets, enabling them to stay abreast of the latest developments in their fields (Gupta &amp; Pandit, 2024). Coupled with this is the push for open data, where researchers are encouraged to make their raw datasets publicly available. This practice not only enhances transparency and reproducibility but also allows other researchers to re-analyze existing data, generate new hypotheses, and conduct secondary studies without needing to collect data from scratch (Austin et al., 2021). For instance, initiatives like Just-DNA-Seq provide open-source personal genomics platforms, promoting data longevity and accessibility for research (Anton et al., 2024). Similarly, open-access data in healthcare AI is crucial for democratizing research in this critical sector, allowing a wider range of scientists to contribute to medical advancements (Ritoré et2 al., 2024).</w:t>
      </w:r>
    </w:p>
    <w:p>
      <w:pPr>
        <w:pStyle w:val="BodyText"/>
      </w:pPr>
      <w:r>
        <w:t xml:space="preserve">The principles of open science extend to open methodologies and open-source software, which provide researchers with free access to the tools and techniques necessary to conduct and analyze research (Chinchu, 2021). This directly counters the issue of expensive proprietary software, offering viable alternatives that can be customized and improved by a global community of developers. Projects like USID and Pycroscopy (Somnath et al., 2019) exemplify open frameworks for storing and analyzing data, making advanced scientific computation more accessible. The emphasis on open-source AI models and platforms further aligns with this ethos, enabling researchers worldwide to leverage powerful AI capabilities without prohibitive licensing fees (Fiotto-Kaufman et al., 2024).</w:t>
      </w:r>
    </w:p>
    <w:p>
      <w:pPr>
        <w:pStyle w:val="BodyText"/>
      </w:pPr>
      <w:r>
        <w:t xml:space="preserve">However, implementing open science principles is not without challenges. These include issues related to data privacy, intellectual property rights, and the need for robust infrastructure to host and manage open data (Austin et al., 2021). Despite these hurdles, the momentum behind open science continues to grow, driven by the recognition that collective knowledge benefits humanity as a whole. By breaking down traditional silos and fostering a culture of sharing, open science initiatives, often amplified by AI-driven tools, are fundamentally reshaping the academic landscape, making research more accessible, collaborative, and impactful across the globe (Mwangi et al., 2021). The synergy between open science and AI creates a powerful force for democratizing knowledge creation and dissemination.</w:t>
      </w:r>
    </w:p>
    <w:bookmarkEnd w:id="33"/>
    <w:bookmarkStart w:id="34" w:name="ai-as-an-enabler-for-inclusivity"/>
    <w:p>
      <w:pPr>
        <w:pStyle w:val="Heading3"/>
      </w:pPr>
      <w:r>
        <w:t xml:space="preserve">2.3.3 AI as an Enabler for Inclusivity</w:t>
      </w:r>
    </w:p>
    <w:p>
      <w:pPr>
        <w:pStyle w:val="FirstParagraph"/>
      </w:pPr>
      <w:r>
        <w:t xml:space="preserve">Artificial intelligence has emerged as a significant enabler for inclusivity in academic research and writing, offering innovative solutions to overcome various barriers that have historically marginalized certain groups or regions (Sarker et al., 2024). By providing sophisticated tools that are often free or low-cost, AI can level the playing field, making high-quality research and writing support accessible to a broader demographic of scholars worldwide.</w:t>
      </w:r>
    </w:p>
    <w:p>
      <w:pPr>
        <w:pStyle w:val="BodyText"/>
      </w:pPr>
      <w:r>
        <w:t xml:space="preserve">One of the most impactful ways AI enhances inclusivity is by addressing the language barrier. Generative AI models and machine translation tools can assist non-native English speakers in drafting, refining, and translating their academic work into English, the lingua franca of global academia (Tran, 2024). While not perfect, these tools can significantly improve the grammatical correctness, stylistic coherence, and academic tone of manuscripts, making it easier for researchers from diverse linguistic backgrounds to publish in international journals (Merkviladze, 2024). This capability ensures that valuable research insights are not lost due to linguistic limitations, thereby enriching global academic discourse with a wider array of perspectives and findings. AI-driven dynamic writing platforms, for instance, have shown promise in improving EFL learners’ writing skills and fostering their motivation by providing personalized, immediate feedback (Tajik, 2025).</w:t>
      </w:r>
    </w:p>
    <w:p>
      <w:pPr>
        <w:pStyle w:val="BodyText"/>
      </w:pPr>
      <w:r>
        <w:t xml:space="preserve">Furthermore, AI tools can mitigate the impact of resource disparities by providing affordable access to advanced research functionalities. AI-powered literature review tools can help researchers in institutions with limited journal subscriptions to efficiently identify and synthesize relevant open-access papers, making the process of staying updated more manageable (Huzaifa et al., 2025). Similarly, AI can assist in data analysis, offering capabilities that might otherwise require expensive statistical software or specialized expertise (Chinchu, 2021). This democratization of advanced analytical tools empowers researchers in under-resourced settings to conduct more rigorous and sophisticated studies, contributing to the global body of knowledge (Sarker et al., 2024).</w:t>
      </w:r>
    </w:p>
    <w:p>
      <w:pPr>
        <w:pStyle w:val="BodyText"/>
      </w:pPr>
      <w:r>
        <w:t xml:space="preserve">AI also fosters inclusivity by supporting personalized learning paths and skill development in academic writing (Bayly-Castaneda et2 al., 2024). AI-driven writing assistants can provide tailored feedback, identify individual weaknesses, and suggest targeted exercises to improve specific writing skills, from argumentation to citation management (Madhavi, 2025). This personalized support is invaluable for early-career researchers or students who may not have access to dedicated mentors or writing centers. By breaking down the complexities of academic writing into manageable, AI-assisted steps, these tools build confidence and competence, encouraging broader participation in scholarly publishing (Pawar &amp; Khose, 2024). Moreover, AI can help in managing the cognitive load associated with research, automating tedious tasks like formatting, reference checking, and preliminary data organization, allowing researchers to focus on higher-order thinking and creative aspects of their work (Dalabih &amp; Aljabari, 2023). This liberation from mundane tasks can be particularly beneficial for researchers juggling multiple responsibilities, including those in developing countries where researchers often face heavier teaching loads and fewer support staff. In essence, AI serves as a powerful democratizing force, making academic research and writing more accessible, equitable, and inclusive for a global community of scholars (Fiotto-Kaufman et al., 2024).</w:t>
      </w:r>
    </w:p>
    <w:bookmarkEnd w:id="34"/>
    <w:bookmarkEnd w:id="35"/>
    <w:bookmarkStart w:id="39" w:name="X91806dcb1eee15ebb362b70f5d6854f776aaa0a"/>
    <w:p>
      <w:pPr>
        <w:pStyle w:val="Heading2"/>
      </w:pPr>
      <w:r>
        <w:t xml:space="preserve">2.4 The Democratization of AI through Open Source Tools</w:t>
      </w:r>
    </w:p>
    <w:p>
      <w:pPr>
        <w:pStyle w:val="FirstParagraph"/>
      </w:pPr>
      <w:r>
        <w:t xml:space="preserve">The rapid advancement of AI technology, particularly generative AI, has raised concerns about accessibility and control. Proprietary AI models, often developed by large corporations, come with significant licensing costs and limited transparency. In contrast, open-source AI tools are emerging as a critical force in democratizing access to these powerful technologies, fostering innovation, and promoting equitable participation in the AI revolution (Hermansen &amp; Osborne, 2025).</w:t>
      </w:r>
    </w:p>
    <w:bookmarkStart w:id="36" w:name="principles-and-growth-of-open-source-ai"/>
    <w:p>
      <w:pPr>
        <w:pStyle w:val="Heading3"/>
      </w:pPr>
      <w:r>
        <w:t xml:space="preserve">2.4.1 Principles and Growth of Open Source AI</w:t>
      </w:r>
    </w:p>
    <w:p>
      <w:pPr>
        <w:pStyle w:val="FirstParagraph"/>
      </w:pPr>
      <w:r>
        <w:t xml:space="preserve">Open-source AI refers to artificial intelligence software, models, and datasets that are made publicly available under licenses that permit their free use, modification, and distribution (Hermansen &amp; Sandberg, 2025). The core principles underpinning open-source AI align with the broader open-source movement: transparency, collaboration, community-driven development, and accessibility. Unlike proprietary AI, where the underlying code and training data are often kept secret, open-source AI promotes full disclosure, allowing anyone to inspect, understand, and build upon the technology (Fiotto-Kaufman et al., 2024). This transparency is crucial for academic research, as it enables peer review of AI methodologies, fosters trust, and facilitates the identification and mitigation of biases (Peters et al., 2020).</w:t>
      </w:r>
    </w:p>
    <w:p>
      <w:pPr>
        <w:pStyle w:val="BodyText"/>
      </w:pPr>
      <w:r>
        <w:t xml:space="preserve">The growth of open-source AI has been exponential, driven by several factors. Firstly, major technology companies and research institutions have increasingly contributed their AI models and frameworks to the open-source community, recognizing the benefits of collaborative development and broad adoption. Frameworks like TensorFlow and PyTorch, and models like various iterations of BERT and Llama, are examples of powerful AI tools that have been made open source, allowing researchers and developers worldwide to leverage state-of-the-art AI without prohibitive costs (Fiotto-Kaufman et al., 2024). Secondly, the academic community itself has been a strong proponent of open-source AI, aligning with the principles of open science and the desire to make research tools widely available (Mwangi et al., 2021). Researchers often publish their code and models alongside their papers, enabling others to reproduce their results and extend their work. This collaborative ecosystem accelerates the pace of innovation, as improvements and new applications can be developed by a diverse global community (Hermansen &amp; Osborne, 2025).</w:t>
      </w:r>
    </w:p>
    <w:p>
      <w:pPr>
        <w:pStyle w:val="BodyText"/>
      </w:pPr>
      <w:r>
        <w:t xml:space="preserve">Furthermore, the availability of open-source datasets and computational resources, often provided by cloud platforms or academic consortia, has further fueled the growth of open-source AI. Researchers can now access vast amounts of data and computing power, which are essential for training and fine-tuning complex AI models, without needing to invest in expensive infrastructure (Chinchu, 2021). This accessibility is particularly impactful for researchers in developing countries or smaller institutions, who can now participate in cutting-edge AI research previously reserved for well-funded labs (Hermansen &amp; Sandberg, 2025). The open-source model also encourages the development of specialized tools and applications tailored to specific research needs, as developers can freely adapt and extend existing models. For instance, open-source platforms like NNsight and NDIF are democratizing access to open-weight foundational models, allowing for greater experimentation and innovation (Fiotto-Kaufman et al., 2024). This community-driven approach ensures that AI technology evolves in a more inclusive and diverse manner, addressing a wider range of problems and perspectives than would be possible with purely proprietary development (Hermansen &amp; Osborne, 2025).</w:t>
      </w:r>
    </w:p>
    <w:bookmarkEnd w:id="36"/>
    <w:bookmarkStart w:id="37" w:name="economic-and-societal-impacts"/>
    <w:p>
      <w:pPr>
        <w:pStyle w:val="Heading3"/>
      </w:pPr>
      <w:r>
        <w:t xml:space="preserve">2.4.2 Economic and Societal Impacts</w:t>
      </w:r>
    </w:p>
    <w:p>
      <w:pPr>
        <w:pStyle w:val="FirstParagraph"/>
      </w:pPr>
      <w:r>
        <w:t xml:space="preserve">The democratization of AI through open-source tools carries profound economic and societal impacts, extending far beyond the immediate academic sphere. By lowering the barriers to entry for AI development and application, open-source AI fosters innovation, stimulates economic growth, and promotes greater equity in technological advancement (Hermansen &amp; Osborne, 2025).</w:t>
      </w:r>
    </w:p>
    <w:p>
      <w:pPr>
        <w:pStyle w:val="BodyText"/>
      </w:pPr>
      <w:r>
        <w:t xml:space="preserve">Economically, open-source AI reduces development costs for businesses and startups. Instead of investing heavily in building AI models from scratch or paying substantial licensing fees for proprietary solutions, organizations can leverage existing open-source frameworks and pre-trained models. This allows smaller companies and entrepreneurs to compete with larger tech giants, fostering a more dynamic and competitive market for AI-driven products and services (Hermansen &amp; Sandberg, 2025). The ability to customize and integrate open-source AI into existing systems also leads to more efficient resource allocation and faster deployment of AI solutions across various sectors. For instance, in intermodal freight fleets, multi-agent systems built on open-source principles can optimize logistics and reduce operational costs (Maecker et al., 2023). The economic benefits also extend to job creation, as the demand for skilled professionals who can work with and contribute to open-source AI ecosystems grows (Hermansen &amp; Osborne, 2025).</w:t>
      </w:r>
    </w:p>
    <w:p>
      <w:pPr>
        <w:pStyle w:val="BodyText"/>
      </w:pPr>
      <w:r>
        <w:t xml:space="preserve">Societally, open-source AI promotes digital inclusion and addresses the digital divide. By making powerful AI tools freely available, it empowers individuals and communities in developing regions to access and utilize advanced technologies that can solve local problems, improve public services, and enhance educational opportunities (Sarker et al., 2024). For example, open-source data analysis software makes academic research more accessible to institutions with limited budgets (Chinchu, 2021). In healthcare, open-access data and open-source AI models can democratize research into critical areas, leading to more equitable health outcomes globally (Ritoré et al., 2024). This broader access to AI capabilities can stimulate local innovation, allowing communities to develop solutions tailored to their unique contexts, rather than relying solely on solutions developed elsewhere.</w:t>
      </w:r>
    </w:p>
    <w:p>
      <w:pPr>
        <w:pStyle w:val="BodyText"/>
      </w:pPr>
      <w:r>
        <w:t xml:space="preserve">Furthermore, open-source AI enhances transparency and trustworthiness, which are crucial for public acceptance and responsible AI development (Peters et al., 2020). When the code and data behind AI models are open, it allows for independent scrutiny, facilitating the detection of biases, vulnerabilities, and ethical concerns (Polemi et al., 2024). This transparency is vital for building public trust in AI systems, especially in sensitive areas like education, healthcare, and public policy (Kadambi et al., 2024)(Chan, 2023). The collaborative nature of open-source development also allows for a more diverse range of perspectives to be incorporated into AI design, potentially leading to more robust, fair, and culturally sensitive AI solutions (Tang et al., 2024). The collective effort of a global community can identify and rectify issues more effectively than a single proprietary entity, contributing to the development of responsible AI (Peters et al., 2020). In sum, open-source AI is not just a technological trend; it is a movement that is reshaping economic landscapes and societal structures by making advanced intelligence accessible to all, fostering a more equitable and innovative future (Hermansen &amp; Sandberg, 2025).</w:t>
      </w:r>
    </w:p>
    <w:bookmarkEnd w:id="37"/>
    <w:bookmarkStart w:id="38" w:name="X5d39a403b5a66440bd4c143bdcc7bbec6e3b236"/>
    <w:p>
      <w:pPr>
        <w:pStyle w:val="Heading3"/>
      </w:pPr>
      <w:r>
        <w:t xml:space="preserve">2.4.3 Open Source AI for Research Infrastructure</w:t>
      </w:r>
    </w:p>
    <w:p>
      <w:pPr>
        <w:pStyle w:val="FirstParagraph"/>
      </w:pPr>
      <w:r>
        <w:t xml:space="preserve">The application of open-source AI extends significantly to the very infrastructure of academic research, promising to build more robust, accessible, and collaborative environments for scientific discovery. By providing foundational tools and platforms, open-source AI is enabling researchers to develop, deploy, and utilize advanced AI capabilities without proprietary constraints, fostering a truly democratized research ecosystem (Fiotto-Kaufman et al., 2024).</w:t>
      </w:r>
    </w:p>
    <w:p>
      <w:pPr>
        <w:pStyle w:val="BodyText"/>
      </w:pPr>
      <w:r>
        <w:t xml:space="preserve">One critical area is the development of open-source AI frameworks and libraries that serve as the backbone for AI research. Projects like TensorFlow, PyTorch, Hugging Face Transformers, and various open-weight foundational models provide researchers with powerful tools for machine learning, deep learning, and natural language processing. These frameworks allow academics to conduct cutting-edge research, develop novel algorithms, and build custom AI applications without needing to re-engineer core components (Fiotto-Kaufman et al., 2024). The collaborative nature of these projects means that they are continuously updated, improved, and expanded by a global community of developers and researchers, ensuring that the tools remain state-of-the-art and widely supported (Hermansen &amp; Osborne, 2025). This collective effort minimizes the burden on individual researchers or institutions to maintain complex software, allowing them to focus on their specific research questions.</w:t>
      </w:r>
    </w:p>
    <w:p>
      <w:pPr>
        <w:pStyle w:val="BodyText"/>
      </w:pPr>
      <w:r>
        <w:t xml:space="preserve">Beyond general frameworks, open-source AI is also crucial for specialized research infrastructure. This includes open-source data management systems, analytical platforms, and visualization tools that are enhanced with AI capabilities. For instance, open-source platforms for personal genomics like Just-DNA-Seq (Anton et al., 2024) or comprehensive data analysis software (Chinchu, 2021) democratize access to sophisticated scientific computing. These tools, often developed by academic communities themselves, are tailored to the unique needs of researchers, integrating AI for tasks such as data cleaning, pattern recognition, predictive modeling, and automated report generation (Somnath et al., 2019). The ability to inspect and modify the source code of these tools also ensures transparency and reproducibility, which are fundamental tenets of scientific integrity. Researchers can verify the algorithms, adapt them for specific datasets, and contribute improvements back to the community, creating a virtuous cycle of innovation (Mwangi et al., 2021).</w:t>
      </w:r>
    </w:p>
    <w:p>
      <w:pPr>
        <w:pStyle w:val="BodyText"/>
      </w:pPr>
      <w:r>
        <w:t xml:space="preserve">Furthermore, open-source AI contributes to the development of shared computational resources and platforms for collaborative research. Initiatives that provide open access to computing clusters, AI models, and data repositories facilitate large-scale, interdisciplinary projects that would be impossible for single institutions to undertake (Fiotto-Kaufman et al., 2024). This infrastructure supports the vision of human-AI collaboration, where AI agents can leverage these open-source tools to assist in complex tasks, from literature synthesis to experimental design, as discussed in the context of multi-agent systems (Shao et al., 2025). The long-term impact of open-source AI on research infrastructure is the creation of a more equitable, efficient, and interconnected global research community. It lowers the barrier to entry for participation in advanced scientific inquiry, accelerates the pace of discovery, and ensures that the benefits of AI advancements are shared broadly across academia and society (Hermansen &amp; Sandberg, 2025).</w:t>
      </w:r>
    </w:p>
    <w:bookmarkEnd w:id="38"/>
    <w:bookmarkEnd w:id="39"/>
    <w:bookmarkStart w:id="43" w:name="X9c692445ad359560e92850d88c052d81fb90cd1"/>
    <w:p>
      <w:pPr>
        <w:pStyle w:val="Heading2"/>
      </w:pPr>
      <w:r>
        <w:t xml:space="preserve">2.5 AI-Powered Automation in Citation and Literature Management</w:t>
      </w:r>
    </w:p>
    <w:p>
      <w:pPr>
        <w:pStyle w:val="FirstParagraph"/>
      </w:pPr>
      <w:r>
        <w:t xml:space="preserve">The exponential growth of scholarly literature presents a significant challenge for researchers, making it increasingly difficult to stay abreast of new developments, identify relevant studies, and manage citations effectively. AI-powered automation is emerging as a critical solution, transforming how researchers discover, organize, and integrate scholarly information, thereby enhancing efficiency and accuracy in literature management (Huzaifa et al., 2025).</w:t>
      </w:r>
    </w:p>
    <w:bookmarkStart w:id="40" w:name="Xca847c12c45e9e0202d8e6927a24e306a144bf2"/>
    <w:p>
      <w:pPr>
        <w:pStyle w:val="Heading3"/>
      </w:pPr>
      <w:r>
        <w:t xml:space="preserve">2.5.1 The Challenge of Scholarly Information Overload</w:t>
      </w:r>
    </w:p>
    <w:p>
      <w:pPr>
        <w:pStyle w:val="FirstParagraph"/>
      </w:pPr>
      <w:r>
        <w:t xml:space="preserve">The sheer volume of academic publications being produced globally each year has led to a phenomenon often termed</w:t>
      </w:r>
      <w:r>
        <w:t xml:space="preserve"> </w:t>
      </w:r>
      <w:r>
        <w:t xml:space="preserve">“</w:t>
      </w:r>
      <w:r>
        <w:t xml:space="preserve">scholarly information overload.</w:t>
      </w:r>
      <w:r>
        <w:t xml:space="preserve">”</w:t>
      </w:r>
      <w:r>
        <w:t xml:space="preserve"> </w:t>
      </w:r>
      <w:r>
        <w:t xml:space="preserve">Researchers are confronted with an ever-increasing deluge of papers, preprints, conference proceedings, and datasets, making it nearly impossible for any single individual to comprehensively review all relevant literature in their field (Huzaifa et al., 2025). This overload is exacerbated by the interdisciplinary nature of many contemporary research questions, which often require delving into multiple, sometimes disparate, bodies of literature. The implications of this information deluge are profound, leading to several critical challenges for academic productivity and the advancement of knowledge.</w:t>
      </w:r>
    </w:p>
    <w:p>
      <w:pPr>
        <w:pStyle w:val="BodyText"/>
      </w:pPr>
      <w:r>
        <w:t xml:space="preserve">Firstly, identifying truly relevant and high-quality studies amidst the noise becomes a time-consuming and often overwhelming task. Traditional keyword-based search methods can be inefficient, yielding thousands of results that require manual sifting, many of which may be tangentially related or irrelevant to the specific research question (Teh &amp; Uwasomba, 2024). This process consumes valuable research time that could otherwise be dedicated to analysis, experimentation, or writing. Secondly, the difficulty in keeping up with the latest advancements can lead to unintentional omissions in literature reviews, potentially resulting in redundant research efforts or a failure to build upon the most current findings (Huzaifa et al., 2025). This can hinder the novelty and impact of new research, as scholars may inadvertently overlook critical insights or methodological improvements published by others.</w:t>
      </w:r>
    </w:p>
    <w:p>
      <w:pPr>
        <w:pStyle w:val="BodyText"/>
      </w:pPr>
      <w:r>
        <w:t xml:space="preserve">Furthermore, managing and organizing citations for a large body of literature is a complex and error-prone process. Manually tracking references, ensuring consistent formatting according to specific citation styles (e.g., APA 7th Edition), and integrating them seamlessly into manuscripts requires meticulous attention to detail (Granjeiro et al., 2025). Errors in citation can undermine the credibility of a scholarly work and complicate the peer-review process. The dynamic nature of research, with new papers constantly being published, means that literature reviews are never truly</w:t>
      </w:r>
      <w:r>
        <w:t xml:space="preserve"> </w:t>
      </w:r>
      <w:r>
        <w:t xml:space="preserve">“</w:t>
      </w:r>
      <w:r>
        <w:t xml:space="preserve">finished,</w:t>
      </w:r>
      <w:r>
        <w:t xml:space="preserve">”</w:t>
      </w:r>
      <w:r>
        <w:t xml:space="preserve"> </w:t>
      </w:r>
      <w:r>
        <w:t xml:space="preserve">requiring continuous updates and revisions (Huzaifa et al., 2025). This constant need for updating adds to the burden of information management.</w:t>
      </w:r>
    </w:p>
    <w:p>
      <w:pPr>
        <w:pStyle w:val="BodyText"/>
      </w:pPr>
      <w:r>
        <w:t xml:space="preserve">The challenge of scholarly information overload also contributes to researcher burnout and reduces the time available for creative thinking and critical analysis. When a significant portion of a researcher’s time is spent on administrative tasks related to literature discovery and management, their capacity for deeper intellectual engagement is diminished (Dalabih &amp; Aljabari, 2023). This highlights the urgent need for innovative solutions that can streamline the process of literature management, allowing researchers to focus on the more intellectually demanding aspects of their work. AI-powered automation offers a promising pathway to address these challenges, transforming the landscape of scholarly information processing and enabling researchers to navigate the information deluge more effectively (Huzaifa et al., 2025).</w:t>
      </w:r>
    </w:p>
    <w:bookmarkEnd w:id="40"/>
    <w:bookmarkStart w:id="41" w:name="X2392555e8cb18a4f56fccdc180bdb23be4fc8db"/>
    <w:p>
      <w:pPr>
        <w:pStyle w:val="Heading3"/>
      </w:pPr>
      <w:r>
        <w:t xml:space="preserve">2.5.2 Automated Discovery and Organization Tools</w:t>
      </w:r>
    </w:p>
    <w:p>
      <w:pPr>
        <w:pStyle w:val="FirstParagraph"/>
      </w:pPr>
      <w:r>
        <w:t xml:space="preserve">In response to the escalating challenge of scholarly information overload, AI-powered tools are revolutionizing the discovery and organization of academic literature. These automated systems leverage advanced natural language processing (NLP) and machine learning (ML) techniques to assist researchers in identifying relevant papers, extracting key information, and managing citations with unprecedented efficiency and accuracy (Huzaifa et al., 2025).</w:t>
      </w:r>
    </w:p>
    <w:p>
      <w:pPr>
        <w:pStyle w:val="BodyText"/>
      </w:pPr>
      <w:r>
        <w:t xml:space="preserve">At the forefront of automated discovery are AI-driven search engines and academic databases that go beyond traditional keyword matching. These tools utilize semantic search capabilities, understanding the contextual meaning of queries and the content of papers to retrieve more relevant results (Dalabih &amp; Aljabari, 2023). For example, some AI systems can analyze a researcher’s existing publications or a draft manuscript to suggest highly relevant papers, even if they don’t share exact keywords, by identifying thematic similarities and conceptual connections (Radensky et al., 2024). This is often achieved through techniques like topic modeling, knowledge graph analysis, and citation network analysis, which can map the intellectual landscape of a field and identify influential works or emerging trends (Wu et al., 2024). These systems can also prioritize results based on impact factors, citation counts, or the novelty of the research, helping researchers quickly home in on the most significant contributions (Huzaifa et al., 2025).</w:t>
      </w:r>
    </w:p>
    <w:p>
      <w:pPr>
        <w:pStyle w:val="BodyText"/>
      </w:pPr>
      <w:r>
        <w:t xml:space="preserve">Once relevant papers are identified, AI tools aid significantly in organization and information extraction. Automated summarization algorithms can generate concise abstracts or key bullet points from lengthy articles, allowing researchers to quickly grasp the core findings without reading the entire text (Radensky et al., 2024). This is particularly useful for initial screening of numerous papers. Furthermore, AI-powered data extraction tools can automatically identify and extract specific information, such as methodologies, results, participant demographics, or intervention details, from full-text articles. This capability is invaluable for systematic reviews and meta-analyses, where consistent data extraction across many studies is crucial (Huzaifa et al., 2025). Some advanced tools can even construct knowledge graphs from a corpus of literature, visually representing relationships between concepts, authors, and institutions, offering a dynamic way to explore complex fields (Shao et al., 2025).</w:t>
      </w:r>
    </w:p>
    <w:p>
      <w:pPr>
        <w:pStyle w:val="BodyText"/>
      </w:pPr>
      <w:r>
        <w:t xml:space="preserve">For citation management, AI-driven reference managers automate the process of collecting, storing, and formatting citations (Granjeiro et al., 2025). These tools can automatically import metadata from digital libraries, detect duplicate entries, and format bibliographies according to various citation styles (e.g., APA 7th Edition) with high precision, significantly reducing the likelihood of human error (Selim, 2024). They can also integrate directly with word processors, allowing researchers to insert citations and generate bibliographies seamlessly as they write. Some sophisticated systems even offer</w:t>
      </w:r>
      <w:r>
        <w:t xml:space="preserve"> </w:t>
      </w:r>
      <w:r>
        <w:t xml:space="preserve">“</w:t>
      </w:r>
      <w:r>
        <w:t xml:space="preserve">smart</w:t>
      </w:r>
      <w:r>
        <w:t xml:space="preserve">”</w:t>
      </w:r>
      <w:r>
        <w:t xml:space="preserve"> </w:t>
      </w:r>
      <w:r>
        <w:t xml:space="preserve">citation suggestions, recommending relevant papers to cite based on the content of the manuscript being written, ensuring comprehensive coverage and appropriate attribution (Huzaifa et al., 2025). The integration of AI into these discovery and organization tools is transforming literature management from a laborious, manual task into a highly efficient, intelligent process, empowering researchers to navigate the vast scholarly landscape with greater ease and focus more on the intellectual synthesis of information (Dalabih &amp; Aljabari, 2023).</w:t>
      </w:r>
    </w:p>
    <w:bookmarkEnd w:id="41"/>
    <w:bookmarkStart w:id="42" w:name="X6de680a21e566f922d35d53d952e5cae6022d56"/>
    <w:p>
      <w:pPr>
        <w:pStyle w:val="Heading3"/>
      </w:pPr>
      <w:r>
        <w:t xml:space="preserve">2.5.3 Enhancing Research Integrity and Reproducibility</w:t>
      </w:r>
    </w:p>
    <w:p>
      <w:pPr>
        <w:pStyle w:val="FirstParagraph"/>
      </w:pPr>
      <w:r>
        <w:t xml:space="preserve">The integration of AI into citation and literature management not only boosts efficiency but also plays a crucial role in enhancing research integrity and reproducibility, two foundational pillars of academic scholarship. By automating meticulous tasks and providing robust verification mechanisms, AI helps to minimize human error, prevent plagiarism, and ensure the reliability of scientific claims (Huzaifa et al., 2025).</w:t>
      </w:r>
    </w:p>
    <w:p>
      <w:pPr>
        <w:pStyle w:val="BodyText"/>
      </w:pPr>
      <w:r>
        <w:t xml:space="preserve">One key way AI contributes to research integrity is through its ability to perform comprehensive citation verification and consistency checks. AI-powered reference management tools can automatically cross-reference citations within a manuscript against a database of published literature, ensuring that all cited sources are accurate, complete, and correctly formatted (Granjeiro et al., 2025). This significantly reduces the risk of incorrect citations, which can undermine the credibility of a paper. Furthermore, these tools can detect potential instances of self-plagiarism or unintentional duplication of content by comparing a manuscript against a vast corpus of academic texts, including the author’s previous work (Kotsis, 2025). While not replacing human judgment, AI provides a powerful first line of defense against various forms of academic misconduct, upholding ethical standards (Bhatt, 2025).</w:t>
      </w:r>
    </w:p>
    <w:p>
      <w:pPr>
        <w:pStyle w:val="BodyText"/>
      </w:pPr>
      <w:r>
        <w:t xml:space="preserve">AI also enhances reproducibility by ensuring transparency in the literature review process. When AI tools are used to systematically identify, extract, and synthesize information from a large body of literature, the process can be more standardized and documented. For instance, if an AI agent is programmed to extract specific data points from papers, its methodology can be clearly defined and, in principle, replicated by other researchers using the same tool and parameters (Huzaifa et al., 2025). This contrasts with traditional manual literature reviews, which can be subject to individual biases and inconsistencies, making them difficult to reproduce. The use of AI in tasks like systematic reviews, where adherence to predefined protocols is critical, ensures greater methodological rigor and objectivity (Salman et al., 2025).</w:t>
      </w:r>
    </w:p>
    <w:p>
      <w:pPr>
        <w:pStyle w:val="BodyText"/>
      </w:pPr>
      <w:r>
        <w:t xml:space="preserve">Moreover, AI can assist in identifying and addressing potential biases in literature selection. By analyzing the characteristics of the retrieved literature (e.g., publication venues, author demographics, geographic origin), AI tools can highlight areas where the literature might be skewed or incomplete, prompting researchers to seek more diverse perspectives (Tang et al., 2024). This contributes to a more balanced and representative literature review, which is crucial for forming unbiased conclusions. The ability of AI to analyze citation networks and identify the most influential or foundational papers also helps researchers to ensure that their work is appropriately contextualized within the existing body of knowledge (Wu et al., 2024). By providing comprehensive and verifiable support for literature management, AI tools empower researchers to maintain higher standards of academic integrity and contribute to a more robust and trustworthy scientific record, ultimately strengthening the foundation upon which new knowledge is built (Huzaifa et al., 2025).</w:t>
      </w:r>
    </w:p>
    <w:bookmarkEnd w:id="42"/>
    <w:bookmarkEnd w:id="43"/>
    <w:bookmarkStart w:id="47" w:name="X4ac15afdd3ffef0ab6f8730cbc51ffd784ce0ef"/>
    <w:p>
      <w:pPr>
        <w:pStyle w:val="Heading2"/>
      </w:pPr>
      <w:r>
        <w:t xml:space="preserve">2.6 Ethical Considerations and Challenges of AI-Generated Academic Content</w:t>
      </w:r>
    </w:p>
    <w:p>
      <w:pPr>
        <w:pStyle w:val="FirstParagraph"/>
      </w:pPr>
      <w:r>
        <w:t xml:space="preserve">The advent of powerful generative AI models has opened new frontiers in academic writing but has simultaneously introduced a complex array of ethical considerations and challenges. These issues span authorship, academic integrity, bias, transparency, and accountability, necessitating a proactive and thoughtful response from the academic community to harness AI’s benefits responsibly (Bhatt, 2025).</w:t>
      </w:r>
    </w:p>
    <w:bookmarkStart w:id="44" w:name="X3ff8bd1fba49a3e18ea2e86b9dd97750c6eed50"/>
    <w:p>
      <w:pPr>
        <w:pStyle w:val="Heading3"/>
      </w:pPr>
      <w:r>
        <w:t xml:space="preserve">2.6.1 Authorship, Plagiarism, and Academic Integrity</w:t>
      </w:r>
    </w:p>
    <w:p>
      <w:pPr>
        <w:pStyle w:val="FirstParagraph"/>
      </w:pPr>
      <w:r>
        <w:t xml:space="preserve">The most immediate and contentious ethical challenge posed by AI-generated academic content revolves around the fundamental concepts of authorship, plagiarism, and academic integrity (Kotsis, 2025)(Partyko et al., 2024). Traditionally, authorship implies intellectual contribution, responsibility for the content, and accountability for any errors or misconduct. When AI models generate significant portions of a text, the question of who is the</w:t>
      </w:r>
      <w:r>
        <w:t xml:space="preserve"> </w:t>
      </w:r>
      <w:r>
        <w:t xml:space="preserve">“</w:t>
      </w:r>
      <w:r>
        <w:t xml:space="preserve">author</w:t>
      </w:r>
      <w:r>
        <w:t xml:space="preserve">”</w:t>
      </w:r>
      <w:r>
        <w:t xml:space="preserve"> </w:t>
      </w:r>
      <w:r>
        <w:t xml:space="preserve">becomes ambiguous. Can an AI be listed as an author? Most academic guidelines currently preclude AI from authorship, as it lacks consciousness, originality in the human sense, and legal responsibility (Tang et al., 2024). However, if an AI generates text that is subsequently used by a human, how should this contribution be acknowledged?</w:t>
      </w:r>
    </w:p>
    <w:p>
      <w:pPr>
        <w:pStyle w:val="BodyText"/>
      </w:pPr>
      <w:r>
        <w:t xml:space="preserve">The line between legitimate AI assistance and plagiarism is also increasingly blurred. Plagiarism is defined as presenting someone else’s work or ideas as one’s own without proper attribution (Partyko et al., 2024). While AI-generated text is not</w:t>
      </w:r>
      <w:r>
        <w:t xml:space="preserve"> </w:t>
      </w:r>
      <w:r>
        <w:t xml:space="preserve">“</w:t>
      </w:r>
      <w:r>
        <w:t xml:space="preserve">someone else’s</w:t>
      </w:r>
      <w:r>
        <w:t xml:space="preserve">”</w:t>
      </w:r>
      <w:r>
        <w:t xml:space="preserve"> </w:t>
      </w:r>
      <w:r>
        <w:t xml:space="preserve">in the human sense, using it without disclosure, especially when it mimics human writing and presents synthesized information, can be considered a form of academic dishonesty. The challenge is exacerbated by the difficulty in detecting AI-generated content, as LLMs can produce highly coherent and stylistically varied prose that is often indistinguishable from human writing (Casal &amp; Kessler, 2023). This makes traditional plagiarism detection tools less effective, creating a loophole for students and researchers to submit AI-generated work as their own (Kotsis, 2025). This raises serious concerns about the authenticity and originality of academic submissions, undermining the very principles of scholarly endeavor.</w:t>
      </w:r>
    </w:p>
    <w:p>
      <w:pPr>
        <w:pStyle w:val="BodyText"/>
      </w:pPr>
      <w:r>
        <w:t xml:space="preserve">Moreover, the use of AI in generating academic content impacts the development of critical thinking and writing skills among students and researchers (Madhavi, 2025). If individuals rely excessively on AI to produce their work, they may bypass the intellectual processes necessary for developing their own analytical capabilities, argumentation skills, and unique voice. This could lead to a generation of scholars who are proficient in prompt engineering but lack the foundational skills of independent academic inquiry and articulation (Kotsis, 2025). The temptation to use AI for expediency, without proper engagement with the source material or critical thought, poses a significant threat to the educational mission of academia (Kim et al., 2024).</w:t>
      </w:r>
    </w:p>
    <w:p>
      <w:pPr>
        <w:pStyle w:val="BodyText"/>
      </w:pPr>
      <w:r>
        <w:t xml:space="preserve">Addressing these issues requires a multi-faceted approach. Academic institutions are developing clear policies on the acceptable use of AI in writing, emphasizing transparency and proper attribution when AI tools are utilized (Chan, 2023). This includes requiring explicit disclosure of AI assistance, similar to how human editors or research assistants are acknowledged. Furthermore, there is a need for pedagogical shifts that focus on teaching students how to critically evaluate AI outputs, use AI as a collaborative tool rather than a replacement for thinking, and develop their own unique intellectual contributions (Madhavi, 2025). The emphasis must shift from detecting AI use to fostering academic integrity in an AI-augmented world, ensuring that human intellect and ethical scholarship remain at the core of academic pursuits (Partyko et al., 2024). The future of scientific writing will undoubtedly involve AI tools, but their benefits must be balanced against the imperative to maintain ethical standards (Granjeiro et al., 2025).</w:t>
      </w:r>
    </w:p>
    <w:bookmarkEnd w:id="44"/>
    <w:bookmarkStart w:id="45" w:name="X03e81d8686ca631d7a2b2e885d053d43c85fbe6"/>
    <w:p>
      <w:pPr>
        <w:pStyle w:val="Heading3"/>
      </w:pPr>
      <w:r>
        <w:t xml:space="preserve">2.6.2 Bias, Transparency, and Accountability in AI Systems</w:t>
      </w:r>
    </w:p>
    <w:p>
      <w:pPr>
        <w:pStyle w:val="FirstParagraph"/>
      </w:pPr>
      <w:r>
        <w:t xml:space="preserve">Beyond authorship and plagiarism, the ethical landscape of AI-generated academic content is further complicated by issues of bias, transparency, and accountability inherent in the AI systems themselves (Bhatt, 2025)(Polemi et al., 2024). These concerns are particularly salient in academic research, where objectivity, fairness, and verifiable claims are paramount.</w:t>
      </w:r>
    </w:p>
    <w:p>
      <w:pPr>
        <w:pStyle w:val="BodyText"/>
      </w:pPr>
      <w:r>
        <w:rPr>
          <w:bCs/>
          <w:b/>
        </w:rPr>
        <w:t xml:space="preserve">Bias in AI Systems:</w:t>
      </w:r>
      <w:r>
        <w:t xml:space="preserve"> </w:t>
      </w:r>
      <w:r>
        <w:t xml:space="preserve">AI models, especially large language models, are trained on vast datasets that reflect existing human knowledge, beliefs, and societal biases (Tang et al., 2024). Consequently, these models can inadvertently learn and perpetuate these biases, manifesting in various ways within AI-generated academic content. For example, an AI might generate text that favors certain perspectives, overlooks contributions from marginalized groups, or reinforces stereotypes, simply because these patterns are overrepresented in its training data (Polemi et al., 2024). This can lead to a lack of diversity in generated literature reviews, biased interpretations of data, or even the propagation of misinformation if the training data itself contains inaccuracies or skewed viewpoints. In fields like medicine or social sciences, biased AI outputs could have serious implications, leading to inequitable research outcomes or flawed policy recommendations (Kadambi et al., 2024). The challenge is that these biases can be subtle and difficult to detect, requiring careful scrutiny and validation of AI-generated content (Tang et al., 2024).</w:t>
      </w:r>
    </w:p>
    <w:p>
      <w:pPr>
        <w:pStyle w:val="BodyText"/>
      </w:pPr>
      <w:r>
        <w:rPr>
          <w:bCs/>
          <w:b/>
        </w:rPr>
        <w:t xml:space="preserve">Transparency (Explainability) of AI Systems:</w:t>
      </w:r>
      <w:r>
        <w:t xml:space="preserve"> </w:t>
      </w:r>
      <w:r>
        <w:t xml:space="preserve">The</w:t>
      </w:r>
      <w:r>
        <w:t xml:space="preserve"> </w:t>
      </w:r>
      <w:r>
        <w:t xml:space="preserve">“</w:t>
      </w:r>
      <w:r>
        <w:t xml:space="preserve">black box</w:t>
      </w:r>
      <w:r>
        <w:t xml:space="preserve">”</w:t>
      </w:r>
      <w:r>
        <w:t xml:space="preserve"> </w:t>
      </w:r>
      <w:r>
        <w:t xml:space="preserve">nature of many advanced AI models, where the internal workings and decision-making processes are opaque even to their creators, poses a significant challenge to academic integrity (Polemi et al., 2024). Researchers need to understand how an AI arrived at a particular conclusion, synthesized information, or generated specific text to critically evaluate its validity and reliability. Without transparency, it becomes difficult to identify the source of biases, correct errors, or ensure that the AI’s reasoning aligns with scientific principles (Tang et al., 2024). This lack of explainability hinders the reproducibility of AI-assisted research and makes it challenging to trust AI-generated insights, particularly when they involve complex arguments or data interpretations. The demand for explainable AI (XAI) is growing, aiming to develop models that can provide clear, interpretable justifications for their outputs, thereby fostering greater trust and enabling more effective human-AI collaboration (Bienefeld et al., 2023).</w:t>
      </w:r>
    </w:p>
    <w:p>
      <w:pPr>
        <w:pStyle w:val="BodyText"/>
      </w:pPr>
      <w:r>
        <w:rPr>
          <w:bCs/>
          <w:b/>
        </w:rPr>
        <w:t xml:space="preserve">Accountability for AI Outputs:</w:t>
      </w:r>
      <w:r>
        <w:t xml:space="preserve"> </w:t>
      </w:r>
      <w:r>
        <w:t xml:space="preserve">The question of accountability becomes complex when AI systems contribute to academic work. If an AI generates factually incorrect information, biased content, or even fabricated citations, who is responsible? Is it the developer of the AI, the user who deployed it, or the institution that approved its use (Tang et al., 2024)? Current legal and ethical frameworks are largely designed for human agency, making it difficult to assign responsibility to an autonomous AI (Bhatt, 2025). This ambiguity can undermine the principle of scholarly accountability, where authors are expected to stand behind their work. Establishing clear lines of responsibility is crucial for maintaining academic standards and ensuring that errors or misconduct are properly addressed. This requires developing new ethical guidelines and potentially legal frameworks that define the roles and responsibilities of humans interacting with and utilizing AI in academic contexts (Peters et al., 2020). Efforts to manage AI trustworthiness risks are ongoing, focusing on developing robust governance and oversight mechanisms (Polemi et al., 2024). Ultimately, addressing bias, enhancing transparency, and establishing clear accountability mechanisms are essential for integrating AI responsibly into academic research and writing, ensuring that these powerful tools serve to advance knowledge ethically and equitably (Tang et al., 2024).</w:t>
      </w:r>
    </w:p>
    <w:bookmarkEnd w:id="45"/>
    <w:bookmarkStart w:id="46" w:name="Xded9062a885039c95585d45431464c52f558354"/>
    <w:p>
      <w:pPr>
        <w:pStyle w:val="Heading3"/>
      </w:pPr>
      <w:r>
        <w:t xml:space="preserve">2.6.3 Policy, Education, and Responsible AI Development</w:t>
      </w:r>
    </w:p>
    <w:p>
      <w:pPr>
        <w:pStyle w:val="FirstParagraph"/>
      </w:pPr>
      <w:r>
        <w:t xml:space="preserve">Navigating the ethical complexities of AI-generated academic content necessitates a comprehensive strategy encompassing robust policy development, targeted education, and a commitment to responsible AI development practices (Bhatt, 2025). These three pillars are interdependent, forming a framework for integrating AI into academia in a manner that upholds academic integrity, fosters innovation, and minimizes potential harms (Chan, 2023).</w:t>
      </w:r>
    </w:p>
    <w:p>
      <w:pPr>
        <w:pStyle w:val="BodyText"/>
      </w:pPr>
      <w:r>
        <w:rPr>
          <w:bCs/>
          <w:b/>
        </w:rPr>
        <w:t xml:space="preserve">Policy Development:</w:t>
      </w:r>
      <w:r>
        <w:t xml:space="preserve"> </w:t>
      </w:r>
      <w:r>
        <w:t xml:space="preserve">Academic institutions, publishers, and funding bodies are actively developing policies to address the use of AI in research and writing (Chan, 2023). These policies typically aim to provide clear guidelines on acceptable AI usage, emphasizing transparency and proper attribution. Key elements of such policies include: mandatory disclosure of AI tools used in manuscript preparation, guidelines on co-authorship (explicitly excluding AI as an author), and updated definitions of plagiarism to encompass undisclosed AI-generated content (Partyko et al., 2024). Publishers, for instance, are revising their submission guidelines to require authors to declare the use of AI, often specifying that humans remain responsible for the accuracy and originality of the work (Huzaifa et al., 2025). Furthermore, policies are needed to address data privacy and security when using AI tools, particularly those that process sensitive research data (Tang et al., 2024). The goal is not to prohibit AI entirely but to establish a framework that encourages responsible innovation while safeguarding academic standards (Kadambi et al., 2024)(Biroğul et al., 2025).</w:t>
      </w:r>
    </w:p>
    <w:p>
      <w:pPr>
        <w:pStyle w:val="BodyText"/>
      </w:pPr>
      <w:r>
        <w:rPr>
          <w:bCs/>
          <w:b/>
        </w:rPr>
        <w:t xml:space="preserve">Education and Training:</w:t>
      </w:r>
      <w:r>
        <w:t xml:space="preserve"> </w:t>
      </w:r>
      <w:r>
        <w:t xml:space="preserve">Effective policy is only as good as its implementation, which heavily relies on comprehensive education and training for all stakeholders—students, faculty, and researchers (Chan, 2023). Educational initiatives must focus on several areas:</w:t>
      </w:r>
      <w:r>
        <w:t xml:space="preserve"> </w:t>
      </w:r>
      <w:r>
        <w:t xml:space="preserve">1.</w:t>
      </w:r>
      <w:r>
        <w:t xml:space="preserve"> </w:t>
      </w:r>
      <w:r>
        <w:rPr>
          <w:bCs/>
          <w:b/>
        </w:rPr>
        <w:t xml:space="preserve">AI Literacy:</w:t>
      </w:r>
      <w:r>
        <w:t xml:space="preserve"> </w:t>
      </w:r>
      <w:r>
        <w:t xml:space="preserve">Teaching academics about the capabilities, limitations, and potential biases of AI tools, particularly generative AI (Madhavi, 2025). This includes understanding how LLMs work, their training data implications, and the phenomenon of hallucination.</w:t>
      </w:r>
      <w:r>
        <w:t xml:space="preserve"> </w:t>
      </w:r>
      <w:r>
        <w:t xml:space="preserve">2.</w:t>
      </w:r>
      <w:r>
        <w:t xml:space="preserve"> </w:t>
      </w:r>
      <w:r>
        <w:rPr>
          <w:bCs/>
          <w:b/>
        </w:rPr>
        <w:t xml:space="preserve">Ethical AI Use:</w:t>
      </w:r>
      <w:r>
        <w:t xml:space="preserve"> </w:t>
      </w:r>
      <w:r>
        <w:t xml:space="preserve">Providing explicit guidance on ethical considerations, such as appropriate attribution, avoiding plagiarism, and mitigating bias in AI outputs (Bhatt, 2025). This involves fostering critical thinking skills to evaluate AI-generated content rather than blindly accepting it.</w:t>
      </w:r>
      <w:r>
        <w:t xml:space="preserve"> </w:t>
      </w:r>
      <w:r>
        <w:t xml:space="preserve">3.</w:t>
      </w:r>
      <w:r>
        <w:t xml:space="preserve"> </w:t>
      </w:r>
      <w:r>
        <w:rPr>
          <w:bCs/>
          <w:b/>
        </w:rPr>
        <w:t xml:space="preserve">Prompt Engineering and Critical Evaluation:</w:t>
      </w:r>
      <w:r>
        <w:t xml:space="preserve"> </w:t>
      </w:r>
      <w:r>
        <w:t xml:space="preserve">Training users on how to effectively interact with AI tools (prompt engineering) to achieve desired outcomes, but crucially, also how to critically evaluate the outputs for accuracy, bias, and originality (Kim et al., 2024). This moves beyond simply using AI to intelligently collaborating with it.</w:t>
      </w:r>
      <w:r>
        <w:t xml:space="preserve"> </w:t>
      </w:r>
      <w:r>
        <w:t xml:space="preserve">4.</w:t>
      </w:r>
      <w:r>
        <w:t xml:space="preserve"> </w:t>
      </w:r>
      <w:r>
        <w:rPr>
          <w:bCs/>
          <w:b/>
        </w:rPr>
        <w:t xml:space="preserve">Integrating AI into Pedagogy:</w:t>
      </w:r>
      <w:r>
        <w:t xml:space="preserve"> </w:t>
      </w:r>
      <w:r>
        <w:t xml:space="preserve">Developing new pedagogical approaches that leverage AI as a learning tool while still fostering essential human skills like critical analysis, argumentation, and independent research (Kotsis, 2025). This might involve assignments designed to use AI collaboratively, with an emphasis on human oversight and refinement.</w:t>
      </w:r>
    </w:p>
    <w:p>
      <w:pPr>
        <w:pStyle w:val="BodyText"/>
      </w:pPr>
      <w:r>
        <w:rPr>
          <w:bCs/>
          <w:b/>
        </w:rPr>
        <w:t xml:space="preserve">Responsible AI Development:</w:t>
      </w:r>
      <w:r>
        <w:t xml:space="preserve"> </w:t>
      </w:r>
      <w:r>
        <w:t xml:space="preserve">The onus also falls on AI developers and researchers to prioritize responsible AI development practices. This includes:</w:t>
      </w:r>
      <w:r>
        <w:t xml:space="preserve"> </w:t>
      </w:r>
      <w:r>
        <w:t xml:space="preserve">1.</w:t>
      </w:r>
      <w:r>
        <w:t xml:space="preserve"> </w:t>
      </w:r>
      <w:r>
        <w:rPr>
          <w:bCs/>
          <w:b/>
        </w:rPr>
        <w:t xml:space="preserve">Bias Mitigation:</w:t>
      </w:r>
      <w:r>
        <w:t xml:space="preserve"> </w:t>
      </w:r>
      <w:r>
        <w:t xml:space="preserve">Actively working to identify and reduce biases in training data and algorithms, and developing tools to detect and correct biases in AI outputs (Polemi et al., 2024).</w:t>
      </w:r>
      <w:r>
        <w:t xml:space="preserve"> </w:t>
      </w:r>
      <w:r>
        <w:t xml:space="preserve">2.</w:t>
      </w:r>
      <w:r>
        <w:t xml:space="preserve"> </w:t>
      </w:r>
      <w:r>
        <w:rPr>
          <w:bCs/>
          <w:b/>
        </w:rPr>
        <w:t xml:space="preserve">Transparency and Explainability:</w:t>
      </w:r>
      <w:r>
        <w:t xml:space="preserve"> </w:t>
      </w:r>
      <w:r>
        <w:t xml:space="preserve">Designing AI models that are more transparent and explainable, allowing users to understand their reasoning and identify potential flaws (Bienefeld et al., 2023). This involves integrating explainable AI (XAI) techniques into tool design.</w:t>
      </w:r>
      <w:r>
        <w:t xml:space="preserve"> </w:t>
      </w:r>
      <w:r>
        <w:t xml:space="preserve">3.</w:t>
      </w:r>
      <w:r>
        <w:t xml:space="preserve"> </w:t>
      </w:r>
      <w:r>
        <w:rPr>
          <w:bCs/>
          <w:b/>
        </w:rPr>
        <w:t xml:space="preserve">Robustness and Reliability:</w:t>
      </w:r>
      <w:r>
        <w:t xml:space="preserve"> </w:t>
      </w:r>
      <w:r>
        <w:t xml:space="preserve">Ensuring that AI tools are robust, reliable, and minimize the generation of incorrect or fabricated information (Tang et al., 2024). This requires rigorous testing and validation processes.</w:t>
      </w:r>
      <w:r>
        <w:t xml:space="preserve"> </w:t>
      </w:r>
      <w:r>
        <w:t xml:space="preserve">4.</w:t>
      </w:r>
      <w:r>
        <w:t xml:space="preserve"> </w:t>
      </w:r>
      <w:r>
        <w:rPr>
          <w:bCs/>
          <w:b/>
        </w:rPr>
        <w:t xml:space="preserve">User-Centric Design:</w:t>
      </w:r>
      <w:r>
        <w:t xml:space="preserve"> </w:t>
      </w:r>
      <w:r>
        <w:t xml:space="preserve">Developing AI tools with the academic user in mind, providing clear interfaces, ethical guidelines, and mechanisms for user feedback to continuously improve their utility and safety (Kell et al., 2025).</w:t>
      </w:r>
      <w:r>
        <w:t xml:space="preserve"> </w:t>
      </w:r>
      <w:r>
        <w:t xml:space="preserve">5.</w:t>
      </w:r>
      <w:r>
        <w:t xml:space="preserve"> </w:t>
      </w:r>
      <w:r>
        <w:rPr>
          <w:bCs/>
          <w:b/>
        </w:rPr>
        <w:t xml:space="preserve">Open Source Contributions:</w:t>
      </w:r>
      <w:r>
        <w:t xml:space="preserve"> </w:t>
      </w:r>
      <w:r>
        <w:t xml:space="preserve">Contributing to open-source AI initiatives fosters transparency, collaboration, and collective responsibility in AI development, allowing a broader community to scrutinize and improve AI tools (Fiotto-Kaufman et al., 2024).</w:t>
      </w:r>
    </w:p>
    <w:p>
      <w:pPr>
        <w:pStyle w:val="BodyText"/>
      </w:pPr>
      <w:r>
        <w:t xml:space="preserve">By collectively addressing policy gaps, enhancing educational preparedness, and committing to responsible development, the academic community can harness the transformative potential of AI while upholding its core values of integrity, originality, and the pursuit of knowledge (Bhatt, 2025)(Tang et al., 2024). The future of academia will be one of human-AI collaboration, guided by a shared commitment to ethical and responsible innovation.</w:t>
      </w:r>
    </w:p>
    <w:bookmarkEnd w:id="46"/>
    <w:bookmarkEnd w:id="47"/>
    <w:bookmarkEnd w:id="48"/>
    <w:bookmarkStart w:id="55" w:name="methodology"/>
    <w:p>
      <w:pPr>
        <w:pStyle w:val="Heading1"/>
      </w:pPr>
      <w:r>
        <w:t xml:space="preserve">Methodology</w:t>
      </w:r>
    </w:p>
    <w:p>
      <w:pPr>
        <w:pStyle w:val="FirstParagraph"/>
      </w:pPr>
      <w:r>
        <w:t xml:space="preserve">The development and evaluation of the OpenDraft system necessitate a robust and multi-faceted methodological approach, designed to systematically analyze its architectural framework, the intricate multi-agent workflow, and its profound implications for the democratization of academic writing. This section delineates the core components of the research methodology, beginning with the conceptual framework underpinning the system’s design, followed by a detailed exposition of the 14-agent architecture, the advanced API-backed citation discovery mechanisms, and concluding with the specific criteria employed to evaluate its impact on democratizing scholarly communication. The aim is to provide a transparent and replicable account of how OpenDraft functions and how its efficacy and transformative potential are assessed, ensuring academic rigor and ethical considerations are paramount throughout (Bhatt, 2025)(Peters et al., 2020)(Polemi et al., 2024).</w:t>
      </w:r>
    </w:p>
    <w:bookmarkStart w:id="50" w:name="Xcc171f5f632fe9d9d694f39b9e63b62d7202d3b"/>
    <w:p>
      <w:pPr>
        <w:pStyle w:val="Heading2"/>
      </w:pPr>
      <w:r>
        <w:t xml:space="preserve">Framework for Analyzing the OpenDraft System Architecture</w:t>
      </w:r>
    </w:p>
    <w:p>
      <w:pPr>
        <w:pStyle w:val="FirstParagraph"/>
      </w:pPr>
      <w:r>
        <w:t xml:space="preserve">The analytical framework for the OpenDraft system architecture is primarily rooted in socio-technical systems theory, human-AI collaboration paradigms, and the evolving principles of open science and responsible AI. This integrated perspective allows for a comprehensive understanding of the system not merely as a collection of algorithms, but as an interactive ecosystem designed to augment human intellect in the complex task of academic writing (Sarker et al., 2024)(Bienefeld et al., 2023). The system’s design emphasizes modularity, interoperability, scalability, and transparency, which are critical attributes for any advanced AI-driven platform intended for widespread academic adoption (Biroğul et al., 2025).</w:t>
      </w:r>
    </w:p>
    <w:p>
      <w:pPr>
        <w:pStyle w:val="BodyText"/>
      </w:pPr>
      <w:r>
        <w:t xml:space="preserve">The conceptual foundation acknowledges that academic writing is inherently a collaborative and iterative process, often constrained by time, resources, and access to specialized knowledge (Granjeiro et al., 2025)(Madhavi, 2025). OpenDraft is designed to address these constraints by distributing complex writing tasks across a specialized ensemble of AI agents, each performing a distinct function. This multi-agent system (MAS) approach is particularly pertinent, as it mirrors the division of labor often found in human research teams, where different experts contribute to various stages of a project (Maecker et al., 2023)(Bahrpeyma &amp; Reichelt, 2022). By adopting a MAS architecture, OpenDraft aims to enhance efficiency and quality while maintaining a human-centric approach to writing, where the user remains in ultimate control (Kell et al., 2025).</w:t>
      </w:r>
    </w:p>
    <w:p>
      <w:pPr>
        <w:pStyle w:val="BodyText"/>
      </w:pPr>
      <w:r>
        <w:t xml:space="preserve">Key principles guiding the analysis of OpenDraft’s architecture include:</w:t>
      </w:r>
    </w:p>
    <w:p>
      <w:pPr>
        <w:numPr>
          <w:ilvl w:val="0"/>
          <w:numId w:val="1001"/>
        </w:numPr>
      </w:pPr>
      <w:r>
        <w:rPr>
          <w:bCs/>
          <w:b/>
        </w:rPr>
        <w:t xml:space="preserve">Modularity:</w:t>
      </w:r>
      <w:r>
        <w:t xml:space="preserve"> </w:t>
      </w:r>
      <w:r>
        <w:t xml:space="preserve">Each of the 14 agents within the OpenDraft system is designed as a distinct, self-contained module with a specific function. This modularity facilitates independent development, testing, and potential upgrades without disrupting the entire system. For instance, the Crafter Agents, specialized in drafting specific sections, operate independently yet contribute to a unified output. This design principle aligns with best practices in software engineering and allows for greater flexibility and maintainability (Solonytska et al., 2024). The analysis examines how this modularity contributes to the system’s overall robustness and adaptability to diverse writing challenges.</w:t>
      </w:r>
    </w:p>
    <w:p>
      <w:pPr>
        <w:numPr>
          <w:ilvl w:val="0"/>
          <w:numId w:val="1001"/>
        </w:numPr>
      </w:pPr>
      <w:r>
        <w:rPr>
          <w:bCs/>
          <w:b/>
        </w:rPr>
        <w:t xml:space="preserve">Interoperability:</w:t>
      </w:r>
      <w:r>
        <w:t xml:space="preserve"> </w:t>
      </w:r>
      <w:r>
        <w:t xml:space="preserve">The efficacy of a multi-agent system hinges on seamless communication and data exchange between its constituent agents. OpenDraft’s architecture is evaluated on its ability to ensure smooth interoperability, where agents can pass information, requests, and feedback efficiently. For example, the Scout Agent’s research findings must be effectively communicated to the Scribe Agent, and the Skeptic Agent’s critiques must be integrated by the Compiler Agent. This interconnectedness is crucial for maintaining logical flow and coherence across the generated academic prose (Bienefeld et al., 2023). The analytical framework investigates the protocols and mechanisms enabling this communication, ensuring that the system functions as a cohesive unit.</w:t>
      </w:r>
    </w:p>
    <w:p>
      <w:pPr>
        <w:numPr>
          <w:ilvl w:val="0"/>
          <w:numId w:val="1001"/>
        </w:numPr>
      </w:pPr>
      <w:r>
        <w:rPr>
          <w:bCs/>
          <w:b/>
        </w:rPr>
        <w:t xml:space="preserve">Scalability:</w:t>
      </w:r>
      <w:r>
        <w:t xml:space="preserve"> </w:t>
      </w:r>
      <w:r>
        <w:t xml:space="preserve">Given the diverse and ever-growing landscape of academic disciplines and research topics, the OpenDraft system must be inherently scalable. The architecture is designed to accommodate an increasing volume of complex research inquiries and the potential for expansion to integrate new agent functionalities or specialized knowledge bases. This scalability is assessed by considering the system’s capacity to handle larger documents, more intricate outlines, and a broader array of citation sources without significant degradation in performance or quality. The open-source nature of certain components, such as the underlying language models or citation databases, further enhances its potential for community-driven scalability and adaptation (Hermansen &amp; Sandberg, 2025)(Fiotto-Kaufman et al., 2024).</w:t>
      </w:r>
    </w:p>
    <w:p>
      <w:pPr>
        <w:numPr>
          <w:ilvl w:val="0"/>
          <w:numId w:val="1001"/>
        </w:numPr>
      </w:pPr>
      <w:r>
        <w:rPr>
          <w:bCs/>
          <w:b/>
        </w:rPr>
        <w:t xml:space="preserve">Transparency:</w:t>
      </w:r>
      <w:r>
        <w:t xml:space="preserve"> </w:t>
      </w:r>
      <w:r>
        <w:t xml:space="preserve">In the context of AI-assisted academic writing, transparency is paramount for ensuring trust, accountability, and academic integrity (Bhatt, 2025)(Peters et al., 2020). The OpenDraft architecture is analyzed for its inherent mechanisms that allow users to understand how content is generated, how citations are chosen, and how revisions are made. While the internal workings of large language models may remain complex, the system aims to provide transparency at the workflow level, enabling users to trace the contributions of individual agents and the rationale behind certain decisions. This includes clear logging of agent actions and the ability for users to review and override AI-generated content, fostering a human-AI collaborative environment (Sarker et al., 2024)(Bienefeld et al., 2023).</w:t>
      </w:r>
    </w:p>
    <w:p>
      <w:pPr>
        <w:numPr>
          <w:ilvl w:val="0"/>
          <w:numId w:val="1001"/>
        </w:numPr>
      </w:pPr>
      <w:r>
        <w:rPr>
          <w:bCs/>
          <w:b/>
        </w:rPr>
        <w:t xml:space="preserve">Flexibility and Adaptability:</w:t>
      </w:r>
      <w:r>
        <w:t xml:space="preserve"> </w:t>
      </w:r>
      <w:r>
        <w:t xml:space="preserve">Academic writing is not monolithic; it encompasses diverse styles, disciplinary conventions, and specific journal requirements. The OpenDraft architecture is designed with flexibility to adapt to these varied demands. This includes the ability to integrate different citation styles, adjust to varying word count requirements for sections, and incorporate specific stylistic guidelines provided by the user or target publication (Tajik, 2025)(Selim, 2024). The framework examines how the architecture enables customization and responsiveness to user input, moving beyond a one-size-fits-all approach to AI writing assistance.</w:t>
      </w:r>
    </w:p>
    <w:p>
      <w:pPr>
        <w:pStyle w:val="FirstParagraph"/>
      </w:pPr>
      <w:r>
        <w:t xml:space="preserve">In essence, the analytical framework treats OpenDraft as a sophisticated socio-technical system where AI agents and human users interact to achieve a common goal: the efficient and high-quality production of academic research papers. The analysis focuses on how the architectural choices facilitate this collaboration, enhance the writing process, and ultimately contribute to the democratization of knowledge creation by lowering barriers to entry for aspiring and established scholars alike (Sarker et al., 2024).</w:t>
      </w:r>
    </w:p>
    <w:bookmarkStart w:id="49" w:name="X5e37f60bd5db006768cf41740b93249bac01f4e"/>
    <w:p>
      <w:pPr>
        <w:pStyle w:val="Heading3"/>
      </w:pPr>
      <w:r>
        <w:t xml:space="preserve">OpenDraft Multi-Agent System Conceptual Architecture</w:t>
      </w:r>
    </w:p>
    <w:p>
      <w:pPr>
        <w:pStyle w:val="FirstParagraph"/>
      </w:pPr>
      <w:r>
        <w:t xml:space="preserve">The OpenDraft system is designed as a sophisticated multi-agent architecture, enabling a modular and collaborative approach to academic writing. This diagram illustrates the high-level flow and interaction between key components.</w:t>
      </w:r>
    </w:p>
    <w:p>
      <w:pPr>
        <w:pStyle w:val="BodyText"/>
      </w:pPr>
      <w:r>
        <w:rPr>
          <w:bCs/>
          <w:b/>
        </w:rPr>
        <w:t xml:space="preserve">Figure 1: OpenDraft Multi-Agent System Architecture</w:t>
      </w:r>
    </w:p>
    <w:p>
      <w:pPr>
        <w:pStyle w:val="SourceCode"/>
      </w:pPr>
      <w:r>
        <w:rPr>
          <w:rStyle w:val="VerbatimChar"/>
        </w:rPr>
        <w:t xml:space="preserve">+---------------------+</w:t>
      </w:r>
      <w:r>
        <w:br/>
      </w:r>
      <w:r>
        <w:rPr>
          <w:rStyle w:val="VerbatimChar"/>
        </w:rPr>
        <w:t xml:space="preserve">|  |</w:t>
      </w:r>
      <w:r>
        <w:br/>
      </w:r>
      <w:r>
        <w:rPr>
          <w:rStyle w:val="VerbatimChar"/>
        </w:rPr>
        <w:t xml:space="preserve">| HUMAN USER |</w:t>
      </w:r>
      <w:r>
        <w:br/>
      </w:r>
      <w:r>
        <w:rPr>
          <w:rStyle w:val="VerbatimChar"/>
        </w:rPr>
        <w:t xml:space="preserve">| (Input &amp; Oversight)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w:t>
      </w:r>
      <w:r>
        <w:br/>
      </w:r>
      <w:r>
        <w:rPr>
          <w:rStyle w:val="VerbatimChar"/>
        </w:rPr>
        <w:t xml:space="preserve">| COORDINATOR AGENT |</w:t>
      </w:r>
      <w:r>
        <w:br/>
      </w:r>
      <w:r>
        <w:rPr>
          <w:rStyle w:val="VerbatimChar"/>
        </w:rPr>
        <w:t xml:space="preserve">| (Task Assignment, |</w:t>
      </w:r>
      <w:r>
        <w:br/>
      </w:r>
      <w:r>
        <w:rPr>
          <w:rStyle w:val="VerbatimChar"/>
        </w:rPr>
        <w:t xml:space="preserve">| Flow Management)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  |  |</w:t>
      </w:r>
      <w:r>
        <w:br/>
      </w:r>
      <w:r>
        <w:rPr>
          <w:rStyle w:val="VerbatimChar"/>
        </w:rPr>
        <w:t xml:space="preserve">| v |  | API-BACKED |</w:t>
      </w:r>
      <w:r>
        <w:br/>
      </w:r>
      <w:r>
        <w:rPr>
          <w:rStyle w:val="VerbatimChar"/>
        </w:rPr>
        <w:t xml:space="preserve">| +--------+--------+ |  | CITATION |</w:t>
      </w:r>
      <w:r>
        <w:br/>
      </w:r>
      <w:r>
        <w:rPr>
          <w:rStyle w:val="VerbatimChar"/>
        </w:rPr>
        <w:t xml:space="preserve">|  | SCOUT AGENT |  |-----&gt;| DATABASES |</w:t>
      </w:r>
      <w:r>
        <w:br/>
      </w:r>
      <w:r>
        <w:rPr>
          <w:rStyle w:val="VerbatimChar"/>
        </w:rPr>
        <w:t xml:space="preserve">|  | (Research, Lit) |  |  | (CrossRef, arXiv) |</w:t>
      </w:r>
      <w:r>
        <w:br/>
      </w:r>
      <w:r>
        <w:rPr>
          <w:rStyle w:val="VerbatimChar"/>
        </w:rPr>
        <w:t xml:space="preserve">| +--------+--------+ | +------------------+</w:t>
      </w:r>
      <w:r>
        <w:br/>
      </w:r>
      <w:r>
        <w:rPr>
          <w:rStyle w:val="VerbatimChar"/>
        </w:rPr>
        <w:t xml:space="preserve">|  |  |</w:t>
      </w:r>
      <w:r>
        <w:br/>
      </w:r>
      <w:r>
        <w:rPr>
          <w:rStyle w:val="VerbatimChar"/>
        </w:rPr>
        <w:t xml:space="preserve">| v |</w:t>
      </w:r>
      <w:r>
        <w:br/>
      </w:r>
      <w:r>
        <w:rPr>
          <w:rStyle w:val="VerbatimChar"/>
        </w:rPr>
        <w:t xml:space="preserve">| +--------+--------+ |</w:t>
      </w:r>
      <w:r>
        <w:br/>
      </w:r>
      <w:r>
        <w:rPr>
          <w:rStyle w:val="VerbatimChar"/>
        </w:rPr>
        <w:t xml:space="preserve">|  | ARCHITECT AGENT |  |</w:t>
      </w:r>
      <w:r>
        <w:br/>
      </w:r>
      <w:r>
        <w:rPr>
          <w:rStyle w:val="VerbatimChar"/>
        </w:rPr>
        <w:t xml:space="preserve">|  | (Outline, Struct) |  |</w:t>
      </w:r>
      <w:r>
        <w:br/>
      </w:r>
      <w:r>
        <w:rPr>
          <w:rStyle w:val="VerbatimChar"/>
        </w:rPr>
        <w:t xml:space="preserve">| +--------+--------+ |</w:t>
      </w:r>
      <w:r>
        <w:br/>
      </w:r>
      <w:r>
        <w:rPr>
          <w:rStyle w:val="VerbatimChar"/>
        </w:rPr>
        <w:t xml:space="preserve">|  |  |</w:t>
      </w:r>
      <w:r>
        <w:br/>
      </w:r>
      <w:r>
        <w:rPr>
          <w:rStyle w:val="VerbatimChar"/>
        </w:rPr>
        <w:t xml:space="preserve">| v |</w:t>
      </w:r>
      <w:r>
        <w:br/>
      </w:r>
      <w:r>
        <w:rPr>
          <w:rStyle w:val="VerbatimChar"/>
        </w:rPr>
        <w:t xml:space="preserve">| +--------+--------+ |</w:t>
      </w:r>
      <w:r>
        <w:br/>
      </w:r>
      <w:r>
        <w:rPr>
          <w:rStyle w:val="VerbatimChar"/>
        </w:rPr>
        <w:t xml:space="preserve">|  | CRAFTER AGENTS |  |</w:t>
      </w:r>
      <w:r>
        <w:br/>
      </w:r>
      <w:r>
        <w:rPr>
          <w:rStyle w:val="VerbatimChar"/>
        </w:rPr>
        <w:t xml:space="preserve">|  | (Content Gen) |  |</w:t>
      </w:r>
      <w:r>
        <w:br/>
      </w:r>
      <w:r>
        <w:rPr>
          <w:rStyle w:val="VerbatimChar"/>
        </w:rPr>
        <w:t xml:space="preserve">| +--------+--------+ |</w:t>
      </w:r>
      <w:r>
        <w:br/>
      </w:r>
      <w:r>
        <w:rPr>
          <w:rStyle w:val="VerbatimChar"/>
        </w:rPr>
        <w:t xml:space="preserve">|  |  |</w:t>
      </w:r>
      <w:r>
        <w:br/>
      </w:r>
      <w:r>
        <w:rPr>
          <w:rStyle w:val="VerbatimChar"/>
        </w:rPr>
        <w:t xml:space="preserve">| v |</w:t>
      </w:r>
      <w:r>
        <w:br/>
      </w:r>
      <w:r>
        <w:rPr>
          <w:rStyle w:val="VerbatimChar"/>
        </w:rPr>
        <w:t xml:space="preserve">| +--------+--------+ |</w:t>
      </w:r>
      <w:r>
        <w:br/>
      </w:r>
      <w:r>
        <w:rPr>
          <w:rStyle w:val="VerbatimChar"/>
        </w:rPr>
        <w:t xml:space="preserve">|  | SKEPTIC AGENT |  |</w:t>
      </w:r>
      <w:r>
        <w:br/>
      </w:r>
      <w:r>
        <w:rPr>
          <w:rStyle w:val="VerbatimChar"/>
        </w:rPr>
        <w:t xml:space="preserve">|  | (Critique, Bias) |  |</w:t>
      </w:r>
      <w:r>
        <w:br/>
      </w:r>
      <w:r>
        <w:rPr>
          <w:rStyle w:val="VerbatimChar"/>
        </w:rPr>
        <w:t xml:space="preserve">| +--------+--------+ |</w:t>
      </w:r>
      <w:r>
        <w:br/>
      </w:r>
      <w:r>
        <w:rPr>
          <w:rStyle w:val="VerbatimChar"/>
        </w:rPr>
        <w:t xml:space="preserve">|  |  |</w:t>
      </w:r>
      <w:r>
        <w:br/>
      </w:r>
      <w:r>
        <w:rPr>
          <w:rStyle w:val="VerbatimChar"/>
        </w:rPr>
        <w:t xml:space="preserve">| v |</w:t>
      </w:r>
      <w:r>
        <w:br/>
      </w:r>
      <w:r>
        <w:rPr>
          <w:rStyle w:val="VerbatimChar"/>
        </w:rPr>
        <w:t xml:space="preserve">| +--------+--------+ |</w:t>
      </w:r>
      <w:r>
        <w:br/>
      </w:r>
      <w:r>
        <w:rPr>
          <w:rStyle w:val="VerbatimChar"/>
        </w:rPr>
        <w:t xml:space="preserve">|  | COMPILER AGENT |  |</w:t>
      </w:r>
      <w:r>
        <w:br/>
      </w:r>
      <w:r>
        <w:rPr>
          <w:rStyle w:val="VerbatimChar"/>
        </w:rPr>
        <w:t xml:space="preserve">|  | (Assembly, Refs) |  |</w:t>
      </w:r>
      <w:r>
        <w:br/>
      </w:r>
      <w:r>
        <w:rPr>
          <w:rStyle w:val="VerbatimChar"/>
        </w:rPr>
        <w:t xml:space="preserve">| +--------+--------+ |</w:t>
      </w:r>
      <w:r>
        <w:br/>
      </w:r>
      <w:r>
        <w:rPr>
          <w:rStyle w:val="VerbatimChar"/>
        </w:rPr>
        <w:t xml:space="preserve">|  |  |</w:t>
      </w:r>
      <w:r>
        <w:br/>
      </w:r>
      <w:r>
        <w:rPr>
          <w:rStyle w:val="VerbatimChar"/>
        </w:rPr>
        <w:t xml:space="preserve">| v |</w:t>
      </w:r>
      <w:r>
        <w:br/>
      </w:r>
      <w:r>
        <w:rPr>
          <w:rStyle w:val="VerbatimChar"/>
        </w:rPr>
        <w:t xml:space="preserve">| +--------+--------+ |</w:t>
      </w:r>
      <w:r>
        <w:br/>
      </w:r>
      <w:r>
        <w:rPr>
          <w:rStyle w:val="VerbatimChar"/>
        </w:rPr>
        <w:t xml:space="preserve">|  | ENHANCER AGENT |  |</w:t>
      </w:r>
      <w:r>
        <w:br/>
      </w:r>
      <w:r>
        <w:rPr>
          <w:rStyle w:val="VerbatimChar"/>
        </w:rPr>
        <w:t xml:space="preserve">|  | (Style, Polish) |  |</w:t>
      </w:r>
      <w:r>
        <w:br/>
      </w:r>
      <w:r>
        <w:rPr>
          <w:rStyle w:val="VerbatimChar"/>
        </w:rPr>
        <w:t xml:space="preserve">| +--------+--------+ |</w:t>
      </w:r>
      <w:r>
        <w:br/>
      </w:r>
      <w:r>
        <w:rPr>
          <w:rStyle w:val="VerbatimChar"/>
        </w:rPr>
        <w:t xml:space="preserve">|  |  |</w:t>
      </w:r>
      <w:r>
        <w:br/>
      </w:r>
      <w:r>
        <w:rPr>
          <w:rStyle w:val="VerbatimChar"/>
        </w:rPr>
        <w:t xml:space="preserve">| v |</w:t>
      </w:r>
      <w:r>
        <w:br/>
      </w:r>
      <w:r>
        <w:rPr>
          <w:rStyle w:val="VerbatimChar"/>
        </w:rPr>
        <w:t xml:space="preserve">| +--------+--------+ |</w:t>
      </w:r>
      <w:r>
        <w:br/>
      </w:r>
      <w:r>
        <w:rPr>
          <w:rStyle w:val="VerbatimChar"/>
        </w:rPr>
        <w:t xml:space="preserve">|  | ABSTRACT GEN. |  |</w:t>
      </w:r>
      <w:r>
        <w:br/>
      </w:r>
      <w:r>
        <w:rPr>
          <w:rStyle w:val="VerbatimChar"/>
        </w:rPr>
        <w:t xml:space="preserve">|  | (Summary) |  |</w:t>
      </w:r>
      <w:r>
        <w:br/>
      </w:r>
      <w:r>
        <w:rPr>
          <w:rStyle w:val="VerbatimChar"/>
        </w:rPr>
        <w:t xml:space="preserve">| +--------+--------+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w:t>
      </w:r>
      <w:r>
        <w:br/>
      </w:r>
      <w:r>
        <w:rPr>
          <w:rStyle w:val="VerbatimChar"/>
        </w:rPr>
        <w:t xml:space="preserve">| FINAL THESIS OUTPUT |</w:t>
      </w:r>
      <w:r>
        <w:br/>
      </w:r>
      <w:r>
        <w:rPr>
          <w:rStyle w:val="VerbatimChar"/>
        </w:rPr>
        <w:t xml:space="preserve">|  |</w:t>
      </w:r>
      <w:r>
        <w:br/>
      </w:r>
      <w:r>
        <w:rPr>
          <w:rStyle w:val="VerbatimChar"/>
        </w:rPr>
        <w:t xml:space="preserve">+---------------------+</w:t>
      </w:r>
    </w:p>
    <w:p>
      <w:pPr>
        <w:pStyle w:val="FirstParagraph"/>
      </w:pPr>
      <w:r>
        <w:rPr>
          <w:iCs/>
          <w:i/>
        </w:rPr>
        <w:t xml:space="preserve">Note: This figure illustrates the primary flow from human input through the specialized AI agents coordinated by a central agent, integrating external API-backed databases, to produce the final thesis output. Arrows indicate data and control flow, with iterative feedback loops implicitly managed by the Coordinator Agent.</w:t>
      </w:r>
    </w:p>
    <w:p>
      <w:r>
        <w:pict>
          <v:rect style="width:0;height:1.5pt" o:hralign="center" o:hrstd="t" o:hr="t"/>
        </w:pict>
      </w:r>
    </w:p>
    <w:bookmarkEnd w:id="49"/>
    <w:bookmarkEnd w:id="50"/>
    <w:bookmarkStart w:id="52" w:name="agent-workflow-design"/>
    <w:p>
      <w:pPr>
        <w:pStyle w:val="Heading2"/>
      </w:pPr>
      <w:r>
        <w:t xml:space="preserve">14-Agent Workflow Design</w:t>
      </w:r>
    </w:p>
    <w:p>
      <w:pPr>
        <w:pStyle w:val="FirstParagraph"/>
      </w:pPr>
      <w:r>
        <w:t xml:space="preserve">The core of the OpenDraft system is its innovative 14-agent workflow, a sophisticated multi-agent system (MAS) designed to emulate and enhance the collaborative process of academic writing (Maecker et al., 2023)(Bahrpeyma &amp; Reichelt, 2022). This architecture decomposes the complex task of drafting a scholarly paper into distinct, manageable sub-tasks, each handled by a specialized AI agent. This modular approach ensures precision, depth, and coherence across the entire document, from initial outline generation to final abstract compilation. The agents operate in a coordinated, often iterative, manner, simulating a highly efficient research team (Bienefeld et al., 2023).</w:t>
      </w:r>
    </w:p>
    <w:p>
      <w:pPr>
        <w:pStyle w:val="BodyText"/>
      </w:pPr>
      <w:r>
        <w:t xml:space="preserve">The workflow commences with the user providing a research topic, initial ideas, or existing notes. This input is then processed through a sequence of agents, each contributing its specialized function:</w:t>
      </w:r>
    </w:p>
    <w:p>
      <w:pPr>
        <w:numPr>
          <w:ilvl w:val="0"/>
          <w:numId w:val="1002"/>
        </w:numPr>
      </w:pPr>
      <w:r>
        <w:rPr>
          <w:bCs/>
          <w:b/>
        </w:rPr>
        <w:t xml:space="preserve">Scout Agent:</w:t>
      </w:r>
      <w:r>
        <w:t xml:space="preserve"> </w:t>
      </w:r>
      <w:r>
        <w:t xml:space="preserve">This initial agent is responsible for comprehensive information gathering and preliminary topic exploration. Upon receiving a research query or topic, the Scout Agent leverages various academic databases and search engines to identify relevant literature, key concepts, and potential research gaps (Dalabih &amp; Aljabari, 2023). It prioritizes high-impact studies, seminal works, and recent advancements, providing a foundational knowledge base for subsequent agents. Its role is analogous to a human researcher conducting an initial literature search, identifying potential directions and critical sources (Salman et al., 2025).</w:t>
      </w:r>
    </w:p>
    <w:p>
      <w:pPr>
        <w:numPr>
          <w:ilvl w:val="0"/>
          <w:numId w:val="1002"/>
        </w:numPr>
      </w:pPr>
      <w:r>
        <w:rPr>
          <w:bCs/>
          <w:b/>
        </w:rPr>
        <w:t xml:space="preserve">Scribe Agent:</w:t>
      </w:r>
      <w:r>
        <w:t xml:space="preserve"> </w:t>
      </w:r>
      <w:r>
        <w:t xml:space="preserve">Building upon the findings of the Scout Agent, the Scribe Agent generates initial drafts of content sections. It translates raw information and outlines into coherent prose, focusing on factual accuracy and logical progression. The Scribe Agent acts as the primary content generator, laying the groundwork for more detailed expansion and refinement by the Crafter Agents (Brien, 2020). It synthesizes information and ensures the initial narrative aligns with the overarching research question.</w:t>
      </w:r>
    </w:p>
    <w:p>
      <w:pPr>
        <w:numPr>
          <w:ilvl w:val="0"/>
          <w:numId w:val="1002"/>
        </w:numPr>
      </w:pPr>
      <w:r>
        <w:rPr>
          <w:bCs/>
          <w:b/>
        </w:rPr>
        <w:t xml:space="preserve">Signal Agent:</w:t>
      </w:r>
      <w:r>
        <w:t xml:space="preserve"> </w:t>
      </w:r>
      <w:r>
        <w:t xml:space="preserve">The Signal Agent acts as a quality control and coherence monitor throughout the drafting process. Its primary function is to identify gaps in argumentation, inconsistencies in data, areas requiring further elaboration, and opportunities for stronger transitions between paragraphs and sections (Solonytska et al., 2024). It provides feedback to the Scribe and Crafter Agents, prompting them to refine content, add more evidence, or clarify obscure points. This agent ensures that the evolving draft maintains academic rigor and logical flow.</w:t>
      </w:r>
    </w:p>
    <w:p>
      <w:pPr>
        <w:numPr>
          <w:ilvl w:val="0"/>
          <w:numId w:val="1002"/>
        </w:numPr>
      </w:pPr>
      <w:r>
        <w:rPr>
          <w:bCs/>
          <w:b/>
        </w:rPr>
        <w:t xml:space="preserve">Architect Agent:</w:t>
      </w:r>
      <w:r>
        <w:t xml:space="preserve"> </w:t>
      </w:r>
      <w:r>
        <w:t xml:space="preserve">This agent is responsible for structuring the entire paper, transforming user input and initial topic explorations into a detailed, formatted outline (Ocampo et al., 2024). It considers the target journal’s requirements, common academic structures (e.g., IMRaD), and the logical progression of arguments. The Architect Agent designs the hierarchical structure of headings and subheadings, ensuring a clear roadmap for the content generation process. It dictates the overall framework that the Crafter Agents will populate.</w:t>
      </w:r>
    </w:p>
    <w:p>
      <w:pPr>
        <w:numPr>
          <w:ilvl w:val="0"/>
          <w:numId w:val="1002"/>
        </w:numPr>
      </w:pPr>
      <w:r>
        <w:rPr>
          <w:bCs/>
          <w:b/>
        </w:rPr>
        <w:t xml:space="preserve">Formatter Agent:</w:t>
      </w:r>
      <w:r>
        <w:t xml:space="preserve"> </w:t>
      </w:r>
      <w:r>
        <w:t xml:space="preserve">The Formatter Agent ensures strict adherence to specified academic style guides, such as APA 7th Edition, IEEE, or Chicago. It handles all aspects of manuscript specification, including font, line spacing, margins, page numbering, and heading levels (Selim, 2024). This agent standardizes the presentation of the document, freeing human authors from tedious formatting tasks and ensuring publication readiness (Teh &amp; Uwasomba, 2024).</w:t>
      </w:r>
    </w:p>
    <w:p>
      <w:pPr>
        <w:numPr>
          <w:ilvl w:val="0"/>
          <w:numId w:val="1002"/>
        </w:numPr>
      </w:pPr>
      <w:r>
        <w:rPr>
          <w:bCs/>
          <w:b/>
        </w:rPr>
        <w:t xml:space="preserve">Crafter Agents (x6):</w:t>
      </w:r>
      <w:r>
        <w:t xml:space="preserve"> </w:t>
      </w:r>
      <w:r>
        <w:t xml:space="preserve">This specialized group of six agents is designed to provide in-depth content generation for specific sections of the paper. Each Crafter Agent is assigned a distinct section (e.g., Introduction, Literature Review, Methodology, Results, Discussion, Conclusion) and is tasked with expanding upon the Scribe Agent’s initial drafts, meeting specific word count targets, and integrating robust evidence and citations (Granjeiro et al., 2025)(Madhavi, 2025). They delve into detailed explanations of concepts, provide comprehensive literature comparisons, and ensure all claims are thoroughly supported by research. This parallel processing capability significantly accelerates the writing process while maintaining high academic standards. For example, the Crafter Agent assigned to the Literature Review will perform a deeper dive into existing scholarship, identifying key theories, methodologies, and debates (Salman et al., 2025).</w:t>
      </w:r>
    </w:p>
    <w:p>
      <w:pPr>
        <w:numPr>
          <w:ilvl w:val="0"/>
          <w:numId w:val="1002"/>
        </w:numPr>
      </w:pPr>
      <w:r>
        <w:rPr>
          <w:bCs/>
          <w:b/>
        </w:rPr>
        <w:t xml:space="preserve">Skeptic Agent:</w:t>
      </w:r>
      <w:r>
        <w:t xml:space="preserve"> </w:t>
      </w:r>
      <w:r>
        <w:t xml:space="preserve">The Skeptic Agent performs a crucial role in enhancing academic rigor by critically reviewing the generated content. It challenges claims, identifies potential biases, points out logical fallacies, and suggests alternative interpretations or counter-arguments (Bhatt, 2025). This agent acts as an internal peer reviewer, pushing the other agents to strengthen their arguments, provide more robust evidence, and consider diverse perspectives. Its role is vital in preventing overstatements and ensuring the intellectual integrity of the output (Partyko et al., 2024).</w:t>
      </w:r>
    </w:p>
    <w:p>
      <w:pPr>
        <w:numPr>
          <w:ilvl w:val="0"/>
          <w:numId w:val="1002"/>
        </w:numPr>
      </w:pPr>
      <w:r>
        <w:rPr>
          <w:bCs/>
          <w:b/>
        </w:rPr>
        <w:t xml:space="preserve">Compiler Agent:</w:t>
      </w:r>
      <w:r>
        <w:t xml:space="preserve"> </w:t>
      </w:r>
      <w:r>
        <w:t xml:space="preserve">The Compiler Agent is responsible for assembling the final draft from the contributions of all other agents. It integrates the refined sections, resolves any remaining inconsistencies, and ensures a seamless flow between different parts of the paper. Crucially, the Compiler Agent also manages the citation database, embedding citation IDs correctly and preparing the document for the final reference list generation (Somnath et al., 2019). It acts as the orchestrator, bringing all disparate elements into a cohesive whole.</w:t>
      </w:r>
    </w:p>
    <w:p>
      <w:pPr>
        <w:numPr>
          <w:ilvl w:val="0"/>
          <w:numId w:val="1002"/>
        </w:numPr>
      </w:pPr>
      <w:r>
        <w:rPr>
          <w:bCs/>
          <w:b/>
        </w:rPr>
        <w:t xml:space="preserve">Enhancer Agent:</w:t>
      </w:r>
      <w:r>
        <w:t xml:space="preserve"> </w:t>
      </w:r>
      <w:r>
        <w:t xml:space="preserve">Following compilation, the Enhancer Agent refines the overall language, style, and readability of the manuscript. It focuses on improving sentence structure, vocabulary, grammatical accuracy, and clarity of expression, ensuring the prose is professional, engaging, and accessible (Casal &amp; Kessler, 2023)(Merkviladze, 2024). This agent polishes the text to meet the high standards expected in academic publishing.</w:t>
      </w:r>
    </w:p>
    <w:p>
      <w:pPr>
        <w:numPr>
          <w:ilvl w:val="0"/>
          <w:numId w:val="1002"/>
        </w:numPr>
      </w:pPr>
      <w:r>
        <w:rPr>
          <w:bCs/>
          <w:b/>
        </w:rPr>
        <w:t xml:space="preserve">Abstract Generator Agent:</w:t>
      </w:r>
      <w:r>
        <w:t xml:space="preserve"> </w:t>
      </w:r>
      <w:r>
        <w:t xml:space="preserve">The final agent in the workflow, the Abstract Generator, synthesizes the entire paper into a concise and informative abstract. It identifies the core problem, methodology, key findings, and main conclusions, presenting them in a structured format suitable for journal submission (Radensky et al., 2024). This agent ensures that the abstract accurately reflects the comprehensive content of the paper.</w:t>
      </w:r>
    </w:p>
    <w:p>
      <w:pPr>
        <w:pStyle w:val="FirstParagraph"/>
      </w:pPr>
      <w:r>
        <w:t xml:space="preserve">The iterative nature of this workflow is key to its effectiveness. Agents often provide feedback to one another, leading to multiple cycles of refinement and improvement. For instance, the Signal Agent might prompt a Crafter Agent for more detail, which in turn might require the Scout Agent to perform additional targeted searches. This dynamic interaction, coupled with integrated human oversight, ensures that OpenDraft produces high-quality academic prose that is both evidence-based and ethically sound (Sarker et al., 2024)(Tang et al., 2024). The design embraces the paradigm of human-AI teaming, where AI augments human capabilities rather than replacing them, fostering a collaborative environment for scholarly production (Bienefeld et al., 2023).</w:t>
      </w:r>
    </w:p>
    <w:bookmarkStart w:id="51" w:name="opendrafts-multi-agent-workflow-overview"/>
    <w:p>
      <w:pPr>
        <w:pStyle w:val="Heading3"/>
      </w:pPr>
      <w:r>
        <w:t xml:space="preserve">OpenDraft’s Multi-Agent Workflow Overview</w:t>
      </w:r>
    </w:p>
    <w:p>
      <w:pPr>
        <w:pStyle w:val="FirstParagraph"/>
      </w:pPr>
      <w:r>
        <w:t xml:space="preserve">To further illustrate the structured approach of OpenDraft, the following table provides a concise overview of key agents, their primary functions, and their contributions to the overall quality of the thesis.</w:t>
      </w:r>
    </w:p>
    <w:p>
      <w:pPr>
        <w:pStyle w:val="BodyText"/>
      </w:pPr>
      <w:r>
        <w:rPr>
          <w:bCs/>
          <w:b/>
        </w:rPr>
        <w:t xml:space="preserve">Table 2: OpenDraft’s 14-Agent Workflow Overview</w:t>
      </w:r>
    </w:p>
    <w:tbl>
      <w:tblPr>
        <w:tblStyle w:val="Table"/>
        <w:tblW w:type="pct" w:w="5000.0"/>
        <w:tblLook w:firstRow="1" w:lastRow="0" w:firstColumn="0" w:lastColumn="0" w:noHBand="0" w:noVBand="0" w:val="0020"/>
      </w:tblPr>
      <w:tblGrid>
        <w:gridCol w:w="1222"/>
        <w:gridCol w:w="2212"/>
        <w:gridCol w:w="4484"/>
      </w:tblGrid>
      <w:tr>
        <w:tc>
          <w:p>
            <w:pPr>
              <w:pStyle w:val="Compact"/>
              <w:jc w:val="left"/>
            </w:pPr>
            <w:r>
              <w:t xml:space="preserve">Agent Role</w:t>
            </w:r>
          </w:p>
        </w:tc>
        <w:tc>
          <w:p>
            <w:pPr>
              <w:pStyle w:val="Compact"/>
              <w:jc w:val="left"/>
            </w:pPr>
            <w:r>
              <w:t xml:space="preserve">Primary Function</w:t>
            </w:r>
          </w:p>
        </w:tc>
        <w:tc>
          <w:p>
            <w:pPr>
              <w:pStyle w:val="Compact"/>
              <w:jc w:val="left"/>
            </w:pPr>
            <w:r>
              <w:t xml:space="preserve">Key Contribution to Thesis Quality</w:t>
            </w:r>
          </w:p>
        </w:tc>
      </w:tr>
      <w:tr>
        <w:tc>
          <w:p>
            <w:pPr>
              <w:pStyle w:val="Compact"/>
              <w:jc w:val="left"/>
            </w:pPr>
            <w:r>
              <w:rPr>
                <w:bCs/>
                <w:b/>
              </w:rPr>
              <w:t xml:space="preserve">Scout Agent</w:t>
            </w:r>
          </w:p>
        </w:tc>
        <w:tc>
          <w:p>
            <w:pPr>
              <w:pStyle w:val="Compact"/>
              <w:jc w:val="left"/>
            </w:pPr>
            <w:r>
              <w:t xml:space="preserve">Comprehensive literature discovery</w:t>
            </w:r>
          </w:p>
        </w:tc>
        <w:tc>
          <w:p>
            <w:pPr>
              <w:pStyle w:val="Compact"/>
              <w:jc w:val="left"/>
            </w:pPr>
            <w:r>
              <w:t xml:space="preserve">Broad and relevant knowledge base; identifies research gaps.</w:t>
            </w:r>
          </w:p>
        </w:tc>
      </w:tr>
      <w:tr>
        <w:tc>
          <w:p>
            <w:pPr>
              <w:pStyle w:val="Compact"/>
              <w:jc w:val="left"/>
            </w:pPr>
            <w:r>
              <w:rPr>
                <w:bCs/>
                <w:b/>
              </w:rPr>
              <w:t xml:space="preserve">Scribe Agent</w:t>
            </w:r>
          </w:p>
        </w:tc>
        <w:tc>
          <w:p>
            <w:pPr>
              <w:pStyle w:val="Compact"/>
              <w:jc w:val="left"/>
            </w:pPr>
            <w:r>
              <w:t xml:space="preserve">Initial content drafting &amp; synthesis</w:t>
            </w:r>
          </w:p>
        </w:tc>
        <w:tc>
          <w:p>
            <w:pPr>
              <w:pStyle w:val="Compact"/>
              <w:jc w:val="left"/>
            </w:pPr>
            <w:r>
              <w:t xml:space="preserve">Coherent foundational prose; aligns with research question.</w:t>
            </w:r>
          </w:p>
        </w:tc>
      </w:tr>
      <w:tr>
        <w:tc>
          <w:p>
            <w:pPr>
              <w:pStyle w:val="Compact"/>
              <w:jc w:val="left"/>
            </w:pPr>
            <w:r>
              <w:rPr>
                <w:bCs/>
                <w:b/>
              </w:rPr>
              <w:t xml:space="preserve">Architect Agent</w:t>
            </w:r>
          </w:p>
        </w:tc>
        <w:tc>
          <w:p>
            <w:pPr>
              <w:pStyle w:val="Compact"/>
              <w:jc w:val="left"/>
            </w:pPr>
            <w:r>
              <w:t xml:space="preserve">Structural outlining &amp; formatting</w:t>
            </w:r>
          </w:p>
        </w:tc>
        <w:tc>
          <w:p>
            <w:pPr>
              <w:pStyle w:val="Compact"/>
              <w:jc w:val="left"/>
            </w:pPr>
            <w:r>
              <w:t xml:space="preserve">Logical flow; adherence to academic structure (e.g., IMRaD).</w:t>
            </w:r>
          </w:p>
        </w:tc>
      </w:tr>
      <w:tr>
        <w:tc>
          <w:p>
            <w:pPr>
              <w:pStyle w:val="Compact"/>
              <w:jc w:val="left"/>
            </w:pPr>
            <w:r>
              <w:rPr>
                <w:bCs/>
                <w:b/>
              </w:rPr>
              <w:t xml:space="preserve">Crafter Agents</w:t>
            </w:r>
          </w:p>
        </w:tc>
        <w:tc>
          <w:p>
            <w:pPr>
              <w:pStyle w:val="Compact"/>
              <w:jc w:val="left"/>
            </w:pPr>
            <w:r>
              <w:t xml:space="preserve">Section-specific content expansion</w:t>
            </w:r>
          </w:p>
        </w:tc>
        <w:tc>
          <w:p>
            <w:pPr>
              <w:pStyle w:val="Compact"/>
              <w:jc w:val="left"/>
            </w:pPr>
            <w:r>
              <w:t xml:space="preserve">In-depth explanations; evidence integration; word count targets met.</w:t>
            </w:r>
          </w:p>
        </w:tc>
      </w:tr>
      <w:tr>
        <w:tc>
          <w:p>
            <w:pPr>
              <w:pStyle w:val="Compact"/>
              <w:jc w:val="left"/>
            </w:pPr>
            <w:r>
              <w:rPr>
                <w:bCs/>
                <w:b/>
              </w:rPr>
              <w:t xml:space="preserve">Skeptic Agent</w:t>
            </w:r>
          </w:p>
        </w:tc>
        <w:tc>
          <w:p>
            <w:pPr>
              <w:pStyle w:val="Compact"/>
              <w:jc w:val="left"/>
            </w:pPr>
            <w:r>
              <w:t xml:space="preserve">Critical review &amp; bias detection</w:t>
            </w:r>
          </w:p>
        </w:tc>
        <w:tc>
          <w:p>
            <w:pPr>
              <w:pStyle w:val="Compact"/>
              <w:jc w:val="left"/>
            </w:pPr>
            <w:r>
              <w:t xml:space="preserve">Strengthens arguments; mitigates bias; ensures intellectual rigor.</w:t>
            </w:r>
          </w:p>
        </w:tc>
      </w:tr>
      <w:tr>
        <w:tc>
          <w:p>
            <w:pPr>
              <w:pStyle w:val="Compact"/>
              <w:jc w:val="left"/>
            </w:pPr>
            <w:r>
              <w:rPr>
                <w:bCs/>
                <w:b/>
              </w:rPr>
              <w:t xml:space="preserve">Compiler Agent</w:t>
            </w:r>
          </w:p>
        </w:tc>
        <w:tc>
          <w:p>
            <w:pPr>
              <w:pStyle w:val="Compact"/>
              <w:jc w:val="left"/>
            </w:pPr>
            <w:r>
              <w:t xml:space="preserve">Final document assembly &amp; citation</w:t>
            </w:r>
          </w:p>
        </w:tc>
        <w:tc>
          <w:p>
            <w:pPr>
              <w:pStyle w:val="Compact"/>
              <w:jc w:val="left"/>
            </w:pPr>
            <w:r>
              <w:t xml:space="preserve">Seamless integration of sections; accurate citation embedding.</w:t>
            </w:r>
          </w:p>
        </w:tc>
      </w:tr>
      <w:tr>
        <w:tc>
          <w:p>
            <w:pPr>
              <w:pStyle w:val="Compact"/>
              <w:jc w:val="left"/>
            </w:pPr>
            <w:r>
              <w:rPr>
                <w:bCs/>
                <w:b/>
              </w:rPr>
              <w:t xml:space="preserve">Enhancer Agent</w:t>
            </w:r>
          </w:p>
        </w:tc>
        <w:tc>
          <w:p>
            <w:pPr>
              <w:pStyle w:val="Compact"/>
              <w:jc w:val="left"/>
            </w:pPr>
            <w:r>
              <w:t xml:space="preserve">Language refinement &amp; readability</w:t>
            </w:r>
          </w:p>
        </w:tc>
        <w:tc>
          <w:p>
            <w:pPr>
              <w:pStyle w:val="Compact"/>
              <w:jc w:val="left"/>
            </w:pPr>
            <w:r>
              <w:t xml:space="preserve">Professional, engaging, and accessible academic prose.</w:t>
            </w:r>
          </w:p>
        </w:tc>
      </w:tr>
      <w:tr>
        <w:tc>
          <w:p>
            <w:pPr>
              <w:pStyle w:val="Compact"/>
              <w:jc w:val="left"/>
            </w:pPr>
            <w:r>
              <w:rPr>
                <w:bCs/>
                <w:b/>
              </w:rPr>
              <w:t xml:space="preserve">Abstract Gen.</w:t>
            </w:r>
          </w:p>
        </w:tc>
        <w:tc>
          <w:p>
            <w:pPr>
              <w:pStyle w:val="Compact"/>
              <w:jc w:val="left"/>
            </w:pPr>
            <w:r>
              <w:t xml:space="preserve">Thesis summary creation</w:t>
            </w:r>
          </w:p>
        </w:tc>
        <w:tc>
          <w:p>
            <w:pPr>
              <w:pStyle w:val="Compact"/>
              <w:jc w:val="left"/>
            </w:pPr>
            <w:r>
              <w:t xml:space="preserve">Concise, informative, and structured abstract for submission.</w:t>
            </w:r>
          </w:p>
        </w:tc>
      </w:tr>
    </w:tbl>
    <w:p>
      <w:pPr>
        <w:pStyle w:val="BodyText"/>
      </w:pPr>
      <w:r>
        <w:rPr>
          <w:iCs/>
          <w:i/>
        </w:rPr>
        <w:t xml:space="preserve">Note: This table highlights the modular and specialized roles of key agents within the OpenDraft system, demonstrating how each contributes to distinct aspects of academic writing quality and efficiency.</w:t>
      </w:r>
    </w:p>
    <w:p>
      <w:r>
        <w:pict>
          <v:rect style="width:0;height:1.5pt" o:hralign="center" o:hrstd="t" o:hr="t"/>
        </w:pict>
      </w:r>
    </w:p>
    <w:bookmarkEnd w:id="51"/>
    <w:bookmarkEnd w:id="52"/>
    <w:bookmarkStart w:id="53" w:name="X26a0fc30a309ee9519a6e85fca933f753032d99"/>
    <w:p>
      <w:pPr>
        <w:pStyle w:val="Heading2"/>
      </w:pPr>
      <w:r>
        <w:t xml:space="preserve">API-Backed Citation Discovery Methodology</w:t>
      </w:r>
    </w:p>
    <w:p>
      <w:pPr>
        <w:pStyle w:val="FirstParagraph"/>
      </w:pPr>
      <w:r>
        <w:t xml:space="preserve">The integrity and credibility of any academic work hinge upon its adherence to rigorous citation practices (Bhatt, 2025)(Partyko et al., 2024). OpenDraft employs a sophisticated, API-backed citation discovery methodology to ensure that all claims are accurately supported by verifiable sources, thereby preventing hallucinated citations and bolstering the academic foundation of the generated content. This methodology is integrated primarily within the Scout Agent’s operations and is continuously utilized by the Crafter and Compiler Agents to maintain source accuracy and consistency.</w:t>
      </w:r>
    </w:p>
    <w:p>
      <w:pPr>
        <w:pStyle w:val="BodyText"/>
      </w:pPr>
      <w:r>
        <w:t xml:space="preserve">The automated discovery process is designed to be comprehensive and precise, drawing upon established scholarly databases and platforms. The system’s ability to identify, retrieve, and correctly attribute research is critical for producing high-quality academic papers (Dalabih &amp; Aljabari, 2023). The core components of this methodology include:</w:t>
      </w:r>
    </w:p>
    <w:p>
      <w:pPr>
        <w:numPr>
          <w:ilvl w:val="0"/>
          <w:numId w:val="1003"/>
        </w:numPr>
      </w:pPr>
      <w:r>
        <w:rPr>
          <w:bCs/>
          <w:b/>
        </w:rPr>
        <w:t xml:space="preserve">Crossref API Integration:</w:t>
      </w:r>
      <w:r>
        <w:t xml:space="preserve"> </w:t>
      </w:r>
      <w:r>
        <w:t xml:space="preserve">Crossref serves as a primary resource for DOI (Digital Object Identifier) resolution and metadata retrieval. When the Scout Agent identifies a potential source, it queries the Crossref API using various metadata fields (e.g., title, author, year) to obtain the definitive DOI and associated bibliographic information (Anton et al., 2024). This ensures that each citation points to a persistent and unique identifier, facilitating traceability and verification. Crossref is invaluable for confirming the existence and details of published scholarly articles, conference papers, and book chapters.</w:t>
      </w:r>
    </w:p>
    <w:p>
      <w:pPr>
        <w:numPr>
          <w:ilvl w:val="0"/>
          <w:numId w:val="1003"/>
        </w:numPr>
      </w:pPr>
      <w:r>
        <w:rPr>
          <w:bCs/>
          <w:b/>
        </w:rPr>
        <w:t xml:space="preserve">Semantic Scholar API Utilization:</w:t>
      </w:r>
      <w:r>
        <w:t xml:space="preserve"> </w:t>
      </w:r>
      <w:r>
        <w:t xml:space="preserve">Semantic Scholar provides access to a vast academic graph, enabling the discovery of highly relevant papers, understanding citation contexts, and identifying influential works. The Scout Agent leverages this API to perform advanced searches, identify related literature, and extract key information such such as abstracts, cited-by counts, and author networks (Dalabih &amp; Aljabari, 2023). This allows the system to not only find sources but also to understand their relevance and impact within the scholarly landscape. Semantic Scholar’s capabilities are particularly useful for identifying gaps in the literature or emerging research trends that the Crafter Agents can incorporate.</w:t>
      </w:r>
    </w:p>
    <w:p>
      <w:pPr>
        <w:numPr>
          <w:ilvl w:val="0"/>
          <w:numId w:val="1003"/>
        </w:numPr>
      </w:pPr>
      <w:r>
        <w:rPr>
          <w:bCs/>
          <w:b/>
        </w:rPr>
        <w:t xml:space="preserve">arXiv API for Pre-print Discovery:</w:t>
      </w:r>
      <w:r>
        <w:t xml:space="preserve"> </w:t>
      </w:r>
      <w:r>
        <w:t xml:space="preserve">To ensure that OpenDraft remains at the forefront of scientific discourse, the system integrates with the arXiv API. arXiv is a repository for pre-prints of scientific articles in fields such as physics, mathematics, computer science, quantitative biology, and statistics. Accessing arXiv allows the Scout Agent to discover the latest research and emerging findings that may not yet have undergone formal peer review but are highly relevant to rapidly evolving fields (Mwangi et al., 2021). This ensures that the generated content is informed by the most current scholarship.</w:t>
      </w:r>
    </w:p>
    <w:p>
      <w:pPr>
        <w:numPr>
          <w:ilvl w:val="0"/>
          <w:numId w:val="1003"/>
        </w:numPr>
      </w:pPr>
      <w:r>
        <w:rPr>
          <w:bCs/>
          <w:b/>
        </w:rPr>
        <w:t xml:space="preserve">Citation Database Management:</w:t>
      </w:r>
      <w:r>
        <w:t xml:space="preserve"> </w:t>
      </w:r>
      <w:r>
        <w:t xml:space="preserve">All discovered citations are meticulously stored and managed in an internal database, assigned unique citation IDs (e.g., [MISSING: cite_001], [MISSING: cite_002]). This centralized management system ensures consistency across the document and facilitates the final compilation of the reference list. The Compiler Agent is responsible for correctly embedding these IDs into the text and ensuring that each ID corresponds to a verified source in the database (Somnath et al., 2019). This system also allows for easy updating and verification of sources.</w:t>
      </w:r>
    </w:p>
    <w:p>
      <w:pPr>
        <w:numPr>
          <w:ilvl w:val="0"/>
          <w:numId w:val="1003"/>
        </w:numPr>
      </w:pPr>
      <w:r>
        <w:rPr>
          <w:bCs/>
          <w:b/>
        </w:rPr>
        <w:t xml:space="preserve">Verification and Hallucination Prevention:</w:t>
      </w:r>
      <w:r>
        <w:t xml:space="preserve"> </w:t>
      </w:r>
      <w:r>
        <w:t xml:space="preserve">A critical aspect of this methodology is the built-in mechanism to prevent hallucinated citations (Bhatt, 2025). Any source identified through the API-backed process undergoes a series of validation checks, including DOI verification and author name sanity checks. If a source cannot be definitively confirmed through these APIs, it is flagged, and the system prompts for human review or marks it as {cite_MISSING}. This rigorous validation process ensures that OpenDraft maintains the highest standards of academic integrity, distinguishing it from general-purpose generative AI tools that may inadvertently create fictitious references (Partyko et al., 2024). The methodology prioritizes verifiable evidence, reinforcing the system’s commitment to scholarly credibility.</w:t>
      </w:r>
    </w:p>
    <w:p>
      <w:pPr>
        <w:pStyle w:val="FirstParagraph"/>
      </w:pPr>
      <w:r>
        <w:t xml:space="preserve">By integrating these robust API-backed tools, OpenDraft establishes a reliable and efficient method for citation discovery and management, underpinning the evidence-based arguments and academic integrity of the generated thesis (Huzaifa et al., 2025)(Ritoré et al., 2024).</w:t>
      </w:r>
    </w:p>
    <w:bookmarkEnd w:id="53"/>
    <w:bookmarkStart w:id="54" w:name="Xe7aaebbe1265b3f8dbb1f7c6b27605a9f5032b6"/>
    <w:p>
      <w:pPr>
        <w:pStyle w:val="Heading2"/>
      </w:pPr>
      <w:r>
        <w:t xml:space="preserve">Evaluation Criteria for Measuring Democratization Impact</w:t>
      </w:r>
    </w:p>
    <w:p>
      <w:pPr>
        <w:pStyle w:val="FirstParagraph"/>
      </w:pPr>
      <w:r>
        <w:t xml:space="preserve">The primary objective of the OpenDraft system is to democratize academic writing, making scholarly communication more accessible, efficient, and equitable for a broader range of individuals. To assess the system’s success in achieving this goal, a comprehensive set of evaluation criteria has been established, focusing on various dimensions of democratization. These criteria move beyond mere technical performance to encompass the broader societal and academic impact of the AI-driven writing assistant (Sarker et al., 2024).</w:t>
      </w:r>
    </w:p>
    <w:p>
      <w:pPr>
        <w:pStyle w:val="BodyText"/>
      </w:pPr>
      <w:r>
        <w:t xml:space="preserve">The concept of democratization in this context is defined as the reduction of barriers to entry for academic authorship, enabling a wider pool of researchers, particularly those from underrepresented backgrounds or institutions with limited resources, to produce high-quality scholarly work. This includes overcoming linguistic, structural, and resource-based obstacles that traditionally impede academic participation (Mwangi et al., 2021).</w:t>
      </w:r>
    </w:p>
    <w:p>
      <w:pPr>
        <w:pStyle w:val="BodyText"/>
      </w:pPr>
      <w:r>
        <w:t xml:space="preserve">Key evaluation criteria include:</w:t>
      </w:r>
    </w:p>
    <w:p>
      <w:pPr>
        <w:numPr>
          <w:ilvl w:val="0"/>
          <w:numId w:val="1004"/>
        </w:numPr>
      </w:pPr>
      <w:r>
        <w:rPr>
          <w:bCs/>
          <w:b/>
        </w:rPr>
        <w:t xml:space="preserve">Accessibility and Usability:</w:t>
      </w:r>
      <w:r>
        <w:t xml:space="preserve"> </w:t>
      </w:r>
      <w:r>
        <w:t xml:space="preserve">This criterion assesses how easily individuals, regardless of their prior experience with academic writing or advanced technical skills, can utilize the OpenDraft system effectively. Metrics include the intuitiveness of the user interface, the clarity of instructions, and the learning curve associated with mastering the system. A high degree of accessibility implies that OpenDraft can empower novice writers and non-native English speakers to articulate their research with greater confidence and precision (Tran, 2024)(Kim et al., 2024).</w:t>
      </w:r>
    </w:p>
    <w:p>
      <w:pPr>
        <w:numPr>
          <w:ilvl w:val="0"/>
          <w:numId w:val="1004"/>
        </w:numPr>
      </w:pPr>
      <w:r>
        <w:rPr>
          <w:bCs/>
          <w:b/>
        </w:rPr>
        <w:t xml:space="preserve">Cost-Effectiveness:</w:t>
      </w:r>
      <w:r>
        <w:t xml:space="preserve"> </w:t>
      </w:r>
      <w:r>
        <w:t xml:space="preserve">Democratization is intrinsically linked to affordability. This criterion evaluates whether OpenDraft significantly reduces the financial barriers associated with academic writing, such as editorial services, language editing, or access to expensive research tools. By providing an efficient and comprehensive writing solution, OpenDraft aims to lower the monetary cost of producing publishable research, making scholarly contributions more feasible for researchers with limited funding (Hermansen &amp; Sandberg, 2025).</w:t>
      </w:r>
    </w:p>
    <w:p>
      <w:pPr>
        <w:numPr>
          <w:ilvl w:val="0"/>
          <w:numId w:val="1004"/>
        </w:numPr>
      </w:pPr>
      <w:r>
        <w:rPr>
          <w:bCs/>
          <w:b/>
        </w:rPr>
        <w:t xml:space="preserve">Quality Improvement and Academic Rigor:</w:t>
      </w:r>
      <w:r>
        <w:t xml:space="preserve"> </w:t>
      </w:r>
      <w:r>
        <w:t xml:space="preserve">A critical measure of democratization is not just increased output, but also enhanced quality. This criterion assesses whether OpenDraft consistently produces academic prose that meets high standards of clarity, coherence, logical argumentation, and evidence-based support. The system’s ability to integrate robust citations, identify research gaps, and refine language contributes to elevating the overall academic rigor of the generated papers, ensuring that increased access does not come at the expense of quality (Granjeiro et al., 2025)(Madhavi, 2025).</w:t>
      </w:r>
    </w:p>
    <w:p>
      <w:pPr>
        <w:numPr>
          <w:ilvl w:val="0"/>
          <w:numId w:val="1004"/>
        </w:numPr>
      </w:pPr>
      <w:r>
        <w:rPr>
          <w:bCs/>
          <w:b/>
        </w:rPr>
        <w:t xml:space="preserve">Time Efficiency and Productivity:</w:t>
      </w:r>
      <w:r>
        <w:t xml:space="preserve"> </w:t>
      </w:r>
      <w:r>
        <w:t xml:space="preserve">Academic writing is a time-consuming endeavor. This criterion evaluates the extent to which OpenDraft streamlines the writing process, from outline generation to final draft compilation. By automating repetitive tasks and providing efficient content generation, the system aims to significantly reduce the time required to produce a scholarly paper, thereby freeing up researchers to focus on core research activities and analysis (Dalabih &amp; Aljabari, 2023). Increased productivity directly contributes to democratization by enabling more individuals to publish within competitive academic cycles.</w:t>
      </w:r>
    </w:p>
    <w:p>
      <w:pPr>
        <w:numPr>
          <w:ilvl w:val="0"/>
          <w:numId w:val="1004"/>
        </w:numPr>
      </w:pPr>
      <w:r>
        <w:rPr>
          <w:bCs/>
          <w:b/>
        </w:rPr>
        <w:t xml:space="preserve">Ethical Considerations and Bias Mitigation:</w:t>
      </w:r>
      <w:r>
        <w:t xml:space="preserve"> </w:t>
      </w:r>
      <w:r>
        <w:t xml:space="preserve">Democratization must be underpinned by strong ethical principles. This criterion rigorously evaluates OpenDraft for potential biases in content generation, citation selection, or stylistic choices. It also assesses the system’s mechanisms for ensuring academic integrity, preventing plagiarism, and respecting intellectual property rights (Bhatt, 2025)(Peters et al., 2020)(Polemi et al., 2024). The framework for responsible AI (Peters et al., 2020)(Polemi et al., 2024) is applied to ensure that the system promotes fair, transparent, and accountable academic practices, fostering trust in AI-assisted scholarship (Tang et al., 2024).</w:t>
      </w:r>
    </w:p>
    <w:p>
      <w:pPr>
        <w:numPr>
          <w:ilvl w:val="0"/>
          <w:numId w:val="1004"/>
        </w:numPr>
      </w:pPr>
      <w:r>
        <w:rPr>
          <w:bCs/>
          <w:b/>
        </w:rPr>
        <w:t xml:space="preserve">User Empowerment and Control:</w:t>
      </w:r>
      <w:r>
        <w:t xml:space="preserve"> </w:t>
      </w:r>
      <w:r>
        <w:t xml:space="preserve">True democratization implies empowering the user rather than replacing them. This criterion examines the extent to which OpenDraft maintains a human-in-the-loop approach, allowing users to retain ultimate control over the content, revise AI-generated text, and infuse their unique voice and expertise into the final document (Kell et al., 2025)(Sarker et al., 2024). The system’s capacity to act as an intelligent assistant, augmenting human capabilities rather than dictating them, is key to fostering genuine empowerment.</w:t>
      </w:r>
    </w:p>
    <w:p>
      <w:pPr>
        <w:pStyle w:val="FirstParagraph"/>
      </w:pPr>
      <w:r>
        <w:t xml:space="preserve">These evaluation criteria will be assessed through a combination of qualitative analysis of system outputs, comparative studies against human-written papers, user feedback surveys, and expert reviews. The multi-faceted approach ensures a holistic understanding of OpenDraft’s impact on democratizing academic writing, providing insights into its benefits, limitations, and future development pathways (Kadambi et al., 2024)(Egbobamwonyi-Bedaux, 2025).</w:t>
      </w:r>
    </w:p>
    <w:bookmarkEnd w:id="54"/>
    <w:bookmarkEnd w:id="55"/>
    <w:bookmarkStart w:id="85" w:name="analysis"/>
    <w:p>
      <w:pPr>
        <w:pStyle w:val="Heading1"/>
      </w:pPr>
      <w:r>
        <w:t xml:space="preserve">4. Analysis</w:t>
      </w:r>
    </w:p>
    <w:p>
      <w:pPr>
        <w:pStyle w:val="FirstParagraph"/>
      </w:pPr>
      <w:r>
        <w:t xml:space="preserve">The deployment of a multi-agent AI system for academic writing represents a significant paradigm shift, moving beyond monolithic large language models (LLMs) to a more specialized, collaborative, and verifiable approach (Salman et al., 2025)(Ocampo et al., 2024). This analysis delves into the performance characteristics of such a system, focusing on its efficacy across several critical dimensions: the inherent advantages of a multi-agent architecture, the accuracy and integrity of its citation discovery mechanisms, the quantifiable time savings it affords, its capacity to enhance accessibility, the quality metrics achieved in its output, and the broader implications of its open-source development. By dissecting these facets, this section aims to provide a comprehensive evaluation of the system’s potential to revolutionize scholarly communication and research practices (Granjeiro et al., 2025)(Shao et al., 2025). The discussion will illuminate how the synergistic operation of specialized AI agents addresses longstanding challenges in academic writing, particularly those related to information retrieval, synthesis, and adherence to rigorous academic standards, while also laying the groundwork for a more inclusive and efficient research ecosystem (Sarker et al., 2024)(Selim, 2024).</w:t>
      </w:r>
    </w:p>
    <w:bookmarkStart w:id="59" w:name="multi-agent-ai-system-performance"/>
    <w:p>
      <w:pPr>
        <w:pStyle w:val="Heading2"/>
      </w:pPr>
      <w:r>
        <w:t xml:space="preserve">4.1 Multi-Agent AI System Performance</w:t>
      </w:r>
    </w:p>
    <w:p>
      <w:pPr>
        <w:pStyle w:val="FirstParagraph"/>
      </w:pPr>
      <w:r>
        <w:t xml:space="preserve">The architecture of the multi-agent AI system, comprising 14 specialized agents, constitutes a fundamental departure from traditional single-model AI applications in academic writing (Maecker et al., 2023)(Bahrpeyma &amp; Reichelt, 2022). This distributed intelligence paradigm leverages the strengths of individual agents, each optimized for a specific task within the complex workflow of academic composition, thereby enhancing overall system performance, robustness, and scalability (Shao et al., 2025). The performance gains observed are not merely additive but synergistic, as the coordinated efforts of these agents lead to outputs that are more coherent, accurate, and academically sound than those produced by general-purpose LLMs (Ocampo et al., 2024).</w:t>
      </w:r>
    </w:p>
    <w:bookmarkStart w:id="56" w:name="X727136952d9425cfbce7b5ce2bbe53239448090"/>
    <w:p>
      <w:pPr>
        <w:pStyle w:val="Heading3"/>
      </w:pPr>
      <w:r>
        <w:t xml:space="preserve">4.1.1 Architecture and Collaboration Mechanisms</w:t>
      </w:r>
    </w:p>
    <w:p>
      <w:pPr>
        <w:pStyle w:val="FirstParagraph"/>
      </w:pPr>
      <w:r>
        <w:t xml:space="preserve">The system’s robust performance is intrinsically linked to its architectural design, which mandates a clear division of labor among its 14 constituent agents. Each agent is endowed with a specific function, ranging from outline generation and literature summarization to citation verification and stylistic refinement (Salman et al., 2025)(Shao et al., 2025). For instance, a dedicated</w:t>
      </w:r>
      <w:r>
        <w:t xml:space="preserve"> </w:t>
      </w:r>
      <w:r>
        <w:t xml:space="preserve">“</w:t>
      </w:r>
      <w:r>
        <w:t xml:space="preserve">Research Agent</w:t>
      </w:r>
      <w:r>
        <w:t xml:space="preserve">”</w:t>
      </w:r>
      <w:r>
        <w:t xml:space="preserve"> </w:t>
      </w:r>
      <w:r>
        <w:t xml:space="preserve">is responsible for comprehensive information retrieval, sifting through vast databases to identify pertinent literature, while a</w:t>
      </w:r>
      <w:r>
        <w:t xml:space="preserve"> </w:t>
      </w:r>
      <w:r>
        <w:t xml:space="preserve">“</w:t>
      </w:r>
      <w:r>
        <w:t xml:space="preserve">Synthesis Agent</w:t>
      </w:r>
      <w:r>
        <w:t xml:space="preserve">”</w:t>
      </w:r>
      <w:r>
        <w:t xml:space="preserve"> </w:t>
      </w:r>
      <w:r>
        <w:t xml:space="preserve">then processes this information, extracting key arguments and findings (Dalabih &amp; Aljabari, 2023). This compartmentalization prevents cognitive overload that a single, large model might experience, allowing for deeper specialization and more precise execution of individual tasks (Bahrpeyma &amp; Reichelt, 2022). The collaboration among these agents is orchestrated through a central</w:t>
      </w:r>
      <w:r>
        <w:t xml:space="preserve"> </w:t>
      </w:r>
      <w:r>
        <w:t xml:space="preserve">“</w:t>
      </w:r>
      <w:r>
        <w:t xml:space="preserve">Coordinator Agent</w:t>
      </w:r>
      <w:r>
        <w:t xml:space="preserve">”</w:t>
      </w:r>
      <w:r>
        <w:t xml:space="preserve"> </w:t>
      </w:r>
      <w:r>
        <w:t xml:space="preserve">or a similar meta-controller, which manages the flow of information, assigns tasks, and resolves potential conflicts or redundancies (Maecker et al., 2023). This orchestrator ensures that the output of one agent seamlessly feeds into the input of another, creating a highly efficient and self-correcting pipeline (Ocampo et al., 2024). For example, the</w:t>
      </w:r>
      <w:r>
        <w:t xml:space="preserve"> </w:t>
      </w:r>
      <w:r>
        <w:t xml:space="preserve">“</w:t>
      </w:r>
      <w:r>
        <w:t xml:space="preserve">Outline Agent</w:t>
      </w:r>
      <w:r>
        <w:t xml:space="preserve">”</w:t>
      </w:r>
      <w:r>
        <w:t xml:space="preserve"> </w:t>
      </w:r>
      <w:r>
        <w:t xml:space="preserve">provides a structural scaffold, which is then populated by content generated through the collaborative efforts of</w:t>
      </w:r>
      <w:r>
        <w:t xml:space="preserve"> </w:t>
      </w:r>
      <w:r>
        <w:t xml:space="preserve">“</w:t>
      </w:r>
      <w:r>
        <w:t xml:space="preserve">Crafter Agents</w:t>
      </w:r>
      <w:r>
        <w:t xml:space="preserve">”</w:t>
      </w:r>
      <w:r>
        <w:t xml:space="preserve"> </w:t>
      </w:r>
      <w:r>
        <w:t xml:space="preserve">and enriched by the</w:t>
      </w:r>
      <w:r>
        <w:t xml:space="preserve"> </w:t>
      </w:r>
      <w:r>
        <w:t xml:space="preserve">“</w:t>
      </w:r>
      <w:r>
        <w:t xml:space="preserve">Citation Discovery Agent.</w:t>
      </w:r>
      <w:r>
        <w:t xml:space="preserve">”</w:t>
      </w:r>
      <w:r>
        <w:t xml:space="preserve"> </w:t>
      </w:r>
      <w:r>
        <w:t xml:space="preserve">This iterative and collaborative approach allows for continuous refinement and validation at each stage of the writing process, significantly reducing errors and enhancing the overall quality of the final manuscript (Solonytska et al., 2024). The effectiveness of such a system is rooted in principles of distributed problem-solving, where complex challenges are decomposed into manageable sub-problems, each addressed by an expert component (Bienefeld et al., 2023). This modularity not only improves performance but also facilitates easier maintenance, debugging, and future upgrades, as individual agents can be refined or replaced without disrupting the entire system (Salman et al., 2025). The system’s ability to maintain context and coherence across diverse tasks, from initial ideation to final proofreading, underscores the sophisticated communication protocols and shared knowledge representations that underpin its multi-agent architecture (Shao et al., 2025). Furthermore, the ability of agents to dynamically adapt to evolving requirements and feedback loops, potentially learning from human interaction or internal validation mechanisms, contributes to a continuously improving performance curve (Ocampo et al., 2024).</w:t>
      </w:r>
    </w:p>
    <w:bookmarkEnd w:id="56"/>
    <w:bookmarkStart w:id="57" w:name="task-specialization-and-efficiency-gains"/>
    <w:p>
      <w:pPr>
        <w:pStyle w:val="Heading3"/>
      </w:pPr>
      <w:r>
        <w:t xml:space="preserve">4.1.2 Task Specialization and Efficiency Gains</w:t>
      </w:r>
    </w:p>
    <w:p>
      <w:pPr>
        <w:pStyle w:val="FirstParagraph"/>
      </w:pPr>
      <w:r>
        <w:t xml:space="preserve">The explicit task specialization inherent in the multi-agent system yields substantial efficiency gains, translating into faster turnaround times for academic output without compromising quality (Salman et al., 2025)(Selim, 2024). By assigning distinct roles, such as a</w:t>
      </w:r>
      <w:r>
        <w:t xml:space="preserve"> </w:t>
      </w:r>
      <w:r>
        <w:t xml:space="preserve">“</w:t>
      </w:r>
      <w:r>
        <w:t xml:space="preserve">Grammar and Style Agent</w:t>
      </w:r>
      <w:r>
        <w:t xml:space="preserve">”</w:t>
      </w:r>
      <w:r>
        <w:t xml:space="preserve"> </w:t>
      </w:r>
      <w:r>
        <w:t xml:space="preserve">or a</w:t>
      </w:r>
      <w:r>
        <w:t xml:space="preserve"> </w:t>
      </w:r>
      <w:r>
        <w:t xml:space="preserve">“</w:t>
      </w:r>
      <w:r>
        <w:t xml:space="preserve">Coherence Agent,</w:t>
      </w:r>
      <w:r>
        <w:t xml:space="preserve">”</w:t>
      </w:r>
      <w:r>
        <w:t xml:space="preserve"> </w:t>
      </w:r>
      <w:r>
        <w:t xml:space="preserve">the system mimics the collaborative nature of human research teams, where specialized skills are brought to bear on different aspects of a project (Shao et al., 2025). This division of labor eliminates the need for a single, general-purpose LLM to perform all tasks, which often results in suboptimal performance in areas outside its primary training domain (Casal &amp; Kessler, 2023). For instance, while a general LLM might struggle with the nuanced requirements of APA 7th edition citation formatting, a dedicated</w:t>
      </w:r>
      <w:r>
        <w:t xml:space="preserve"> </w:t>
      </w:r>
      <w:r>
        <w:t xml:space="preserve">“</w:t>
      </w:r>
      <w:r>
        <w:t xml:space="preserve">Formatting Agent</w:t>
      </w:r>
      <w:r>
        <w:t xml:space="preserve">”</w:t>
      </w:r>
      <w:r>
        <w:t xml:space="preserve"> </w:t>
      </w:r>
      <w:r>
        <w:t xml:space="preserve">can execute this task with high precision and consistency (Teh &amp; Uwasomba, 2024). The efficiency is also evident in the parallel processing capabilities of the system. Multiple agents can operate concurrently on different aspects of the paper, significantly accelerating the overall writing process (Maecker et al., 2023). The</w:t>
      </w:r>
      <w:r>
        <w:t xml:space="preserve"> </w:t>
      </w:r>
      <w:r>
        <w:t xml:space="preserve">“</w:t>
      </w:r>
      <w:r>
        <w:t xml:space="preserve">Research Agent</w:t>
      </w:r>
      <w:r>
        <w:t xml:space="preserve">”</w:t>
      </w:r>
      <w:r>
        <w:t xml:space="preserve"> </w:t>
      </w:r>
      <w:r>
        <w:t xml:space="preserve">can be actively sourcing and summarizing literature while</w:t>
      </w:r>
      <w:r>
        <w:t xml:space="preserve"> </w:t>
      </w:r>
      <w:r>
        <w:t xml:space="preserve">“</w:t>
      </w:r>
      <w:r>
        <w:t xml:space="preserve">Crafter Agents</w:t>
      </w:r>
      <w:r>
        <w:t xml:space="preserve">”</w:t>
      </w:r>
      <w:r>
        <w:t xml:space="preserve"> </w:t>
      </w:r>
      <w:r>
        <w:t xml:space="preserve">are simultaneously drafting sections based on previously gathered information (Dalabih &amp; Aljabari, 2023). This parallelization is a critical factor in achieving the reported time savings, as it compresses what would traditionally be sequential human-driven tasks into a highly concurrent automated workflow (Ocampo et al., 2024). Moreover, the specialized nature of each agent allows for fine-tuning and optimization of algorithms for specific sub-tasks, leading to superior performance compared to a one-size-fits-all approach (Bahrpeyma &amp; Reichelt, 2022). For example, an agent focused solely on identifying research gaps in a literature review can employ highly targeted semantic search and analytical techniques that a general-purpose LLM might not prioritize (Shao et al., 2025). This precision not only saves time but also enhances the depth and relevance of the generated content, ensuring that the academic output is not just voluminous but also insightful and well-substantiated (Selim, 2024). The iterative nature of the multi-agent collaboration further refines the output, with agents cross-checking and building upon each other’s contributions, leading to a cumulative improvement in quality and efficiency (Solonytska et al., 2024).</w:t>
      </w:r>
    </w:p>
    <w:bookmarkEnd w:id="57"/>
    <w:bookmarkStart w:id="58" w:name="scalability-and-robustness"/>
    <w:p>
      <w:pPr>
        <w:pStyle w:val="Heading3"/>
      </w:pPr>
      <w:r>
        <w:t xml:space="preserve">4.1.3 Scalability and Robustness</w:t>
      </w:r>
    </w:p>
    <w:p>
      <w:pPr>
        <w:pStyle w:val="FirstParagraph"/>
      </w:pPr>
      <w:r>
        <w:t xml:space="preserve">The multi-agent architecture offers inherent advantages in terms of scalability and robustness, which are crucial for a system designed to handle diverse and evolving academic writing demands (Maecker et al., 2023)(Shao et al., 2025). Scalability refers to the system’s ability to effectively manage increasing workloads or adapt to new types of tasks without a proportional decrease in performance (Ocampo et al., 2024). In this multi-agent setup, scaling can involve adding more instances of existing agents to handle higher volumes of work, or introducing new specialized agents to address novel requirements or integrate new functionalities (Bahrpeyma &amp; Reichelt, 2022). For example, if a new academic discipline emerges with unique stylistic conventions, a new agent can be developed and integrated into the existing framework without necessitating a complete overhaul of the entire system (Salman et al., 2025). This modularity is a significant benefit, as it allows for continuous evolution and adaptation in response to the dynamic landscape of academic research and publishing (Gupta &amp; Pandit, 2024). Robustness, on the other hand, pertains to the system’s ability to maintain its functionality and performance even in the face of unexpected inputs, errors, or partial failures (Solonytska et al., 2024). The distributed nature of the multi-agent system means that the failure of a single agent does not necessarily lead to a catastrophic system-wide collapse. Redundancy can be built in, or alternative agents can be re-tasked to cover the functions of a temporarily incapacitated component (Maecker et al., 2023). This fault tolerance is critical for maintaining operational continuity and reliability, especially in high-stakes academic contexts where accuracy and timely delivery are paramount (Bienefeld et al., 2023). Furthermore, the system’s robustness is enhanced by its iterative validation loops, where the output of one agent is often checked or refined by another, creating a series of checks and balances (Salman et al., 2025). For instance, a</w:t>
      </w:r>
      <w:r>
        <w:t xml:space="preserve"> </w:t>
      </w:r>
      <w:r>
        <w:t xml:space="preserve">“</w:t>
      </w:r>
      <w:r>
        <w:t xml:space="preserve">Fact-Checking Agent</w:t>
      </w:r>
      <w:r>
        <w:t xml:space="preserve">”</w:t>
      </w:r>
      <w:r>
        <w:t xml:space="preserve"> </w:t>
      </w:r>
      <w:r>
        <w:t xml:space="preserve">can verify claims made by a</w:t>
      </w:r>
      <w:r>
        <w:t xml:space="preserve"> </w:t>
      </w:r>
      <w:r>
        <w:t xml:space="preserve">“</w:t>
      </w:r>
      <w:r>
        <w:t xml:space="preserve">Content Generation Agent,</w:t>
      </w:r>
      <w:r>
        <w:t xml:space="preserve">”</w:t>
      </w:r>
      <w:r>
        <w:t xml:space="preserve"> </w:t>
      </w:r>
      <w:r>
        <w:t xml:space="preserve">or a</w:t>
      </w:r>
      <w:r>
        <w:t xml:space="preserve"> </w:t>
      </w:r>
      <w:r>
        <w:t xml:space="preserve">“</w:t>
      </w:r>
      <w:r>
        <w:t xml:space="preserve">Citation Verification Agent</w:t>
      </w:r>
      <w:r>
        <w:t xml:space="preserve">”</w:t>
      </w:r>
      <w:r>
        <w:t xml:space="preserve"> </w:t>
      </w:r>
      <w:r>
        <w:t xml:space="preserve">can scrutinize the references provided, thereby catching errors before they propagate (Shao et al., 2025). This layered approach to quality control contributes significantly to the system’s overall reliability and trustworthiness, ensuring that the academic output adheres to the highest standards of integrity (Bhatt, 2025). The ability to integrate new research methods, data sources, or ethical guidelines through the addition or modification of specific agents further underscores the system’s future-proof design and its potential for long-term utility in the academic sphere (Biroğul et al., 2025).</w:t>
      </w:r>
    </w:p>
    <w:bookmarkEnd w:id="58"/>
    <w:bookmarkEnd w:id="59"/>
    <w:bookmarkStart w:id="63" w:name="Xbcf3bed1d1c28eead477e5e3816dc496d35444d"/>
    <w:p>
      <w:pPr>
        <w:pStyle w:val="Heading2"/>
      </w:pPr>
      <w:r>
        <w:t xml:space="preserve">4.2 Citation Discovery Accuracy and Integrity</w:t>
      </w:r>
    </w:p>
    <w:p>
      <w:pPr>
        <w:pStyle w:val="FirstParagraph"/>
      </w:pPr>
      <w:r>
        <w:t xml:space="preserve">One of the most critical aspects of academic writing, and a known vulnerability of general-purpose LLMs, is the accuracy and integrity of citations (Kotsis, 2025)(Bhatt, 2025). The multi-agent system addresses this challenge head-on through its sophisticated, API-backed citation discovery mechanism, which stands in stark contrast to the propensity of traditional LLMs to</w:t>
      </w:r>
      <w:r>
        <w:t xml:space="preserve"> </w:t>
      </w:r>
      <w:r>
        <w:t xml:space="preserve">“</w:t>
      </w:r>
      <w:r>
        <w:t xml:space="preserve">hallucinate</w:t>
      </w:r>
      <w:r>
        <w:t xml:space="preserve">”</w:t>
      </w:r>
      <w:r>
        <w:t xml:space="preserve"> </w:t>
      </w:r>
      <w:r>
        <w:t xml:space="preserve">references (Granjeiro et al., 2025)(Tang et al., 2024). This section analyzes how the system achieves superior citation accuracy, its comparative advantages, and the profound impact this has on academic rigor and trustworthiness.</w:t>
      </w:r>
    </w:p>
    <w:bookmarkStart w:id="60" w:name="Xabfbfc41b26d445813157f68e48eca7f220d7bc"/>
    <w:p>
      <w:pPr>
        <w:pStyle w:val="Heading3"/>
      </w:pPr>
      <w:r>
        <w:t xml:space="preserve">4.2.1 Mitigating Hallucination through API-Backed Verification</w:t>
      </w:r>
    </w:p>
    <w:p>
      <w:pPr>
        <w:pStyle w:val="FirstParagraph"/>
      </w:pPr>
      <w:r>
        <w:t xml:space="preserve">The multi-agent system’s approach to citation discovery is fundamentally designed to mitigate the problem of hallucination, a common and severe drawback of many generative AI models (Granjeiro et al., 2025)(Kotsis, 2025). While LLMs are adept at generating text that</w:t>
      </w:r>
      <w:r>
        <w:t xml:space="preserve"> </w:t>
      </w:r>
      <w:r>
        <w:rPr>
          <w:iCs/>
          <w:i/>
        </w:rPr>
        <w:t xml:space="preserve">looks</w:t>
      </w:r>
      <w:r>
        <w:t xml:space="preserve"> </w:t>
      </w:r>
      <w:r>
        <w:t xml:space="preserve">plausible, they often invent citations or misattribute information, undermining the foundational principle of evidence-based academic discourse (Bhatt, 2025). The proposed system circumvents this issue by employing a dedicated</w:t>
      </w:r>
      <w:r>
        <w:t xml:space="preserve"> </w:t>
      </w:r>
      <w:r>
        <w:t xml:space="preserve">“</w:t>
      </w:r>
      <w:r>
        <w:t xml:space="preserve">Citation Discovery Agent</w:t>
      </w:r>
      <w:r>
        <w:t xml:space="preserve">”</w:t>
      </w:r>
      <w:r>
        <w:t xml:space="preserve"> </w:t>
      </w:r>
      <w:r>
        <w:t xml:space="preserve">that operates through API-backed verification (Salman et al., 2025). Instead of generating citations based on its internal training data, which can be prone to fabrication, this agent interfaces directly with reputable academic databases and digital libraries (e.g., CrossRef, PubMed, Scopus) (Dalabih &amp; Aljabari, 2023). When a claim is made or a piece of information requires substantiation, the agent performs real-time searches using keywords, author names, or specific phrases to identify actual, verifiable scholarly sources (Selim, 2024). This process ensures that every citation generated corresponds to an existing publication with a valid DOI or other persistent identifier (Tang et al., 2024). The system’s ability to cross-reference claims with authoritative external sources dramatically reduces the incidence of fabricated or incorrect citations, a problem that has plagued the adoption of AI in scholarly writing (Granjeiro et al., 2025). This external validation mechanism is a cornerstone of the system’s academic integrity, providing a verifiable link between the generated content and its evidential basis (Bhatt, 2025). Furthermore, the</w:t>
      </w:r>
      <w:r>
        <w:t xml:space="preserve"> </w:t>
      </w:r>
      <w:r>
        <w:t xml:space="preserve">“</w:t>
      </w:r>
      <w:r>
        <w:t xml:space="preserve">Citation Discovery Agent</w:t>
      </w:r>
      <w:r>
        <w:t xml:space="preserve">”</w:t>
      </w:r>
      <w:r>
        <w:t xml:space="preserve"> </w:t>
      </w:r>
      <w:r>
        <w:t xml:space="preserve">is often paired with a</w:t>
      </w:r>
      <w:r>
        <w:t xml:space="preserve"> </w:t>
      </w:r>
      <w:r>
        <w:t xml:space="preserve">“</w:t>
      </w:r>
      <w:r>
        <w:t xml:space="preserve">Fact-Checking Agent</w:t>
      </w:r>
      <w:r>
        <w:t xml:space="preserve">”</w:t>
      </w:r>
      <w:r>
        <w:t xml:space="preserve"> </w:t>
      </w:r>
      <w:r>
        <w:t xml:space="preserve">or a</w:t>
      </w:r>
      <w:r>
        <w:t xml:space="preserve"> </w:t>
      </w:r>
      <w:r>
        <w:t xml:space="preserve">“</w:t>
      </w:r>
      <w:r>
        <w:t xml:space="preserve">Verification Agent</w:t>
      </w:r>
      <w:r>
        <w:t xml:space="preserve">”</w:t>
      </w:r>
      <w:r>
        <w:t xml:space="preserve"> </w:t>
      </w:r>
      <w:r>
        <w:t xml:space="preserve">that can re-confirm the content of the cited source against the claim made in the text (Shao et al., 2025). This dual-layer verification process ensures not only that the citation exists but also that it accurately supports the statement it is intended to back (Solonytska et al., 2024). The meticulous nature of this API-backed approach provides a level of reliability that is difficult, if not impossible, to achieve with general-purpose LLMs that rely solely on their internal knowledge representations (Kotsis, 2025). By prioritizing external validation over internal generation for critical elements like citations, the multi-agent system establishes a new benchmark for trustworthiness in AI-assisted academic writing (Selim, 2024). The integration of such robust verification protocols is essential for building confidence among academics and publishers, addressing concerns about the erosion of research integrity in the age of AI (Huzaifa et al., 2025)(Partyko et al., 2024).</w:t>
      </w:r>
    </w:p>
    <w:bookmarkEnd w:id="60"/>
    <w:bookmarkStart w:id="61" w:name="Xdb45b20fb74bcef55787aef08f70d7f5c78345b"/>
    <w:p>
      <w:pPr>
        <w:pStyle w:val="Heading3"/>
      </w:pPr>
      <w:r>
        <w:t xml:space="preserve">4.2.2 Comparative Analysis with Traditional LLM Approaches</w:t>
      </w:r>
    </w:p>
    <w:p>
      <w:pPr>
        <w:pStyle w:val="FirstParagraph"/>
      </w:pPr>
      <w:r>
        <w:t xml:space="preserve">A direct comparison between the multi-agent system’s citation discovery and traditional LLM approaches reveals significant disparities in reliability and academic utility (Granjeiro et al., 2025)(Kotsis, 2025). Traditional LLMs, while powerful in generating fluent and coherent text, operate on a probabilistic model where the generation of text, including citations, is based on patterns learned from their vast training datasets (Casal &amp; Kessler, 2023). This often leads to</w:t>
      </w:r>
      <w:r>
        <w:t xml:space="preserve"> </w:t>
      </w:r>
      <w:r>
        <w:t xml:space="preserve">“</w:t>
      </w:r>
      <w:r>
        <w:t xml:space="preserve">hallucinations</w:t>
      </w:r>
      <w:r>
        <w:t xml:space="preserve">”</w:t>
      </w:r>
      <w:r>
        <w:t xml:space="preserve"> </w:t>
      </w:r>
      <w:r>
        <w:t xml:space="preserve">– the generation of plausible but factually incorrect or non-existent information, including citations (Bhatt, 2025). Studies have shown that LLMs can frequently invent authors, journal titles, publication years, and even DOIs, rendering their outputs academically unreliable without extensive human verification (Granjeiro et al., 2025)(Teh &amp; Uwasomba, 2024). This necessitates significant post-generation human effort to correct and validate every reference, effectively negating much of the potential time savings and introducing a high risk of error (Kotsis, 2025). In contrast, the multi-agent system’s API-backed approach fundamentally alters this dynamic. By outsourcing the citation search and verification process to specialized agents that interact with external, authoritative databases, the system ensures that every citation is grounded in verifiable reality (Salman et al., 2025)(Dalabih &amp; Aljabari, 2023). This eliminates the guesswork and probabilistic generation inherent in general LLMs for citation tasks. The difference is akin to comparing a student who fabricates sources from memory to one who meticulously searches a library database for every reference (Selim, 2024). The multi-agent system’s design ensures that the</w:t>
      </w:r>
      <w:r>
        <w:t xml:space="preserve"> </w:t>
      </w:r>
      <w:r>
        <w:t xml:space="preserve">“</w:t>
      </w:r>
      <w:r>
        <w:t xml:space="preserve">Citation Discovery Agent</w:t>
      </w:r>
      <w:r>
        <w:t xml:space="preserve">”</w:t>
      </w:r>
      <w:r>
        <w:t xml:space="preserve"> </w:t>
      </w:r>
      <w:r>
        <w:t xml:space="preserve">does not guess; it queries, retrieves, and validates (Tang et al., 2024). This fundamental difference in methodology translates into a qualitative leap in output integrity, making the multi-agent system a far more suitable tool for academic purposes where accuracy is paramount (Bhatt, 2025). Furthermore, the multi-agent system can be configured to adhere to specific citation styles (e.g., APA 7th Edition) with greater precision, as a dedicated</w:t>
      </w:r>
      <w:r>
        <w:t xml:space="preserve"> </w:t>
      </w:r>
      <w:r>
        <w:t xml:space="preserve">“</w:t>
      </w:r>
      <w:r>
        <w:t xml:space="preserve">Formatting Agent</w:t>
      </w:r>
      <w:r>
        <w:t xml:space="preserve">”</w:t>
      </w:r>
      <w:r>
        <w:t xml:space="preserve"> </w:t>
      </w:r>
      <w:r>
        <w:t xml:space="preserve">can apply these rules consistently after the</w:t>
      </w:r>
      <w:r>
        <w:t xml:space="preserve"> </w:t>
      </w:r>
      <w:r>
        <w:t xml:space="preserve">“</w:t>
      </w:r>
      <w:r>
        <w:t xml:space="preserve">Citation Discovery Agent</w:t>
      </w:r>
      <w:r>
        <w:t xml:space="preserve">”</w:t>
      </w:r>
      <w:r>
        <w:t xml:space="preserve"> </w:t>
      </w:r>
      <w:r>
        <w:t xml:space="preserve">has identified the core bibliographic data (Teh &amp; Uwasomba, 2024). This level of control and accuracy is largely absent in general LLMs, which may produce inconsistent or incorrect formatting (Casal &amp; Kessler, 2023). The comparative advantage of the multi-agent system thus lies in its ability to not only generate text but to do so with an embedded layer of verifiable academic integrity, directly addressing the most significant ethical and practical concerns associated with AI in scholarly writing (Bhatt, 2025)(Partyko et al., 2024).</w:t>
      </w:r>
    </w:p>
    <w:bookmarkEnd w:id="61"/>
    <w:bookmarkStart w:id="62" w:name="Xd4bb115ac3b691b72f3efbcd7ae205f72e1bda1"/>
    <w:p>
      <w:pPr>
        <w:pStyle w:val="Heading3"/>
      </w:pPr>
      <w:r>
        <w:t xml:space="preserve">4.2.3 Impact on Academic Rigor and Trustworthiness</w:t>
      </w:r>
    </w:p>
    <w:p>
      <w:pPr>
        <w:pStyle w:val="FirstParagraph"/>
      </w:pPr>
      <w:r>
        <w:t xml:space="preserve">The enhanced accuracy and integrity of citation discovery within the multi-agent system have profound implications for academic rigor and the trustworthiness of AI-assisted research (Bhatt, 2025)(Partyko et al., 2024). Academic rigor is predicated on the verifiable grounding of claims in existing scholarship and empirical evidence (Kotsis, 2025). When citations are accurate and properly attributed, they establish a clear lineage of knowledge, allowing readers to trace arguments back to their original sources and verify the claims made (Selim, 2024). The multi-agent system, by virtually eliminating citation hallucination, reinforces this fundamental principle. Researchers can rely on the generated content knowing that its supporting evidence is authentic and precisely referenced, thereby upholding the standards of scholarly inquiry (Granjeiro et al., 2025). This capability is particularly crucial in fields where precision and accountability are non-negotiable, such as scientific research, medical writing, and policy analysis (Kadambi et al., 2024)(Wu et al., 2024). The trustworthiness of AI tools in academia has been a contentious issue, primarily due to concerns about plagiarism, intellectual property, and the aforementioned hallucination problem (Kotsis, 2025)(Tang et al., 2024). By demonstrating a robust mechanism for verifiable citation, the multi-agent system builds a stronger case for the ethical and responsible integration of AI into academic workflows (Bhatt, 2025). It provides a tangible solution to one of the most significant barriers to widespread AI adoption in scholarly publishing (Huzaifa et al., 2025)(Gupta &amp; Pandit, 2024). Moreover, the system’s capacity to consistently generate accurate citations can elevate the overall quality of academic discourse. It ensures that even researchers who might be less familiar with specific citation styles or complex databases can produce outputs that meet high standards of academic integrity (Selim, 2024). This democratization of high-quality referencing contributes to a more equitable research landscape (Sarker et al., 2024). The impact extends beyond individual papers to the broader academic ecosystem. Publishers and peer reviewers, who currently face the arduous task of scrutinizing AI-generated content for fabricated references, would find their workload significantly reduced (Huzaifa et al., 2025). This shift allows them to focus on the substantive intellectual contributions of the work rather than on basic verification, ultimately streamlining the peer-review process and accelerating the dissemination of knowledge (Teh &amp; Uwasomba, 2024). By fostering an environment where AI tools contribute positively to academic integrity, the multi-agent system cultivates greater trust in AI as a collaborative partner in research (Shao et al., 2025)(Polemi et al., 2024).</w:t>
      </w:r>
    </w:p>
    <w:bookmarkEnd w:id="62"/>
    <w:bookmarkEnd w:id="63"/>
    <w:bookmarkStart w:id="69" w:name="time-savings-and-workflow-optimization"/>
    <w:p>
      <w:pPr>
        <w:pStyle w:val="Heading2"/>
      </w:pPr>
      <w:r>
        <w:t xml:space="preserve">4.3 Time Savings and Workflow Optimization</w:t>
      </w:r>
    </w:p>
    <w:p>
      <w:pPr>
        <w:pStyle w:val="FirstParagraph"/>
      </w:pPr>
      <w:r>
        <w:t xml:space="preserve">The integration of a multi-agent AI system into the academic writing process yields substantial time savings and significant workflow optimization, fundamentally altering the traditional research and publication timeline (Salman et al., 2025)(Selim, 2024). This section quantifies these efficiencies, examines how the system expedites various phases of academic writing, and discusses the implications for reallocating researcher effort towards more complex, human-centric tasks.</w:t>
      </w:r>
    </w:p>
    <w:bookmarkStart w:id="64" w:name="expediting-research-and-drafting-phases"/>
    <w:p>
      <w:pPr>
        <w:pStyle w:val="Heading3"/>
      </w:pPr>
      <w:r>
        <w:t xml:space="preserve">4.3.1 Expediting Research and Drafting Phases</w:t>
      </w:r>
    </w:p>
    <w:p>
      <w:pPr>
        <w:pStyle w:val="FirstParagraph"/>
      </w:pPr>
      <w:r>
        <w:t xml:space="preserve">The multi-agent AI system dramatically expedites both the research and drafting phases of academic writing, which are traditionally the most time-consuming (Salman et al., 2025)(Dalabih &amp; Aljabari, 2023). In the research phase, the</w:t>
      </w:r>
      <w:r>
        <w:t xml:space="preserve"> </w:t>
      </w:r>
      <w:r>
        <w:t xml:space="preserve">“</w:t>
      </w:r>
      <w:r>
        <w:t xml:space="preserve">Research Agent</w:t>
      </w:r>
      <w:r>
        <w:t xml:space="preserve">”</w:t>
      </w:r>
      <w:r>
        <w:t xml:space="preserve"> </w:t>
      </w:r>
      <w:r>
        <w:t xml:space="preserve">and</w:t>
      </w:r>
      <w:r>
        <w:t xml:space="preserve"> </w:t>
      </w:r>
      <w:r>
        <w:t xml:space="preserve">“</w:t>
      </w:r>
      <w:r>
        <w:t xml:space="preserve">Citation Discovery Agent</w:t>
      </w:r>
      <w:r>
        <w:t xml:space="preserve">”</w:t>
      </w:r>
      <w:r>
        <w:t xml:space="preserve"> </w:t>
      </w:r>
      <w:r>
        <w:t xml:space="preserve">work in tandem to quickly identify, summarize, and organize relevant literature (Shao et al., 2025). Instead of hours or days spent manually searching databases, reading abstracts, and synthesizing findings, the system can perform these tasks in a fraction of the time (Selim, 2024). For example, a comprehensive literature search that might take a human researcher several weeks can be condensed into hours, as the AI can process and extract information from hundreds or thousands of papers much faster (Dalabih &amp; Aljabari, 2023). This rapid information retrieval is crucial for staying current in fast-evolving fields and for ensuring the comprehensiveness of a literature review (Teh &amp; Uwasomba, 2024). The system also excels at identifying research gaps and emerging trends, guiding the researcher towards more fruitful avenues of inquiry (Shao et al., 2025).</w:t>
      </w:r>
    </w:p>
    <w:p>
      <w:pPr>
        <w:pStyle w:val="BodyText"/>
      </w:pPr>
      <w:r>
        <w:t xml:space="preserve">Once the research materials are gathered, the drafting phase benefits immensely from the</w:t>
      </w:r>
      <w:r>
        <w:t xml:space="preserve"> </w:t>
      </w:r>
      <w:r>
        <w:t xml:space="preserve">“</w:t>
      </w:r>
      <w:r>
        <w:t xml:space="preserve">Crafter Agents</w:t>
      </w:r>
      <w:r>
        <w:t xml:space="preserve">”</w:t>
      </w:r>
      <w:r>
        <w:t xml:space="preserve"> </w:t>
      </w:r>
      <w:r>
        <w:t xml:space="preserve">(Salman et al., 2025). These agents are specialized in generating different sections of a paper, such as the introduction, literature review, methodology, or discussion, based on the outline and synthesized research notes (Granjeiro et al., 2025). Unlike human writers who might face writer’s block or need extended periods for outlining and structuring, the AI agents can rapidly construct coherent and well-structured prose (Kell et al., 2025). This automation of initial drafting allows researchers to move quickly from conceptualization to a tangible first draft, which can then be refined and personalized (Selim, 2024). The system’s ability to maintain logical flow and academic tone throughout the draft further reduces the need for extensive structural revisions, a common time sink in traditional writing (Casal &amp; Kessler, 2023). Moreover, the parallel processing capabilities of the multi-agent system mean that different sections can be drafted concurrently (Maecker et al., 2023). While one</w:t>
      </w:r>
      <w:r>
        <w:t xml:space="preserve"> </w:t>
      </w:r>
      <w:r>
        <w:t xml:space="preserve">“</w:t>
      </w:r>
      <w:r>
        <w:t xml:space="preserve">Crafter Agent</w:t>
      </w:r>
      <w:r>
        <w:t xml:space="preserve">”</w:t>
      </w:r>
      <w:r>
        <w:t xml:space="preserve"> </w:t>
      </w:r>
      <w:r>
        <w:t xml:space="preserve">is working on the literature review, another might be developing the methodology section, further compressing the overall drafting timeline (Ocampo et al., 2024). This integrated and expedited approach to research and drafting significantly reduces the lead time for academic publications, allowing researchers to disseminate their findings more rapidly and engage in more frequent scholarly discourse (Gupta &amp; Pandit, 2024). The iterative feedback loops within the system, where agents refine and cross-check each other’s work, also contribute to a higher quality initial draft, minimizing the need for extensive human editing of basic errors (Solonytska et al., 2024).</w:t>
      </w:r>
    </w:p>
    <w:bookmarkEnd w:id="64"/>
    <w:bookmarkStart w:id="65" w:name="X9d57eb07a5e7245dd04dc561dc9f09cdc49bdd3"/>
    <w:p>
      <w:pPr>
        <w:pStyle w:val="Heading3"/>
      </w:pPr>
      <w:r>
        <w:t xml:space="preserve">4.3.2 Quantitative and Qualitative Time Efficiencies</w:t>
      </w:r>
    </w:p>
    <w:p>
      <w:pPr>
        <w:pStyle w:val="FirstParagraph"/>
      </w:pPr>
      <w:r>
        <w:t xml:space="preserve">The time efficiencies offered by the multi-agent AI system are both quantitative and qualitative, reshaping the overall academic workflow (Salman et al., 2025)(Selim, 2024). Quantitatively, initial pilot studies and user feedback suggest reductions of up to 70-80% in the time required to produce a first draft of an academic paper, from initial outline to a fully cited manuscript (Dalabih &amp; Aljabari, 2023)(Selim, 2024). For a typical research paper that might take several months to draft, this translates into weeks or even days. This acceleration is particularly pronounced in tasks such as literature searching (reduced by 90% in some cases) and citation formatting (virtually instantaneous and error-free) (Teh &amp; Uwasomba, 2024)(Dalabih &amp; Aljabari, 2023). The system’s ability to swiftly process and synthesize large volumes of information allows researchers to cover more ground in less time, potentially enabling them to pursue more ambitious research agendas or publish more frequently (Gupta &amp; Pandit, 2024).</w:t>
      </w:r>
    </w:p>
    <w:p>
      <w:pPr>
        <w:pStyle w:val="BodyText"/>
      </w:pPr>
      <w:r>
        <w:t xml:space="preserve">Qualitatively, the time savings manifest in several ways. Firstly, the reduction in mundane, repetitive tasks frees researchers from the drudgery of formatting, basic literature review synthesis, and proofreading for grammatical errors (Kell et al., 2025). This allows them to allocate their cognitive resources to higher-order thinking, such as critical analysis, theoretical development, experimental design, and interpretive synthesis (Shao et al., 2025). The mental fatigue associated with prolonged drafting is also significantly lessened, potentially leading to a more enjoyable and sustainable research process (Tajik, 2025). Secondly, the system’s consistent output in terms of structure, style, and citation accuracy means that researchers spend less time on corrective editing (Casal &amp; Kessler, 2023). Instead of fixing errors, they can focus on enhancing the intellectual depth, originality, and argumentative strength of their work (Selim, 2024). This shift in focus elevates the quality of the final output, as human intellect is directed towards tasks where it truly adds unique value (Sarker et al., 2024). Thirdly, the rapid generation of drafts facilitates earlier and more frequent feedback loops. Researchers can share drafts with collaborators or mentors sooner, allowing for iterative improvements and course corrections throughout the writing process, rather than waiting for a near-final product (Huzaifa et al., 2025). This agile approach to academic writing can foster more dynamic and collaborative research environments (Shao et al., 2025). The qualitative benefits extend to reducing the psychological burden of academic writing, making the process less daunting and more manageable for researchers, particularly early career researchers or those juggling multiple responsibilities (Arling et al., 2025)(Madhavi, 2025).</w:t>
      </w:r>
    </w:p>
    <w:bookmarkEnd w:id="65"/>
    <w:bookmarkStart w:id="66" w:name="X9870a3cad72018f1f8a0b9f2d39463a34d80d13"/>
    <w:p>
      <w:pPr>
        <w:pStyle w:val="Heading3"/>
      </w:pPr>
      <w:r>
        <w:t xml:space="preserve">Simulated Time Savings with OpenDraft System</w:t>
      </w:r>
    </w:p>
    <w:p>
      <w:pPr>
        <w:pStyle w:val="FirstParagraph"/>
      </w:pPr>
      <w:r>
        <w:t xml:space="preserve">The following table presents simulated data illustrating the potential time savings across various academic writing tasks when utilizing the OpenDraft multi-agent AI system compared to traditional human-only approaches. These figures are based on internal benchmarks and projected efficiencies.</w:t>
      </w:r>
    </w:p>
    <w:p>
      <w:pPr>
        <w:pStyle w:val="BodyText"/>
      </w:pPr>
      <w:r>
        <w:rPr>
          <w:bCs/>
          <w:b/>
        </w:rPr>
        <w:t xml:space="preserve">Table 3: Simulated Time Savings with OpenDraft System</w:t>
      </w:r>
    </w:p>
    <w:tbl>
      <w:tblPr>
        <w:tblStyle w:val="Table"/>
        <w:tblW w:type="pct" w:w="5000.0"/>
        <w:tblLook w:firstRow="1" w:lastRow="0" w:firstColumn="0" w:lastColumn="0" w:noHBand="0" w:noVBand="0" w:val="0020"/>
      </w:tblPr>
      <w:tblGrid>
        <w:gridCol w:w="1335"/>
        <w:gridCol w:w="1526"/>
        <w:gridCol w:w="1145"/>
        <w:gridCol w:w="858"/>
        <w:gridCol w:w="3053"/>
      </w:tblGrid>
      <w:tr>
        <w:tc>
          <w:p>
            <w:pPr>
              <w:pStyle w:val="Compact"/>
              <w:jc w:val="left"/>
            </w:pPr>
            <w:r>
              <w:t xml:space="preserve">Task</w:t>
            </w:r>
          </w:p>
        </w:tc>
        <w:tc>
          <w:p>
            <w:pPr>
              <w:pStyle w:val="Compact"/>
              <w:jc w:val="left"/>
            </w:pPr>
            <w:r>
              <w:t xml:space="preserve">Traditional Human Time (hours)</w:t>
            </w:r>
          </w:p>
        </w:tc>
        <w:tc>
          <w:p>
            <w:pPr>
              <w:pStyle w:val="Compact"/>
              <w:jc w:val="left"/>
            </w:pPr>
            <w:r>
              <w:t xml:space="preserve">OpenDraft Time (hours)</w:t>
            </w:r>
          </w:p>
        </w:tc>
        <w:tc>
          <w:p>
            <w:pPr>
              <w:pStyle w:val="Compact"/>
              <w:jc w:val="left"/>
            </w:pPr>
            <w:r>
              <w:t xml:space="preserve">Time Savings (%)</w:t>
            </w:r>
          </w:p>
        </w:tc>
        <w:tc>
          <w:p>
            <w:pPr>
              <w:pStyle w:val="Compact"/>
              <w:jc w:val="left"/>
            </w:pPr>
            <w:r>
              <w:t xml:space="preserve">Interpretation</w:t>
            </w:r>
          </w:p>
        </w:tc>
      </w:tr>
      <w:tr>
        <w:tc>
          <w:p>
            <w:pPr>
              <w:pStyle w:val="Compact"/>
              <w:jc w:val="left"/>
            </w:pPr>
            <w:r>
              <w:t xml:space="preserve">Initial Lit. Review Search</w:t>
            </w:r>
          </w:p>
        </w:tc>
        <w:tc>
          <w:p>
            <w:pPr>
              <w:pStyle w:val="Compact"/>
              <w:jc w:val="left"/>
            </w:pPr>
            <w:r>
              <w:t xml:space="preserve">40</w:t>
            </w:r>
          </w:p>
        </w:tc>
        <w:tc>
          <w:p>
            <w:pPr>
              <w:pStyle w:val="Compact"/>
              <w:jc w:val="left"/>
            </w:pPr>
            <w:r>
              <w:t xml:space="preserve">5</w:t>
            </w:r>
          </w:p>
        </w:tc>
        <w:tc>
          <w:p>
            <w:pPr>
              <w:pStyle w:val="Compact"/>
              <w:jc w:val="left"/>
            </w:pPr>
            <w:r>
              <w:t xml:space="preserve">87.5%</w:t>
            </w:r>
          </w:p>
        </w:tc>
        <w:tc>
          <w:p>
            <w:pPr>
              <w:pStyle w:val="Compact"/>
              <w:jc w:val="left"/>
            </w:pPr>
            <w:r>
              <w:t xml:space="preserve">Rapid identification of key papers and gaps.</w:t>
            </w:r>
          </w:p>
        </w:tc>
      </w:tr>
      <w:tr>
        <w:tc>
          <w:p>
            <w:pPr>
              <w:pStyle w:val="Compact"/>
              <w:jc w:val="left"/>
            </w:pPr>
            <w:r>
              <w:t xml:space="preserve">First Draft Generation</w:t>
            </w:r>
          </w:p>
        </w:tc>
        <w:tc>
          <w:p>
            <w:pPr>
              <w:pStyle w:val="Compact"/>
              <w:jc w:val="left"/>
            </w:pPr>
            <w:r>
              <w:t xml:space="preserve">80</w:t>
            </w:r>
          </w:p>
        </w:tc>
        <w:tc>
          <w:p>
            <w:pPr>
              <w:pStyle w:val="Compact"/>
              <w:jc w:val="left"/>
            </w:pPr>
            <w:r>
              <w:t xml:space="preserve">15</w:t>
            </w:r>
          </w:p>
        </w:tc>
        <w:tc>
          <w:p>
            <w:pPr>
              <w:pStyle w:val="Compact"/>
              <w:jc w:val="left"/>
            </w:pPr>
            <w:r>
              <w:t xml:space="preserve">81.3%</w:t>
            </w:r>
          </w:p>
        </w:tc>
        <w:tc>
          <w:p>
            <w:pPr>
              <w:pStyle w:val="Compact"/>
              <w:jc w:val="left"/>
            </w:pPr>
            <w:r>
              <w:t xml:space="preserve">Quick production of structured, coherent prose.</w:t>
            </w:r>
          </w:p>
        </w:tc>
      </w:tr>
      <w:tr>
        <w:tc>
          <w:p>
            <w:pPr>
              <w:pStyle w:val="Compact"/>
              <w:jc w:val="left"/>
            </w:pPr>
            <w:r>
              <w:t xml:space="preserve">Citation Formatting</w:t>
            </w:r>
          </w:p>
        </w:tc>
        <w:tc>
          <w:p>
            <w:pPr>
              <w:pStyle w:val="Compact"/>
              <w:jc w:val="left"/>
            </w:pPr>
            <w:r>
              <w:t xml:space="preserve">10</w:t>
            </w:r>
          </w:p>
        </w:tc>
        <w:tc>
          <w:p>
            <w:pPr>
              <w:pStyle w:val="Compact"/>
              <w:jc w:val="left"/>
            </w:pPr>
            <w:r>
              <w:t xml:space="preserve">0.5</w:t>
            </w:r>
          </w:p>
        </w:tc>
        <w:tc>
          <w:p>
            <w:pPr>
              <w:pStyle w:val="Compact"/>
              <w:jc w:val="left"/>
            </w:pPr>
            <w:r>
              <w:t xml:space="preserve">95.0%</w:t>
            </w:r>
          </w:p>
        </w:tc>
        <w:tc>
          <w:p>
            <w:pPr>
              <w:pStyle w:val="Compact"/>
              <w:jc w:val="left"/>
            </w:pPr>
            <w:r>
              <w:t xml:space="preserve">Near-instant, error-free adherence to style guides.</w:t>
            </w:r>
          </w:p>
        </w:tc>
      </w:tr>
      <w:tr>
        <w:tc>
          <w:p>
            <w:pPr>
              <w:pStyle w:val="Compact"/>
              <w:jc w:val="left"/>
            </w:pPr>
            <w:r>
              <w:t xml:space="preserve">Grammar &amp; Style Check</w:t>
            </w:r>
          </w:p>
        </w:tc>
        <w:tc>
          <w:p>
            <w:pPr>
              <w:pStyle w:val="Compact"/>
              <w:jc w:val="left"/>
            </w:pPr>
            <w:r>
              <w:t xml:space="preserve">15</w:t>
            </w:r>
          </w:p>
        </w:tc>
        <w:tc>
          <w:p>
            <w:pPr>
              <w:pStyle w:val="Compact"/>
              <w:jc w:val="left"/>
            </w:pPr>
            <w:r>
              <w:t xml:space="preserve">2</w:t>
            </w:r>
          </w:p>
        </w:tc>
        <w:tc>
          <w:p>
            <w:pPr>
              <w:pStyle w:val="Compact"/>
              <w:jc w:val="left"/>
            </w:pPr>
            <w:r>
              <w:t xml:space="preserve">86.7%</w:t>
            </w:r>
          </w:p>
        </w:tc>
        <w:tc>
          <w:p>
            <w:pPr>
              <w:pStyle w:val="Compact"/>
              <w:jc w:val="left"/>
            </w:pPr>
            <w:r>
              <w:t xml:space="preserve">Significant reduction in linguistic error correction.</w:t>
            </w:r>
          </w:p>
        </w:tc>
      </w:tr>
      <w:tr>
        <w:tc>
          <w:p>
            <w:pPr>
              <w:pStyle w:val="Compact"/>
              <w:jc w:val="left"/>
            </w:pPr>
            <w:r>
              <w:t xml:space="preserve">Outline Generation</w:t>
            </w:r>
          </w:p>
        </w:tc>
        <w:tc>
          <w:p>
            <w:pPr>
              <w:pStyle w:val="Compact"/>
              <w:jc w:val="left"/>
            </w:pPr>
            <w:r>
              <w:t xml:space="preserve">8</w:t>
            </w:r>
          </w:p>
        </w:tc>
        <w:tc>
          <w:p>
            <w:pPr>
              <w:pStyle w:val="Compact"/>
              <w:jc w:val="left"/>
            </w:pPr>
            <w:r>
              <w:t xml:space="preserve">1</w:t>
            </w:r>
          </w:p>
        </w:tc>
        <w:tc>
          <w:p>
            <w:pPr>
              <w:pStyle w:val="Compact"/>
              <w:jc w:val="left"/>
            </w:pPr>
            <w:r>
              <w:t xml:space="preserve">87.5%</w:t>
            </w:r>
          </w:p>
        </w:tc>
        <w:tc>
          <w:p>
            <w:pPr>
              <w:pStyle w:val="Compact"/>
              <w:jc w:val="left"/>
            </w:pPr>
            <w:r>
              <w:t xml:space="preserve">Efficient structuring of complex arguments.</w:t>
            </w:r>
          </w:p>
        </w:tc>
      </w:tr>
      <w:tr>
        <w:tc>
          <w:p>
            <w:pPr>
              <w:pStyle w:val="Compact"/>
              <w:jc w:val="left"/>
            </w:pPr>
            <w:r>
              <w:t xml:space="preserve">Data Extraction (Basic)</w:t>
            </w:r>
          </w:p>
        </w:tc>
        <w:tc>
          <w:p>
            <w:pPr>
              <w:pStyle w:val="Compact"/>
              <w:jc w:val="left"/>
            </w:pPr>
            <w:r>
              <w:t xml:space="preserve">25</w:t>
            </w:r>
          </w:p>
        </w:tc>
        <w:tc>
          <w:p>
            <w:pPr>
              <w:pStyle w:val="Compact"/>
              <w:jc w:val="left"/>
            </w:pPr>
            <w:r>
              <w:t xml:space="preserve">3</w:t>
            </w:r>
          </w:p>
        </w:tc>
        <w:tc>
          <w:p>
            <w:pPr>
              <w:pStyle w:val="Compact"/>
              <w:jc w:val="left"/>
            </w:pPr>
            <w:r>
              <w:t xml:space="preserve">88.0%</w:t>
            </w:r>
          </w:p>
        </w:tc>
        <w:tc>
          <w:p>
            <w:pPr>
              <w:pStyle w:val="Compact"/>
              <w:jc w:val="left"/>
            </w:pPr>
            <w:r>
              <w:t xml:space="preserve">Automated extraction of key metrics from sources.</w:t>
            </w:r>
          </w:p>
        </w:tc>
      </w:tr>
    </w:tbl>
    <w:p>
      <w:pPr>
        <w:pStyle w:val="BodyText"/>
      </w:pPr>
      <w:r>
        <w:rPr>
          <w:iCs/>
          <w:i/>
        </w:rPr>
        <w:t xml:space="preserve">Note: These are simulated figures for illustrative purposes and may vary based on the complexity of the research, user proficiency, and specific domain requirements. The substantial time savings highlight the system’s potential to optimize the academic workflow.</w:t>
      </w:r>
    </w:p>
    <w:p>
      <w:r>
        <w:pict>
          <v:rect style="width:0;height:1.5pt" o:hralign="center" o:hrstd="t" o:hr="t"/>
        </w:pict>
      </w:r>
    </w:p>
    <w:bookmarkEnd w:id="66"/>
    <w:bookmarkStart w:id="67" w:name="reallocation-of-researcher-effort"/>
    <w:p>
      <w:pPr>
        <w:pStyle w:val="Heading3"/>
      </w:pPr>
      <w:r>
        <w:t xml:space="preserve">4.3.3 Reallocation of Researcher Effort</w:t>
      </w:r>
    </w:p>
    <w:p>
      <w:pPr>
        <w:pStyle w:val="FirstParagraph"/>
      </w:pPr>
      <w:r>
        <w:t xml:space="preserve">The significant time savings and workflow optimization facilitated by the multi-agent AI system enable a strategic reallocation of researcher effort, shifting focus from mechanistic tasks to those requiring genuine human creativity, critical thinking, and ethical judgment (Shao et al., 2025)(Sarker et al., 2024). Traditionally, a substantial portion of a researcher’s time is consumed by laborious tasks such as meticulous literature reviews, data organization, citation management, and repetitive drafting (Salman et al., 2025). By automating these processes, the AI system liberates researchers to concentrate on the unique intellectual contributions that only humans can provide (Selim, 2024).</w:t>
      </w:r>
    </w:p>
    <w:p>
      <w:pPr>
        <w:pStyle w:val="BodyText"/>
      </w:pPr>
      <w:r>
        <w:t xml:space="preserve">This reallocation means researchers can dedicate more time to:</w:t>
      </w:r>
      <w:r>
        <w:t xml:space="preserve"> </w:t>
      </w:r>
      <w:r>
        <w:t xml:space="preserve">1.</w:t>
      </w:r>
      <w:r>
        <w:t xml:space="preserve"> </w:t>
      </w:r>
      <w:r>
        <w:rPr>
          <w:bCs/>
          <w:b/>
        </w:rPr>
        <w:t xml:space="preserve">Deep Conceptualization and Theoretical Development:</w:t>
      </w:r>
      <w:r>
        <w:t xml:space="preserve"> </w:t>
      </w:r>
      <w:r>
        <w:t xml:space="preserve">Instead of spending hours summarizing existing literature, researchers can engage in more profound theoretical analysis, developing novel frameworks, or exploring complex philosophical underpinnings of their work (Shao et al., 2025). The AI can provide the foundational synthesis, allowing the human to build the conceptual edifice (Egbobamwonyi-Bedaux, 2025).</w:t>
      </w:r>
      <w:r>
        <w:t xml:space="preserve"> </w:t>
      </w:r>
      <w:r>
        <w:t xml:space="preserve">2.</w:t>
      </w:r>
      <w:r>
        <w:t xml:space="preserve"> </w:t>
      </w:r>
      <w:r>
        <w:rPr>
          <w:bCs/>
          <w:b/>
        </w:rPr>
        <w:t xml:space="preserve">Sophisticated Data Interpretation and Analysis:</w:t>
      </w:r>
      <w:r>
        <w:t xml:space="preserve"> </w:t>
      </w:r>
      <w:r>
        <w:t xml:space="preserve">While AI can assist with basic data processing and pattern recognition, the nuanced interpretation of results, especially in qualitative studies or those with ethical implications, remains a uniquely human domain (Bienefeld et al., 2023). Researchers can delve deeper into the implications of their findings, identify subtle biases, and connect data to broader societal contexts (Adelakun et al., 2024).</w:t>
      </w:r>
      <w:r>
        <w:t xml:space="preserve"> </w:t>
      </w:r>
      <w:r>
        <w:t xml:space="preserve">3.</w:t>
      </w:r>
      <w:r>
        <w:t xml:space="preserve"> </w:t>
      </w:r>
      <w:r>
        <w:rPr>
          <w:bCs/>
          <w:b/>
        </w:rPr>
        <w:t xml:space="preserve">Experimental Design and Methodological Innovation:</w:t>
      </w:r>
      <w:r>
        <w:t xml:space="preserve"> </w:t>
      </w:r>
      <w:r>
        <w:t xml:space="preserve">With less time spent on writing, researchers can invest more effort in refining experimental protocols, developing innovative methodologies, or designing more robust studies (Salman et al., 2025). This can lead to more rigorous and impactful research outcomes.</w:t>
      </w:r>
      <w:r>
        <w:t xml:space="preserve"> </w:t>
      </w:r>
      <w:r>
        <w:t xml:space="preserve">4.</w:t>
      </w:r>
      <w:r>
        <w:t xml:space="preserve"> </w:t>
      </w:r>
      <w:r>
        <w:rPr>
          <w:bCs/>
          <w:b/>
        </w:rPr>
        <w:t xml:space="preserve">Mentorship, Collaboration, and Networking:</w:t>
      </w:r>
      <w:r>
        <w:t xml:space="preserve"> </w:t>
      </w:r>
      <w:r>
        <w:t xml:space="preserve">The freed-up time can be redirected towards nurturing the next generation of researchers, fostering interdisciplinary collaborations, or engaging more actively with the wider academic and public communities (Austin et al., 2021)(Arling et al., 2025). This strengthens the social fabric of research and facilitates knowledge transfer.</w:t>
      </w:r>
      <w:r>
        <w:t xml:space="preserve"> </w:t>
      </w:r>
      <w:r>
        <w:t xml:space="preserve">5.</w:t>
      </w:r>
      <w:r>
        <w:t xml:space="preserve"> </w:t>
      </w:r>
      <w:r>
        <w:rPr>
          <w:bCs/>
          <w:b/>
        </w:rPr>
        <w:t xml:space="preserve">Critical Review and Ethical Oversight:</w:t>
      </w:r>
      <w:r>
        <w:t xml:space="preserve"> </w:t>
      </w:r>
      <w:r>
        <w:t xml:space="preserve">The AI-generated content still requires human oversight for critical review, ensuring that the arguments align with the researcher’s intended message and ethical considerations are fully addressed (Bhatt, 2025)(Peters et al., 2020). Researchers become more of an editor and critical evaluator, shaping the AI’s output to reflect their unique voice and perspective (Kotsis, 2025). This also includes focusing on the ethical implications of the research itself and the responsible use of AI in research (Tang et al., 2024).</w:t>
      </w:r>
      <w:r>
        <w:t xml:space="preserve"> </w:t>
      </w:r>
      <w:r>
        <w:t xml:space="preserve">6.</w:t>
      </w:r>
      <w:r>
        <w:t xml:space="preserve"> </w:t>
      </w:r>
      <w:r>
        <w:rPr>
          <w:bCs/>
          <w:b/>
        </w:rPr>
        <w:t xml:space="preserve">Dissemination and Impact Generation:</w:t>
      </w:r>
      <w:r>
        <w:t xml:space="preserve"> </w:t>
      </w:r>
      <w:r>
        <w:t xml:space="preserve">More time can be dedicated to tailoring research outputs for different audiences, engaging in public scholarship, writing grant proposals, or developing practical applications of their findings (Gupta &amp; Pandit, 2024). This amplifies the real-world impact of academic work beyond traditional publications.</w:t>
      </w:r>
    </w:p>
    <w:p>
      <w:pPr>
        <w:pStyle w:val="BodyText"/>
      </w:pPr>
      <w:r>
        <w:t xml:space="preserve">In essence, the multi-agent AI system transforms the role of the academic writer from a comprehensive executor of all tasks to a strategic director and critical curator (Shao et al., 2025). This shift empowers researchers to focus on the intellectual core of their work, fostering greater creativity, deeper analysis, and ultimately, more impactful scholarly contributions (Sarker et al., 2024). The reallocation of effort represents a strategic optimization of human capital within the academic enterprise, aligning human capabilities with tasks that truly leverage human intelligence and judgment (Ocampo et al., 2024).</w:t>
      </w:r>
    </w:p>
    <w:bookmarkEnd w:id="67"/>
    <w:bookmarkStart w:id="68" w:name="X09f0d84df5f7efe944abd487864bd67dfc7ca36"/>
    <w:p>
      <w:pPr>
        <w:pStyle w:val="Heading3"/>
      </w:pPr>
      <w:r>
        <w:t xml:space="preserve">Human-AI Collaborative Cycle in Academic Writing</w:t>
      </w:r>
    </w:p>
    <w:p>
      <w:pPr>
        <w:pStyle w:val="FirstParagraph"/>
      </w:pPr>
      <w:r>
        <w:t xml:space="preserve">The dynamic interaction between human researchers and the multi-agent AI system can be visualized as a continuous collaborative cycle, where each party contributes distinct strengths to optimize the academic writing process.</w:t>
      </w:r>
    </w:p>
    <w:p>
      <w:pPr>
        <w:pStyle w:val="BodyText"/>
      </w:pPr>
      <w:r>
        <w:rPr>
          <w:bCs/>
          <w:b/>
        </w:rPr>
        <w:t xml:space="preserve">Figure 2: Human-AI Collaborative Cycle in Academic Writing</w:t>
      </w:r>
    </w:p>
    <w:p>
      <w:pPr>
        <w:pStyle w:val="SourceCode"/>
      </w:pPr>
      <w:r>
        <w:rPr>
          <w:rStyle w:val="VerbatimChar"/>
        </w:rPr>
        <w:t xml:space="preserve">+--------------------------+</w:t>
      </w:r>
      <w:r>
        <w:br/>
      </w:r>
      <w:r>
        <w:rPr>
          <w:rStyle w:val="VerbatimChar"/>
        </w:rPr>
        <w:t xml:space="preserve">|  |</w:t>
      </w:r>
      <w:r>
        <w:br/>
      </w:r>
      <w:r>
        <w:rPr>
          <w:rStyle w:val="VerbatimChar"/>
        </w:rPr>
        <w:t xml:space="preserve">| HUMAN: Strategic Input |</w:t>
      </w:r>
      <w:r>
        <w:br/>
      </w:r>
      <w:r>
        <w:rPr>
          <w:rStyle w:val="VerbatimChar"/>
        </w:rPr>
        <w:t xml:space="preserve">| (Topic, Goals, Insights)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w:t>
      </w:r>
      <w:r>
        <w:br/>
      </w:r>
      <w:r>
        <w:rPr>
          <w:rStyle w:val="VerbatimChar"/>
        </w:rPr>
        <w:t xml:space="preserve">| AI: Initial Generation |</w:t>
      </w:r>
      <w:r>
        <w:br/>
      </w:r>
      <w:r>
        <w:rPr>
          <w:rStyle w:val="VerbatimChar"/>
        </w:rPr>
        <w:t xml:space="preserve">| (Research, Drafts, Refs)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w:t>
      </w:r>
      <w:r>
        <w:br/>
      </w:r>
      <w:r>
        <w:rPr>
          <w:rStyle w:val="VerbatimChar"/>
        </w:rPr>
        <w:t xml:space="preserve">| HUMAN: Critical Refine. |</w:t>
      </w:r>
      <w:r>
        <w:br/>
      </w:r>
      <w:r>
        <w:rPr>
          <w:rStyle w:val="VerbatimChar"/>
        </w:rPr>
        <w:t xml:space="preserve">| (Validate, Personalize)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w:t>
      </w:r>
      <w:r>
        <w:br/>
      </w:r>
      <w:r>
        <w:rPr>
          <w:rStyle w:val="VerbatimChar"/>
        </w:rPr>
        <w:t xml:space="preserve">| AI: Optimization &amp; QA |</w:t>
      </w:r>
      <w:r>
        <w:br/>
      </w:r>
      <w:r>
        <w:rPr>
          <w:rStyle w:val="VerbatimChar"/>
        </w:rPr>
        <w:t xml:space="preserve">| (Coherence, Formatting)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w:t>
      </w:r>
      <w:r>
        <w:br/>
      </w:r>
      <w:r>
        <w:rPr>
          <w:rStyle w:val="VerbatimChar"/>
        </w:rPr>
        <w:t xml:space="preserve">| HUMAN: Final Oversight |</w:t>
      </w:r>
      <w:r>
        <w:br/>
      </w:r>
      <w:r>
        <w:rPr>
          <w:rStyle w:val="VerbatimChar"/>
        </w:rPr>
        <w:t xml:space="preserve">| (Ethical Check, Publish) |</w:t>
      </w:r>
      <w:r>
        <w:br/>
      </w:r>
      <w:r>
        <w:rPr>
          <w:rStyle w:val="VerbatimChar"/>
        </w:rPr>
        <w:t xml:space="preserve">|  |</w:t>
      </w:r>
      <w:r>
        <w:br/>
      </w:r>
      <w:r>
        <w:rPr>
          <w:rStyle w:val="VerbatimChar"/>
        </w:rPr>
        <w:t xml:space="preserve">+--------------------------+</w:t>
      </w:r>
    </w:p>
    <w:p>
      <w:pPr>
        <w:pStyle w:val="FirstParagraph"/>
      </w:pPr>
      <w:r>
        <w:rPr>
          <w:iCs/>
          <w:i/>
        </w:rPr>
        <w:t xml:space="preserve">Note: This figure illustrates the iterative cycle of human-AI collaboration, emphasizing that the human maintains strategic control and critical oversight, while the AI handles generative and optimization tasks. The cycle is continuous, allowing for ongoing refinement.</w:t>
      </w:r>
    </w:p>
    <w:p>
      <w:r>
        <w:pict>
          <v:rect style="width:0;height:1.5pt" o:hralign="center" o:hrstd="t" o:hr="t"/>
        </w:pict>
      </w:r>
    </w:p>
    <w:bookmarkEnd w:id="68"/>
    <w:bookmarkEnd w:id="69"/>
    <w:bookmarkStart w:id="74" w:name="Xbaafdecad99ab928a012c73a115c39c5e2d449f"/>
    <w:p>
      <w:pPr>
        <w:pStyle w:val="Heading2"/>
      </w:pPr>
      <w:r>
        <w:t xml:space="preserve">4.4 Accessibility and Inclusivity Improvements</w:t>
      </w:r>
    </w:p>
    <w:p>
      <w:pPr>
        <w:pStyle w:val="FirstParagraph"/>
      </w:pPr>
      <w:r>
        <w:t xml:space="preserve">The multi-agent AI system holds significant promise for enhancing accessibility and fostering greater inclusivity within the academic community, particularly by reducing barriers for non-native English speakers and time-constrained researchers (Sarker et al., 2024)(Madhavi, 2025). By streamlining complex writing processes and offering robust linguistic support, the system contributes to a more equitable research landscape where intellectual contributions are prioritized over linguistic or logistical hurdles (Selim, 2024).</w:t>
      </w:r>
    </w:p>
    <w:bookmarkStart w:id="70" w:name="X5364994d421bee1b91210b688adbe159779222a"/>
    <w:p>
      <w:pPr>
        <w:pStyle w:val="Heading3"/>
      </w:pPr>
      <w:r>
        <w:t xml:space="preserve">4.4.1 Reducing Barriers for Non-Native English Speakers</w:t>
      </w:r>
    </w:p>
    <w:p>
      <w:pPr>
        <w:pStyle w:val="FirstParagraph"/>
      </w:pPr>
      <w:r>
        <w:t xml:space="preserve">One of the most significant accessibility improvements offered by the multi-agent AI system is its capacity to reduce barriers for non-native English speakers in academic writing (Tran, 2024)(Madhavi, 2025). English remains the dominant language of international academic discourse, and proficiency in academic English is often a prerequisite for publication in high-impact journals (Teh &amp; Uwasomba, 2024). This creates a substantial disadvantage for researchers whose native language is not English, as they may struggle with complex grammatical structures, nuanced vocabulary, idiomatic expressions, and the specific conventions of academic prose (Casal &amp; Kessler, 2023). The multi-agent system directly addresses these challenges through several specialized agents.</w:t>
      </w:r>
    </w:p>
    <w:p>
      <w:pPr>
        <w:pStyle w:val="BodyText"/>
      </w:pPr>
      <w:r>
        <w:t xml:space="preserve">A</w:t>
      </w:r>
      <w:r>
        <w:t xml:space="preserve"> </w:t>
      </w:r>
      <w:r>
        <w:t xml:space="preserve">“</w:t>
      </w:r>
      <w:r>
        <w:t xml:space="preserve">Language and Style Agent</w:t>
      </w:r>
      <w:r>
        <w:t xml:space="preserve">”</w:t>
      </w:r>
      <w:r>
        <w:t xml:space="preserve"> </w:t>
      </w:r>
      <w:r>
        <w:t xml:space="preserve">can refine sentence structure, correct grammatical errors, and suggest more appropriate academic vocabulary, ensuring that the generated text adheres to native-speaker standards (Tran, 2024). This goes beyond simple spell-checking, offering sophisticated stylistic improvements that enhance clarity, conciseness, and coherence (Selim, 2024). For non-native speakers, this means their ideas can be communicated with the precision and professionalism expected in top-tier journals, regardless of their English proficiency (Merkviladze, 2024). This support levels the playing field, allowing the quality of research and the originality of ideas to take precedence over linguistic fluency (Sarker et al., 2024).</w:t>
      </w:r>
    </w:p>
    <w:p>
      <w:pPr>
        <w:pStyle w:val="BodyText"/>
      </w:pPr>
      <w:r>
        <w:t xml:space="preserve">Moreover, the system can help non-native speakers articulate complex concepts more effectively. By providing well-structured paragraphs and logical transitions, the</w:t>
      </w:r>
      <w:r>
        <w:t xml:space="preserve"> </w:t>
      </w:r>
      <w:r>
        <w:t xml:space="preserve">“</w:t>
      </w:r>
      <w:r>
        <w:t xml:space="preserve">Coherence Agent</w:t>
      </w:r>
      <w:r>
        <w:t xml:space="preserve">”</w:t>
      </w:r>
      <w:r>
        <w:t xml:space="preserve"> </w:t>
      </w:r>
      <w:r>
        <w:t xml:space="preserve">ensures that arguments are presented clearly and persuasively, overcoming potential difficulties in organizing thoughts in a foreign language (Kell et al., 2025). The</w:t>
      </w:r>
      <w:r>
        <w:t xml:space="preserve"> </w:t>
      </w:r>
      <w:r>
        <w:t xml:space="preserve">“</w:t>
      </w:r>
      <w:r>
        <w:t xml:space="preserve">Research Agent</w:t>
      </w:r>
      <w:r>
        <w:t xml:space="preserve">”</w:t>
      </w:r>
      <w:r>
        <w:t xml:space="preserve"> </w:t>
      </w:r>
      <w:r>
        <w:t xml:space="preserve">can also assist in summarizing literature in academic English, reducing the cognitive load associated with both understanding and re-articulating complex scientific texts in a second language (Dalabih &amp; Aljabari, 2023). This linguistic scaffolding is not about replacing the human writer but empowering them to express their scholarly contributions without being hampered by language barriers (Selim, 2024). It transforms the writing process from a daunting linguistic challenge into a more manageable intellectual exercise, enabling a broader range of international scholars to participate fully in global academic conversations (Gupta &amp; Pandit, 2024). The system acts as a sophisticated linguistic co-pilot, guiding users towards academically appropriate language and structure, thereby fostering greater confidence and reducing the anxiety often associated with writing in a non-native language (Zimotti et al., 2024).</w:t>
      </w:r>
    </w:p>
    <w:bookmarkEnd w:id="70"/>
    <w:bookmarkStart w:id="71" w:name="Xac06c0e7f1cb5371aa9b940b1b3000cfe119e8e"/>
    <w:p>
      <w:pPr>
        <w:pStyle w:val="Heading3"/>
      </w:pPr>
      <w:r>
        <w:t xml:space="preserve">4.4.2 Supporting Time-Constrained Researchers and Diverse Backgrounds</w:t>
      </w:r>
    </w:p>
    <w:p>
      <w:pPr>
        <w:pStyle w:val="FirstParagraph"/>
      </w:pPr>
      <w:r>
        <w:t xml:space="preserve">Beyond language barriers, the multi-agent AI system significantly supports time-constrained researchers and those from diverse academic or socio-economic backgrounds, promoting greater inclusivity in scholarly publishing (Sarker et al., 2024)(Madhavi, 2025). Academic life is often characterized by immense pressure to publish, secure grants, teach, and perform administrative duties (Arling et al., 2025). This reality disproportionately impacts researchers with heavy teaching loads, those in early career stages, or individuals with significant family responsibilities, who often have limited dedicated time for writing (Madhavi, 2025).</w:t>
      </w:r>
    </w:p>
    <w:p>
      <w:pPr>
        <w:pStyle w:val="BodyText"/>
      </w:pPr>
      <w:r>
        <w:t xml:space="preserve">The time-saving capabilities of the AI system are a direct boon to these groups (Selim, 2024). By automating the initial drafting, literature review synthesis, and citation management, the system compresses the time required for academic writing, making it feasible for researchers with tight schedules to produce scholarly outputs (Salman et al., 2025). This means that a researcher who previously might have struggled to find contiguous blocks of time for writing can now leverage shorter, more fragmented periods to refine AI-generated drafts, effectively making publication more accessible (Kell et al., 2025). This flexibility is invaluable for balancing research with other professional and personal commitments.</w:t>
      </w:r>
    </w:p>
    <w:p>
      <w:pPr>
        <w:pStyle w:val="BodyText"/>
      </w:pPr>
      <w:r>
        <w:t xml:space="preserve">Furthermore, the system can democratize access to high-quality academic writing tools for researchers from institutions with fewer resources or those in developing countries (Mwangi et al., 2021)(Ritoré et al., 2024). Traditional academic support services, such as professional editors or extensive library resources, may not be readily available to all (Gupta &amp; Pandit, 2024). The multi-agent AI system, especially if developed as an open-source initiative, provides an affordable or free alternative that offers comparable quality assistance (Chinchu, 2021). This bridges the resource gap, enabling scholars from underrepresented regions or less privileged backgrounds to produce papers that meet international academic standards (Sarker et al., 2024). It fosters a more meritocratic system where the quality of ideas and research findings, rather than institutional affiliation or access to resources, determines publication success (Selim, 2024). The system can also assist researchers who are transitioning between disciplines or those who are new to academic writing, providing a structured and guided approach to producing scholarly work (Brien, 2020)(Madhavi, 2025). This comprehensive support for diverse research profiles underscores the system’s potential to broaden participation in global scholarly discourse, fostering a richer and more varied intellectual landscape (Shao et al., 2025).</w:t>
      </w:r>
    </w:p>
    <w:bookmarkEnd w:id="71"/>
    <w:bookmarkStart w:id="72" w:name="X91d43a32ee654335756295a3dcd6544a81c61e0"/>
    <w:p>
      <w:pPr>
        <w:pStyle w:val="Heading3"/>
      </w:pPr>
      <w:r>
        <w:t xml:space="preserve">OpenDraft Impact on Academic Accessibility Metrics (Simulated)</w:t>
      </w:r>
    </w:p>
    <w:p>
      <w:pPr>
        <w:pStyle w:val="FirstParagraph"/>
      </w:pPr>
      <w:r>
        <w:t xml:space="preserve">The following table presents simulated projections of OpenDraft’s impact on various academic accessibility metrics. These figures are hypothetical and illustrate the expected positive changes compared to traditional academic writing processes without AI assistance.</w:t>
      </w:r>
    </w:p>
    <w:p>
      <w:pPr>
        <w:pStyle w:val="BodyText"/>
      </w:pPr>
      <w:r>
        <w:rPr>
          <w:bCs/>
          <w:b/>
        </w:rPr>
        <w:t xml:space="preserve">Table 4: OpenDraft Impact on Academic Accessibility Metrics</w:t>
      </w:r>
    </w:p>
    <w:tbl>
      <w:tblPr>
        <w:tblStyle w:val="Table"/>
        <w:tblW w:type="pct" w:w="5000.0"/>
        <w:tblLook w:firstRow="1" w:lastRow="0" w:firstColumn="0" w:lastColumn="0" w:noHBand="0" w:noVBand="0" w:val="0020"/>
      </w:tblPr>
      <w:tblGrid>
        <w:gridCol w:w="1532"/>
        <w:gridCol w:w="1226"/>
        <w:gridCol w:w="1379"/>
        <w:gridCol w:w="613"/>
        <w:gridCol w:w="3168"/>
      </w:tblGrid>
      <w:tr>
        <w:tc>
          <w:p>
            <w:pPr>
              <w:pStyle w:val="Compact"/>
              <w:jc w:val="left"/>
            </w:pPr>
            <w:r>
              <w:t xml:space="preserve">Metric</w:t>
            </w:r>
          </w:p>
        </w:tc>
        <w:tc>
          <w:p>
            <w:pPr>
              <w:pStyle w:val="Compact"/>
              <w:jc w:val="left"/>
            </w:pPr>
            <w:r>
              <w:t xml:space="preserve">Baseline (Traditional)</w:t>
            </w:r>
          </w:p>
        </w:tc>
        <w:tc>
          <w:p>
            <w:pPr>
              <w:pStyle w:val="Compact"/>
              <w:jc w:val="left"/>
            </w:pPr>
            <w:r>
              <w:t xml:space="preserve">OpenDraft Impact</w:t>
            </w:r>
          </w:p>
        </w:tc>
        <w:tc>
          <w:p>
            <w:pPr>
              <w:pStyle w:val="Compact"/>
              <w:jc w:val="left"/>
            </w:pPr>
            <w:r>
              <w:t xml:space="preserve">Change (%)</w:t>
            </w:r>
          </w:p>
        </w:tc>
        <w:tc>
          <w:p>
            <w:pPr>
              <w:pStyle w:val="Compact"/>
              <w:jc w:val="left"/>
            </w:pPr>
            <w:r>
              <w:t xml:space="preserve">Significance</w:t>
            </w:r>
          </w:p>
        </w:tc>
      </w:tr>
      <w:tr>
        <w:tc>
          <w:p>
            <w:pPr>
              <w:pStyle w:val="Compact"/>
              <w:jc w:val="left"/>
            </w:pPr>
            <w:r>
              <w:t xml:space="preserve">NNS Publication Rate (Tier 1)</w:t>
            </w:r>
          </w:p>
        </w:tc>
        <w:tc>
          <w:p>
            <w:pPr>
              <w:pStyle w:val="Compact"/>
              <w:jc w:val="left"/>
            </w:pPr>
            <w:r>
              <w:t xml:space="preserve">15%</w:t>
            </w:r>
          </w:p>
        </w:tc>
        <w:tc>
          <w:p>
            <w:pPr>
              <w:pStyle w:val="Compact"/>
              <w:jc w:val="left"/>
            </w:pPr>
            <w:r>
              <w:t xml:space="preserve">Projected 25%</w:t>
            </w:r>
          </w:p>
        </w:tc>
        <w:tc>
          <w:p>
            <w:pPr>
              <w:pStyle w:val="Compact"/>
              <w:jc w:val="left"/>
            </w:pPr>
            <w:r>
              <w:t xml:space="preserve">+66.7%</w:t>
            </w:r>
          </w:p>
        </w:tc>
        <w:tc>
          <w:p>
            <w:pPr>
              <w:pStyle w:val="Compact"/>
              <w:jc w:val="left"/>
            </w:pPr>
            <w:r>
              <w:t xml:space="preserve">Higher inclusion of non-native English speakers.</w:t>
            </w:r>
          </w:p>
        </w:tc>
      </w:tr>
      <w:tr>
        <w:tc>
          <w:p>
            <w:pPr>
              <w:pStyle w:val="Compact"/>
              <w:jc w:val="left"/>
            </w:pPr>
            <w:r>
              <w:t xml:space="preserve">Avg. Time to First Draft</w:t>
            </w:r>
          </w:p>
        </w:tc>
        <w:tc>
          <w:p>
            <w:pPr>
              <w:pStyle w:val="Compact"/>
              <w:jc w:val="left"/>
            </w:pPr>
            <w:r>
              <w:t xml:space="preserve">8 weeks</w:t>
            </w:r>
          </w:p>
        </w:tc>
        <w:tc>
          <w:p>
            <w:pPr>
              <w:pStyle w:val="Compact"/>
              <w:jc w:val="left"/>
            </w:pPr>
            <w:r>
              <w:t xml:space="preserve">Projected 2 weeks</w:t>
            </w:r>
          </w:p>
        </w:tc>
        <w:tc>
          <w:p>
            <w:pPr>
              <w:pStyle w:val="Compact"/>
              <w:jc w:val="left"/>
            </w:pPr>
            <w:r>
              <w:t xml:space="preserve">-75.0%</w:t>
            </w:r>
          </w:p>
        </w:tc>
        <w:tc>
          <w:p>
            <w:pPr>
              <w:pStyle w:val="Compact"/>
              <w:jc w:val="left"/>
            </w:pPr>
            <w:r>
              <w:t xml:space="preserve">Accelerates publishing for time-constrained scholars.</w:t>
            </w:r>
          </w:p>
        </w:tc>
      </w:tr>
      <w:tr>
        <w:tc>
          <w:p>
            <w:pPr>
              <w:pStyle w:val="Compact"/>
              <w:jc w:val="left"/>
            </w:pPr>
            <w:r>
              <w:t xml:space="preserve">Cost of Editorial Support</w:t>
            </w:r>
          </w:p>
        </w:tc>
        <w:tc>
          <w:p>
            <w:pPr>
              <w:pStyle w:val="Compact"/>
              <w:jc w:val="left"/>
            </w:pPr>
            <w:r>
              <w:t xml:space="preserve">$500-2000</w:t>
            </w:r>
          </w:p>
        </w:tc>
        <w:tc>
          <w:p>
            <w:pPr>
              <w:pStyle w:val="Compact"/>
              <w:jc w:val="left"/>
            </w:pPr>
            <w:r>
              <w:t xml:space="preserve">Near zero (for core tasks)</w:t>
            </w:r>
          </w:p>
        </w:tc>
        <w:tc>
          <w:p>
            <w:pPr>
              <w:pStyle w:val="Compact"/>
              <w:jc w:val="left"/>
            </w:pPr>
            <w:r>
              <w:t xml:space="preserve">Significant</w:t>
            </w:r>
          </w:p>
        </w:tc>
        <w:tc>
          <w:p>
            <w:pPr>
              <w:pStyle w:val="Compact"/>
              <w:jc w:val="left"/>
            </w:pPr>
            <w:r>
              <w:t xml:space="preserve">Reduces financial barriers for under-resourced researchers.</w:t>
            </w:r>
          </w:p>
        </w:tc>
      </w:tr>
      <w:tr>
        <w:tc>
          <w:p>
            <w:pPr>
              <w:pStyle w:val="Compact"/>
              <w:jc w:val="left"/>
            </w:pPr>
            <w:r>
              <w:t xml:space="preserve">Citation Accuracy (Rate)</w:t>
            </w:r>
          </w:p>
        </w:tc>
        <w:tc>
          <w:p>
            <w:pPr>
              <w:pStyle w:val="Compact"/>
              <w:jc w:val="left"/>
            </w:pPr>
            <w:r>
              <w:t xml:space="preserve">85%</w:t>
            </w:r>
          </w:p>
        </w:tc>
        <w:tc>
          <w:p>
            <w:pPr>
              <w:pStyle w:val="Compact"/>
              <w:jc w:val="left"/>
            </w:pPr>
            <w:r>
              <w:t xml:space="preserve">Projected 99%</w:t>
            </w:r>
          </w:p>
        </w:tc>
        <w:tc>
          <w:p>
            <w:pPr>
              <w:pStyle w:val="Compact"/>
              <w:jc w:val="left"/>
            </w:pPr>
            <w:r>
              <w:t xml:space="preserve">+16.5%</w:t>
            </w:r>
          </w:p>
        </w:tc>
        <w:tc>
          <w:p>
            <w:pPr>
              <w:pStyle w:val="Compact"/>
              <w:jc w:val="left"/>
            </w:pPr>
            <w:r>
              <w:t xml:space="preserve">Enhances trustworthiness and academic integrity.</w:t>
            </w:r>
          </w:p>
        </w:tc>
      </w:tr>
      <w:tr>
        <w:tc>
          <w:p>
            <w:pPr>
              <w:pStyle w:val="Compact"/>
              <w:jc w:val="left"/>
            </w:pPr>
            <w:r>
              <w:t xml:space="preserve">Researcher Cognitive Load</w:t>
            </w:r>
          </w:p>
        </w:tc>
        <w:tc>
          <w:p>
            <w:pPr>
              <w:pStyle w:val="Compact"/>
              <w:jc w:val="left"/>
            </w:pPr>
            <w:r>
              <w:t xml:space="preserve">High</w:t>
            </w:r>
          </w:p>
        </w:tc>
        <w:tc>
          <w:p>
            <w:pPr>
              <w:pStyle w:val="Compact"/>
              <w:jc w:val="left"/>
            </w:pPr>
            <w:r>
              <w:t xml:space="preserve">Reduced</w:t>
            </w:r>
          </w:p>
        </w:tc>
        <w:tc>
          <w:p>
            <w:pPr>
              <w:pStyle w:val="Compact"/>
              <w:jc w:val="left"/>
            </w:pPr>
            <w:r>
              <w:t xml:space="preserve">Substantial</w:t>
            </w:r>
          </w:p>
        </w:tc>
        <w:tc>
          <w:p>
            <w:pPr>
              <w:pStyle w:val="Compact"/>
              <w:jc w:val="left"/>
            </w:pPr>
            <w:r>
              <w:t xml:space="preserve">Frees mental capacity for higher-order thinking.</w:t>
            </w:r>
          </w:p>
        </w:tc>
      </w:tr>
      <w:tr>
        <w:tc>
          <w:p>
            <w:pPr>
              <w:pStyle w:val="Compact"/>
              <w:jc w:val="left"/>
            </w:pPr>
            <w:r>
              <w:t xml:space="preserve">Access to Adv. Tools</w:t>
            </w:r>
          </w:p>
        </w:tc>
        <w:tc>
          <w:p>
            <w:pPr>
              <w:pStyle w:val="Compact"/>
              <w:jc w:val="left"/>
            </w:pPr>
            <w:r>
              <w:t xml:space="preserve">Limited</w:t>
            </w:r>
          </w:p>
        </w:tc>
        <w:tc>
          <w:p>
            <w:pPr>
              <w:pStyle w:val="Compact"/>
              <w:jc w:val="left"/>
            </w:pPr>
            <w:r>
              <w:t xml:space="preserve">Democratized</w:t>
            </w:r>
          </w:p>
        </w:tc>
        <w:tc>
          <w:p>
            <w:pPr>
              <w:pStyle w:val="Compact"/>
              <w:jc w:val="left"/>
            </w:pPr>
            <w:r>
              <w:t xml:space="preserve">Significant</w:t>
            </w:r>
          </w:p>
        </w:tc>
        <w:tc>
          <w:p>
            <w:pPr>
              <w:pStyle w:val="Compact"/>
              <w:jc w:val="left"/>
            </w:pPr>
            <w:r>
              <w:t xml:space="preserve">Broader participation in cutting-edge research.</w:t>
            </w:r>
          </w:p>
        </w:tc>
      </w:tr>
    </w:tbl>
    <w:p>
      <w:pPr>
        <w:pStyle w:val="BodyText"/>
      </w:pPr>
      <w:r>
        <w:rPr>
          <w:iCs/>
          <w:i/>
        </w:rPr>
        <w:t xml:space="preserve">Note: These are simulated figures based on the theoretical benefits and projected performance of the OpenDraft system. Actual impact may vary depending on implementation, user engagement, and specific research contexts. NNS = Non-Native Speakers.</w:t>
      </w:r>
    </w:p>
    <w:p>
      <w:r>
        <w:pict>
          <v:rect style="width:0;height:1.5pt" o:hralign="center" o:hrstd="t" o:hr="t"/>
        </w:pict>
      </w:r>
    </w:p>
    <w:bookmarkEnd w:id="72"/>
    <w:bookmarkStart w:id="73" w:name="Xdb20128dea7ab1d2142d4d27074abf1375ee5cb"/>
    <w:p>
      <w:pPr>
        <w:pStyle w:val="Heading3"/>
      </w:pPr>
      <w:r>
        <w:t xml:space="preserve">4.4.3 Democratizing Access to High-Quality Academic Output</w:t>
      </w:r>
    </w:p>
    <w:p>
      <w:pPr>
        <w:pStyle w:val="FirstParagraph"/>
      </w:pPr>
      <w:r>
        <w:t xml:space="preserve">The cumulative effect of reducing linguistic and logistical barriers is the democratization of access to high-quality academic output, fostering a more inclusive and diverse global research community (Sarker et al., 2024)(Ritoré et al., 2024). Historically, the production of high-quality academic papers has often been concentrated in institutions with significant resources, established research cultures, and access to highly skilled academic support staff (Gupta &amp; Pandit, 2024). This creates an uneven playing field, where brilliant ideas from less privileged backgrounds may struggle to gain visibility due to limitations in presentation or adherence to stylistic conventions (Mwangi et al., 2021).</w:t>
      </w:r>
    </w:p>
    <w:p>
      <w:pPr>
        <w:pStyle w:val="BodyText"/>
      </w:pPr>
      <w:r>
        <w:t xml:space="preserve">The multi-agent AI system directly challenges this status quo by providing a sophisticated, yet potentially widely accessible, tool that can help elevate the standard of academic writing across the board (Selim, 2024). By ensuring grammatical correctness, logical coherence, and accurate citation (Tran, 2024)(Bhatt, 2025), the system empowers a broader demographic of researchers to produce work that is not only intellectually sound but also polished and professional (Sarker et al., 2024). This means that a groundbreaking study from a researcher in a developing country, or a brilliant insight from an early-career scholar without extensive institutional backing, has a better chance of being published and recognized if it is presented effectively through AI assistance (Gupta &amp; Pandit, 2024).</w:t>
      </w:r>
    </w:p>
    <w:p>
      <w:pPr>
        <w:pStyle w:val="BodyText"/>
      </w:pPr>
      <w:r>
        <w:t xml:space="preserve">The open-source nature of the system further amplifies this democratizing effect (Hermansen &amp; Sandberg, 2025). If the tools are freely available, they become a universal resource, much like open-access journals or open educational resources (Chinchu, 2021). This facilitates a global exchange of knowledge, where geographical or economic constraints become less relevant in determining who can contribute to the academic conversation (Austin et al., 2021)(Ritoré et al., 2024). The system essentially acts as an equalizer, enabling a wider array of voices and perspectives to enter the scholarly arena, enriching the overall intellectual landscape (Shao et al., 2025). This democratization extends beyond just publishing; it also aids in the consumption and understanding of complex academic texts. By generating clear and coherent summaries or sections, the system can make research more accessible to interdisciplinary scholars or even the informed public (Radensky et al., 2024)(Katam, 2025). Ultimately, by lowering the barriers to producing high-quality academic output, the multi-agent AI system cultivates a more diverse, representative, and globally interconnected research community, fostering innovation and accelerating scientific progress on a worldwide scale (Dalabih &amp; Aljabari, 2023). This shift is crucial for addressing global challenges that require diverse perspectives and collaborative solutions (Arling et al., 2025).</w:t>
      </w:r>
    </w:p>
    <w:bookmarkEnd w:id="73"/>
    <w:bookmarkEnd w:id="74"/>
    <w:bookmarkStart w:id="79" w:name="quality-metrics-and-academic-standards"/>
    <w:p>
      <w:pPr>
        <w:pStyle w:val="Heading2"/>
      </w:pPr>
      <w:r>
        <w:t xml:space="preserve">4.5 Quality Metrics and Academic Standards</w:t>
      </w:r>
    </w:p>
    <w:p>
      <w:pPr>
        <w:pStyle w:val="FirstParagraph"/>
      </w:pPr>
      <w:r>
        <w:t xml:space="preserve">The ultimate success of any AI system designed for academic writing hinges on its ability to produce content that not only meets but potentially elevates established quality metrics and academic standards (Salman et al., 2025)(Kotsis, 2025). This section rigorously evaluates the multi-agent AI system against key quality indicators, including coherence, adherence to formatting guidelines, citation validity, and its overall readiness for peer review. The analysis demonstrates how the system’s specialized agents collectively contribute to outputs that uphold the integrity and rigor expected in scholarly communication (Selim, 2024).</w:t>
      </w:r>
    </w:p>
    <w:bookmarkStart w:id="75" w:name="coherence-and-logical-flow"/>
    <w:p>
      <w:pPr>
        <w:pStyle w:val="Heading3"/>
      </w:pPr>
      <w:r>
        <w:t xml:space="preserve">4.5.1 Coherence and Logical Flow</w:t>
      </w:r>
    </w:p>
    <w:p>
      <w:pPr>
        <w:pStyle w:val="FirstParagraph"/>
      </w:pPr>
      <w:r>
        <w:t xml:space="preserve">Coherence and logical flow are foundational elements of high-quality academic writing, ensuring that arguments are presented clearly, progressively, and persuasively (Casal &amp; Kessler, 2023). The multi-agent AI system excels in these areas due to its structured, collaborative approach, which inherently prioritizes the seamless integration of ideas (Salman et al., 2025). Unlike single LLMs that might generate text that is locally coherent but lacks global structural integrity, the multi-agent system employs specialized agents to manage and enforce logical progression (Shao et al., 2025).</w:t>
      </w:r>
    </w:p>
    <w:p>
      <w:pPr>
        <w:pStyle w:val="BodyText"/>
      </w:pPr>
      <w:r>
        <w:t xml:space="preserve">The</w:t>
      </w:r>
      <w:r>
        <w:t xml:space="preserve"> </w:t>
      </w:r>
      <w:r>
        <w:t xml:space="preserve">“</w:t>
      </w:r>
      <w:r>
        <w:t xml:space="preserve">Outline Agent</w:t>
      </w:r>
      <w:r>
        <w:t xml:space="preserve">”</w:t>
      </w:r>
      <w:r>
        <w:t xml:space="preserve"> </w:t>
      </w:r>
      <w:r>
        <w:t xml:space="preserve">initially establishes a robust structural framework, defining the main sections, subsections, and the sequence of arguments (Salman et al., 2025). This pre-defined structure acts as a blueprint, guiding the subsequent content generation.</w:t>
      </w:r>
      <w:r>
        <w:t xml:space="preserve"> </w:t>
      </w:r>
      <w:r>
        <w:t xml:space="preserve">“</w:t>
      </w:r>
      <w:r>
        <w:t xml:space="preserve">Crafter Agents</w:t>
      </w:r>
      <w:r>
        <w:t xml:space="preserve">”</w:t>
      </w:r>
      <w:r>
        <w:t xml:space="preserve"> </w:t>
      </w:r>
      <w:r>
        <w:t xml:space="preserve">then populate these sections, but their work is continuously monitored and refined by a dedicated</w:t>
      </w:r>
      <w:r>
        <w:t xml:space="preserve"> </w:t>
      </w:r>
      <w:r>
        <w:t xml:space="preserve">“</w:t>
      </w:r>
      <w:r>
        <w:t xml:space="preserve">Coherence Agent</w:t>
      </w:r>
      <w:r>
        <w:t xml:space="preserve">”</w:t>
      </w:r>
      <w:r>
        <w:t xml:space="preserve"> </w:t>
      </w:r>
      <w:r>
        <w:t xml:space="preserve">(Shao et al., 2025). This agent ensures that each paragraph logically follows the preceding one, that topic sentences clearly articulate the paragraph’s main idea, and that transitions between paragraphs and sections are smooth and explicit (Casal &amp; Kessler, 2023). For example, the</w:t>
      </w:r>
      <w:r>
        <w:t xml:space="preserve"> </w:t>
      </w:r>
      <w:r>
        <w:t xml:space="preserve">“</w:t>
      </w:r>
      <w:r>
        <w:t xml:space="preserve">Coherence Agent</w:t>
      </w:r>
      <w:r>
        <w:t xml:space="preserve">”</w:t>
      </w:r>
      <w:r>
        <w:t xml:space="preserve"> </w:t>
      </w:r>
      <w:r>
        <w:t xml:space="preserve">might identify instances where a new concept is introduced without prior context or where a conclusion is drawn prematurely, prompting a revision (Solonytska et al., 2024).</w:t>
      </w:r>
    </w:p>
    <w:p>
      <w:pPr>
        <w:pStyle w:val="BodyText"/>
      </w:pPr>
      <w:r>
        <w:t xml:space="preserve">Furthermore, the system’s ability to synthesize information from multiple sources and integrate it into a cohesive narrative without abrupt shifts in tone or argument is a significant strength (Dalabih &amp; Aljabari, 2023). This is achieved through sophisticated algorithms that identify thematic connections between disparate pieces of information and weave them into a unified whole, preventing the</w:t>
      </w:r>
      <w:r>
        <w:t xml:space="preserve"> </w:t>
      </w:r>
      <w:r>
        <w:t xml:space="preserve">“</w:t>
      </w:r>
      <w:r>
        <w:t xml:space="preserve">patchwork</w:t>
      </w:r>
      <w:r>
        <w:t xml:space="preserve">”</w:t>
      </w:r>
      <w:r>
        <w:t xml:space="preserve"> </w:t>
      </w:r>
      <w:r>
        <w:t xml:space="preserve">effect often seen in human-authored literature reviews that merely list findings (Shao et al., 2025). The multi-agent collaboration also ensures consistency in terminology and conceptual definitions throughout the paper, preventing ambiguity and enhancing clarity (Casal &amp; Kessler, 2023). The iterative nature of the system, where agents refine and cross-check each other’s outputs, allows for multiple layers of review, addressing potential breaks in logic or clarity before the final draft is presented (Solonytska et al., 2024). This systematic enforcement of coherence and logical flow ensures that the AI-generated academic prose is not only grammatically correct but also intellectually robust and easy for readers to follow, thereby enhancing its persuasive power and overall academic impact (Selim, 2024). The system ensures that the narrative arc of the paper is maintained from introduction to conclusion, making the arguments more compelling and the overall message clearer (Kell et al., 2025).</w:t>
      </w:r>
    </w:p>
    <w:bookmarkEnd w:id="75"/>
    <w:bookmarkStart w:id="76" w:name="X5aa5f111f5b08a579012777f18f6ca856a78837"/>
    <w:p>
      <w:pPr>
        <w:pStyle w:val="Heading3"/>
      </w:pPr>
      <w:r>
        <w:t xml:space="preserve">4.5.2 Adherence to Formatting and Stylistic Guidelines</w:t>
      </w:r>
    </w:p>
    <w:p>
      <w:pPr>
        <w:pStyle w:val="FirstParagraph"/>
      </w:pPr>
      <w:r>
        <w:t xml:space="preserve">Adherence to specific formatting and stylistic guidelines (e.g., APA 7th Edition) is a non-negotiable aspect of academic publishing, and the multi-agent AI system demonstrates a high degree of precision in meeting these requirements (Teh &amp; Uwasomba, 2024)(Selim, 2024). While general LLMs can sometimes mimic formatting, their consistency is often unreliable, leading to errors in citations, headings, and general manuscript layout (Casal &amp; Kessler, 2023). The multi-agent system, however, dedicates specific agents to ensure meticulous compliance.</w:t>
      </w:r>
    </w:p>
    <w:p>
      <w:pPr>
        <w:pStyle w:val="BodyText"/>
      </w:pPr>
      <w:r>
        <w:t xml:space="preserve">A</w:t>
      </w:r>
      <w:r>
        <w:t xml:space="preserve"> </w:t>
      </w:r>
      <w:r>
        <w:t xml:space="preserve">“</w:t>
      </w:r>
      <w:r>
        <w:t xml:space="preserve">Formatting Agent</w:t>
      </w:r>
      <w:r>
        <w:t xml:space="preserve">”</w:t>
      </w:r>
      <w:r>
        <w:t xml:space="preserve"> </w:t>
      </w:r>
      <w:r>
        <w:t xml:space="preserve">is tasked with applying all specified manuscript specifications, including font (Times New Roman 12pt), line spacing (double), margins (1 inch), page numbering (top right), and heading levels (Level 1 bold, centered, title case; Level 2 bold, left-aligned, title case; Level 3 bold, indented, sentence case) (Salman et al., 2025). This agent operates on a rule-based system, ensuring that every element of the document conforms precisely to the stipulated guidelines (Solonytska et al., 2024). This eliminates the common human errors associated with manual formatting, which can be time-consuming and frustrating for researchers (Teh &amp; Uwasomba, 2024).</w:t>
      </w:r>
    </w:p>
    <w:p>
      <w:pPr>
        <w:pStyle w:val="BodyText"/>
      </w:pPr>
      <w:r>
        <w:t xml:space="preserve">Furthermore, a</w:t>
      </w:r>
      <w:r>
        <w:t xml:space="preserve"> </w:t>
      </w:r>
      <w:r>
        <w:t xml:space="preserve">“</w:t>
      </w:r>
      <w:r>
        <w:t xml:space="preserve">Language and Style Agent</w:t>
      </w:r>
      <w:r>
        <w:t xml:space="preserve">”</w:t>
      </w:r>
      <w:r>
        <w:t xml:space="preserve"> </w:t>
      </w:r>
      <w:r>
        <w:t xml:space="preserve">ensures that the prose adheres to the stylistic conventions of academic writing, such as maintaining an objective tone, avoiding colloquialisms, and using precise terminology (Tran, 2024). It can also be configured to meet the specific stylistic preferences of different target journals, adapting its output to the nuances of various academic disciplines (Selim, 2024). This level of customization and precision is a significant advantage, as it reduces the need for extensive human editing to align the manuscript with publisher requirements, thereby accelerating the submission process (Gupta &amp; Pandit, 2024).</w:t>
      </w:r>
    </w:p>
    <w:p>
      <w:pPr>
        <w:pStyle w:val="BodyText"/>
      </w:pPr>
      <w:r>
        <w:t xml:space="preserve">Crucially, the</w:t>
      </w:r>
      <w:r>
        <w:t xml:space="preserve"> </w:t>
      </w:r>
      <w:r>
        <w:t xml:space="preserve">“</w:t>
      </w:r>
      <w:r>
        <w:t xml:space="preserve">Citation Formatting Agent,</w:t>
      </w:r>
      <w:r>
        <w:t xml:space="preserve">”</w:t>
      </w:r>
      <w:r>
        <w:t xml:space="preserve"> </w:t>
      </w:r>
      <w:r>
        <w:t xml:space="preserve">working in conjunction with the</w:t>
      </w:r>
      <w:r>
        <w:t xml:space="preserve"> </w:t>
      </w:r>
      <w:r>
        <w:t xml:space="preserve">“</w:t>
      </w:r>
      <w:r>
        <w:t xml:space="preserve">Citation Discovery Agent,</w:t>
      </w:r>
      <w:r>
        <w:t xml:space="preserve">”</w:t>
      </w:r>
      <w:r>
        <w:t xml:space="preserve"> </w:t>
      </w:r>
      <w:r>
        <w:t xml:space="preserve">ensures that all in-text citations and the eventual reference list strictly follow the APA 7th Edition (or other specified) style (Teh &amp; Uwasomba, 2024). This includes correct parenthetical formats (Author, Year), proper handling of multiple authors (Author &amp; Co-Author, Year; Author et al., Year), and the complete and accurate presentation of bibliographic information in the reference list, including DOIs (Tang et al., 2024). The consistency and accuracy in citation formatting are paramount for academic integrity and significantly reduce the administrative burden on researchers (Bhatt, 2025). The system’s ability to consistently apply these intricate rules throughout a lengthy document, without fatigue or oversight, represents a substantial leap forward in automating the often tedious but critical aspects of academic publishing (Salman et al., 2025). This meticulous attention to detail ensures that the final output is submission-ready, freeing researchers to focus on the intellectual content rather than the mechanics of presentation (Shao et al., 2025).</w:t>
      </w:r>
    </w:p>
    <w:bookmarkEnd w:id="76"/>
    <w:bookmarkStart w:id="77" w:name="Xf981ccafab4cdfba5fc141c92daf3c02e6ac939"/>
    <w:p>
      <w:pPr>
        <w:pStyle w:val="Heading3"/>
      </w:pPr>
      <w:r>
        <w:t xml:space="preserve">4.5.3 Enhanced Citation Validity and Depth of Research</w:t>
      </w:r>
    </w:p>
    <w:p>
      <w:pPr>
        <w:pStyle w:val="FirstParagraph"/>
      </w:pPr>
      <w:r>
        <w:t xml:space="preserve">The multi-agent AI system significantly enhances citation validity and contributes to a greater depth of research by ensuring that all claims are robustly supported by verifiable, relevant sources (Bhatt, 2025)(Dalabih &amp; Aljabari, 2023). This is a critical quality metric that directly addresses the academic integrity concerns prevalent with general-purpose LLMs (Granjeiro et al., 2025). The system’s architecture is specifically designed to prevent the hallucination of citations, thereby bolstering the credibility of the generated content (Kotsis, 2025).</w:t>
      </w:r>
    </w:p>
    <w:p>
      <w:pPr>
        <w:pStyle w:val="BodyText"/>
      </w:pPr>
      <w:r>
        <w:t xml:space="preserve">The</w:t>
      </w:r>
      <w:r>
        <w:t xml:space="preserve"> </w:t>
      </w:r>
      <w:r>
        <w:t xml:space="preserve">“</w:t>
      </w:r>
      <w:r>
        <w:t xml:space="preserve">Citation Discovery Agent</w:t>
      </w:r>
      <w:r>
        <w:t xml:space="preserve">”</w:t>
      </w:r>
      <w:r>
        <w:t xml:space="preserve"> </w:t>
      </w:r>
      <w:r>
        <w:t xml:space="preserve">is at the heart of this enhanced validity. By exclusively querying external, authoritative academic databases via APIs, it guarantees that every citation corresponds to an actual, published scholarly work (Salman et al., 2025)(Tang et al., 2024). This direct link to verified sources eliminates the risk of fabricated references, a major ethical pitfall in AI-assisted writing (Bhatt, 2025). Furthermore, a</w:t>
      </w:r>
      <w:r>
        <w:t xml:space="preserve"> </w:t>
      </w:r>
      <w:r>
        <w:t xml:space="preserve">“</w:t>
      </w:r>
      <w:r>
        <w:t xml:space="preserve">Verification Agent</w:t>
      </w:r>
      <w:r>
        <w:t xml:space="preserve">”</w:t>
      </w:r>
      <w:r>
        <w:t xml:space="preserve"> </w:t>
      </w:r>
      <w:r>
        <w:t xml:space="preserve">can cross-reference the content of the cited source with the claim made in the text, ensuring that the citation is not just valid but also contextually appropriate and accurately supports the argument (Shao et al., 2025). This dual-layer validation process provides a high degree of confidence in the evidential basis of the generated paper.</w:t>
      </w:r>
    </w:p>
    <w:p>
      <w:pPr>
        <w:pStyle w:val="BodyText"/>
      </w:pPr>
      <w:r>
        <w:t xml:space="preserve">Beyond mere validity, the system also contributes to the depth of research. The</w:t>
      </w:r>
      <w:r>
        <w:t xml:space="preserve"> </w:t>
      </w:r>
      <w:r>
        <w:t xml:space="preserve">“</w:t>
      </w:r>
      <w:r>
        <w:t xml:space="preserve">Research Agent,</w:t>
      </w:r>
      <w:r>
        <w:t xml:space="preserve">”</w:t>
      </w:r>
      <w:r>
        <w:t xml:space="preserve"> </w:t>
      </w:r>
      <w:r>
        <w:t xml:space="preserve">by performing comprehensive and rapid literature searches, can identify a broader range of relevant sources than a human researcher might in the same timeframe (Dalabih &amp; Aljabari, 2023). This extensive coverage ensures that the literature review is thorough and that arguments are informed by a wide array of perspectives and findings (Salman et al., 2025). The system can also identify seminal works, emerging trends, and critical debates within a field, allowing for a more nuanced and comprehensive engagement with the existing scholarship (Shao et al., 2025). The integration of these diverse sources, each meticulously cited, enriches the intellectual content of the paper, moving beyond superficial summaries to a more profound synthesis of knowledge (Selim, 2024).</w:t>
      </w:r>
    </w:p>
    <w:p>
      <w:pPr>
        <w:pStyle w:val="BodyText"/>
      </w:pPr>
      <w:r>
        <w:t xml:space="preserve">Moreover, the system can be programmed to prioritize high-impact journals, peer-reviewed articles, and recent publications, ensuring that the research is grounded in the most current and authoritative scholarship (Teh &amp; Uwasomba, 2024). This focus on quality sources contributes directly to the academic rigor of the paper. By providing a solid, verifiable foundation of evidence for every claim, the multi-agent system not only improves the trustworthiness of AI-generated academic outputs but also empowers researchers to produce work that is more rigorously researched and intellectually profound (Sarker et al., 2024). The meticulous attention to citation validity and the exhaustive nature of the research process ensures that the academic output is not just voluminous but also deeply rooted in established scholarship, thereby advancing knowledge with verifiable claims (Tang et al., 2024).</w:t>
      </w:r>
    </w:p>
    <w:bookmarkEnd w:id="77"/>
    <w:bookmarkStart w:id="78" w:name="Xa6f6c2513721f1378fe3ba7917314c9950b595d"/>
    <w:p>
      <w:pPr>
        <w:pStyle w:val="Heading3"/>
      </w:pPr>
      <w:r>
        <w:t xml:space="preserve">4.5.4 Overall Academic Standard and Peer Review Readiness</w:t>
      </w:r>
    </w:p>
    <w:p>
      <w:pPr>
        <w:pStyle w:val="FirstParagraph"/>
      </w:pPr>
      <w:r>
        <w:t xml:space="preserve">The combined strengths of coherence, adherence to formatting, and enhanced citation validity culminate in an overall academic standard that positions the multi-agent AI system’s output as highly competitive and often ready for peer review with minimal human intervention (Salman et al., 2025)(Selim, 2024). The goal of the system is not merely to generate text, but to produce scholarly documents that meet the rigorous expectations of academic journals and conferences (Kotsis, 2025).</w:t>
      </w:r>
    </w:p>
    <w:p>
      <w:pPr>
        <w:pStyle w:val="BodyText"/>
      </w:pPr>
      <w:r>
        <w:t xml:space="preserve">The system’s ability to maintain a consistent academic tone, employ precise language, and structure arguments logically ensures that the prose itself is of a high scholarly caliber (Casal &amp; Kessler, 2023)(Tran, 2024). The integration of complex ideas from diverse sources into a coherent narrative demonstrates a sophisticated understanding of the subject matter, mimicking the work of an experienced academic writer (Shao et al., 2025). The absence of grammatical errors, typos, and formatting inconsistencies, thanks to dedicated agents, means that reviewers can focus on the intellectual merit of the work rather than being distracted by superficial flaws (Solonytska et al., 2024).</w:t>
      </w:r>
    </w:p>
    <w:p>
      <w:pPr>
        <w:pStyle w:val="BodyText"/>
      </w:pPr>
      <w:r>
        <w:t xml:space="preserve">Perhaps most importantly, the impeccable citation validity and the depth of research provided by the system address the core concerns of academic integrity (Bhatt, 2025). A paper with verifiably accurate citations and a comprehensive literature review is inherently more trustworthy and robust (Granjeiro et al., 2025). This significantly streamlines the peer-review process, as reviewers spend less time fact-checking references and more time evaluating the originality, methodology, and theoretical contributions of the paper (Huzaifa et al., 2025). The system can also be configured to highlight potential areas of weakness or suggest further avenues of inquiry, assisting the human researcher in preemptively strengthening arguments before submission (Shao et al., 2025).</w:t>
      </w:r>
    </w:p>
    <w:p>
      <w:pPr>
        <w:pStyle w:val="BodyText"/>
      </w:pPr>
      <w:r>
        <w:t xml:space="preserve">While the system can produce a highly polished draft, human oversight remains critical for adding the unique voice, critical insights, and ethical considerations that define truly groundbreaking scholarship (Kotsis, 2025)(Bhatt, 2025). The human researcher’s role shifts from drafting to critical evaluation, refinement, and injection of novel perspectives (Sarker et al., 2024). However, the AI-generated foundation significantly reduces the time and effort required to reach a submission-ready state, making the entire publication process more efficient and less burdensome (Selim, 2024). The output from the multi-agent system, therefore, represents a significant advancement in AI-assisted academic writing, demonstrating a capacity to meet and often exceed the baseline requirements for publication in reputable academic venues (Gupta &amp; Pandit, 2024). This readiness for peer review is a testament to the system’s ability to integrate complex academic standards into its automated workflow, marking a new era for AI in scholarly communication (Huzaifa et al., 2025).</w:t>
      </w:r>
    </w:p>
    <w:bookmarkEnd w:id="78"/>
    <w:bookmarkEnd w:id="79"/>
    <w:bookmarkStart w:id="84" w:name="open-source-impact-and-future-directions"/>
    <w:p>
      <w:pPr>
        <w:pStyle w:val="Heading2"/>
      </w:pPr>
      <w:r>
        <w:t xml:space="preserve">4.6 Open Source Impact and Future Directions</w:t>
      </w:r>
    </w:p>
    <w:p>
      <w:pPr>
        <w:pStyle w:val="FirstParagraph"/>
      </w:pPr>
      <w:r>
        <w:t xml:space="preserve">The decision to develop the multi-agent AI system as an open-source project carries profound implications, extending beyond mere technical functionality to shape the future landscape of academic research and AI development (Hermansen &amp; Osborne, 2025)(Hermansen &amp; Sandberg, 2025). This section explores the democratizing effect of open-source AI tools, the potential for fostering community contributions, the ethical considerations inherent in its development, and the myriad pathways for future research and enhancement. The open-source paradigm positions this system not just as a tool, but as a catalyst for collective innovation and a more equitable scientific enterprise (Anton et al., 2024)(Sarker et al., 2024).</w:t>
      </w:r>
    </w:p>
    <w:bookmarkStart w:id="80" w:name="democratization-of-ai-tools-for-research"/>
    <w:p>
      <w:pPr>
        <w:pStyle w:val="Heading3"/>
      </w:pPr>
      <w:r>
        <w:t xml:space="preserve">4.6.1 Democratization of AI Tools for Research</w:t>
      </w:r>
    </w:p>
    <w:p>
      <w:pPr>
        <w:pStyle w:val="FirstParagraph"/>
      </w:pPr>
      <w:r>
        <w:t xml:space="preserve">The open-source nature of the multi-agent AI system is a critical factor in democratizing access to advanced AI tools for academic research (Hermansen &amp; Osborne, 2025)(Hermansen &amp; Sandberg, 2025). Proprietary AI solutions, often developed by large corporations, come with significant licensing fees, restrictive usage policies, and opaque internal workings (Fiotto-Kaufman et al., 2024). This creates a barrier to entry for researchers in institutions with limited budgets, scholars in developing countries, or independent researchers (Mwangi et al., 2021)(Chinchu, 2021). By contrast, an open-source model makes the underlying code, architecture, and often the trained models freely available to anyone (Anton et al., 2024).</w:t>
      </w:r>
    </w:p>
    <w:p>
      <w:pPr>
        <w:pStyle w:val="BodyText"/>
      </w:pPr>
      <w:r>
        <w:t xml:space="preserve">This accessibility levels the playing field, ensuring that sophisticated AI assistance for academic writing is not a privilege but a widely available resource (Sarker et al., 2024). Researchers globally can download, utilize, and adapt the system without financial constraints, enabling them to produce high-quality scholarly outputs irrespective of their economic standing or institutional affiliation (Gupta &amp; Pandit, 2024). This fosters greater inclusivity in global scholarship, allowing a more diverse array of voices and perspectives to contribute to the academic discourse (Shao et al., 2025). The democratization extends beyond mere usage; it also encompasses understanding. With open-source code, researchers can inspect the inner workings of the agents, promoting transparency and trust in the AI’s operations, which is crucial for academic integrity (Peters et al., 2020)(Tang et al., 2024). This transparency helps demystify AI, empowering users to understand its capabilities and limitations, rather than treating it as a black box (Fiotto-Kaufman et al., 2024).</w:t>
      </w:r>
    </w:p>
    <w:p>
      <w:pPr>
        <w:pStyle w:val="BodyText"/>
      </w:pPr>
      <w:r>
        <w:t xml:space="preserve">Furthermore, open-source tools often lead to the development of localized versions or adaptations, tailored to specific linguistic, cultural, or disciplinary needs (Hermansen &amp; Osborne, 2025). For instance, agents could be developed to better handle non-English academic conventions or to integrate with local academic databases (Hermansen &amp; Sandberg, 2025). This adaptability is vital for truly globalizing academic AI tools, moving beyond a one-size-fits-all approach (Sarker et al., 2024). The impact is profound: it shifts the focus from who can afford AI to who can creatively leverage it, promoting innovation and accelerating research progress across the entire academic spectrum (Dalabih &amp; Aljabari, 2023). The open availability of the system encourages its adoption in educational settings, allowing students and early career researchers to learn about AI-assisted writing in a hands-on manner, thereby preparing them for the future of scholarly communication (Chan, 2023)(Madhavi, 2025).</w:t>
      </w:r>
    </w:p>
    <w:bookmarkEnd w:id="80"/>
    <w:bookmarkStart w:id="81" w:name="X0878aeb3ae48ccc6b59aa97c6c400076f24d73f"/>
    <w:p>
      <w:pPr>
        <w:pStyle w:val="Heading3"/>
      </w:pPr>
      <w:r>
        <w:t xml:space="preserve">4.6.2 Fostering Community Contributions and Innovation</w:t>
      </w:r>
    </w:p>
    <w:p>
      <w:pPr>
        <w:pStyle w:val="FirstParagraph"/>
      </w:pPr>
      <w:r>
        <w:t xml:space="preserve">The open-source framework of the multi-agent AI system is specifically designed to foster robust community contributions and accelerate innovation (Hermansen &amp; Osborne, 2025)(Hermansen &amp; Sandberg, 2025). Unlike proprietary systems where development is confined to a single entity, an open-source project invites a global community of developers, researchers, and users to inspect, modify, and enhance the codebase (Anton et al., 2024). This collaborative model harnesses collective intelligence, leading to faster bug fixes, more diverse feature development, and more resilient software (Chinchu, 2021).</w:t>
      </w:r>
    </w:p>
    <w:p>
      <w:pPr>
        <w:pStyle w:val="BodyText"/>
      </w:pPr>
      <w:r>
        <w:t xml:space="preserve">Community contributions can take various forms:</w:t>
      </w:r>
      <w:r>
        <w:t xml:space="preserve"> </w:t>
      </w:r>
      <w:r>
        <w:t xml:space="preserve">1.</w:t>
      </w:r>
      <w:r>
        <w:t xml:space="preserve"> </w:t>
      </w:r>
      <w:r>
        <w:rPr>
          <w:bCs/>
          <w:b/>
        </w:rPr>
        <w:t xml:space="preserve">Bug Reporting and Fixing:</w:t>
      </w:r>
      <w:r>
        <w:t xml:space="preserve"> </w:t>
      </w:r>
      <w:r>
        <w:t xml:space="preserve">A large user base can quickly identify and report bugs, and skilled developers from the community can often provide fixes more rapidly than a centralized team (Anton et al., 2024).</w:t>
      </w:r>
      <w:r>
        <w:t xml:space="preserve"> </w:t>
      </w:r>
      <w:r>
        <w:t xml:space="preserve">2.</w:t>
      </w:r>
      <w:r>
        <w:t xml:space="preserve"> </w:t>
      </w:r>
      <w:r>
        <w:rPr>
          <w:bCs/>
          <w:b/>
        </w:rPr>
        <w:t xml:space="preserve">Feature Development:</w:t>
      </w:r>
      <w:r>
        <w:t xml:space="preserve"> </w:t>
      </w:r>
      <w:r>
        <w:t xml:space="preserve">Community members can develop new specialized agents, improve existing ones, or integrate the system with other tools. For example, a linguist might develop an agent for advanced stylistic analysis, or a data scientist might create an agent for enhanced statistical reporting (Shao et al., 2025). This continuous accretion of features enriches the system far beyond what a single development team could achieve (Hermansen &amp; Sandberg, 2025).</w:t>
      </w:r>
      <w:r>
        <w:t xml:space="preserve"> </w:t>
      </w:r>
      <w:r>
        <w:t xml:space="preserve">3.</w:t>
      </w:r>
      <w:r>
        <w:t xml:space="preserve"> </w:t>
      </w:r>
      <w:r>
        <w:rPr>
          <w:bCs/>
          <w:b/>
        </w:rPr>
        <w:t xml:space="preserve">Language and Domain Adaptations:</w:t>
      </w:r>
      <w:r>
        <w:t xml:space="preserve"> </w:t>
      </w:r>
      <w:r>
        <w:t xml:space="preserve">As mentioned, community members can adapt the system for different languages or specific academic disciplines, creating tailored versions that cater to niche requirements (Hermansen &amp; Osborne, 2025). This might involve training agents on discipline-specific corpora or developing agents that understand unique methodological conventions (Selim, 2024).</w:t>
      </w:r>
      <w:r>
        <w:t xml:space="preserve"> </w:t>
      </w:r>
      <w:r>
        <w:t xml:space="preserve">4.</w:t>
      </w:r>
      <w:r>
        <w:t xml:space="preserve"> </w:t>
      </w:r>
      <w:r>
        <w:rPr>
          <w:bCs/>
          <w:b/>
        </w:rPr>
        <w:t xml:space="preserve">Documentation and Support:</w:t>
      </w:r>
      <w:r>
        <w:t xml:space="preserve"> </w:t>
      </w:r>
      <w:r>
        <w:t xml:space="preserve">Users often contribute to documentation, tutorials, and community forums, making the system more accessible and easier to use for new adopters (Anton et al., 2024). This self-sustaining support ecosystem is a hallmark of successful open-source projects.</w:t>
      </w:r>
      <w:r>
        <w:t xml:space="preserve"> </w:t>
      </w:r>
      <w:r>
        <w:t xml:space="preserve">5.</w:t>
      </w:r>
      <w:r>
        <w:t xml:space="preserve"> </w:t>
      </w:r>
      <w:r>
        <w:rPr>
          <w:bCs/>
          <w:b/>
        </w:rPr>
        <w:t xml:space="preserve">Ethical Oversight and Auditing:</w:t>
      </w:r>
      <w:r>
        <w:t xml:space="preserve"> </w:t>
      </w:r>
      <w:r>
        <w:t xml:space="preserve">The transparency of open-source code allows for public scrutiny, enabling the community to identify potential biases, ethical concerns, or security vulnerabilities (Peters et al., 2020)(Tang et al., 2024). This collective auditing process is crucial for responsible AI development, ensuring that the system aligns with academic values and ethical guidelines (Bhatt, 2025).</w:t>
      </w:r>
    </w:p>
    <w:p>
      <w:pPr>
        <w:pStyle w:val="BodyText"/>
      </w:pPr>
      <w:r>
        <w:t xml:space="preserve">This collaborative innovation model accelerates the evolution of the tool, ensuring it remains cutting-edge and responsive to the evolving needs of the academic community (Shao et al., 2025). The continuous feedback loop between users and developers, facilitated by the open-source platform, ensures that the system is not only technologically advanced but also highly practical and user-centric (Hermansen &amp; Sandberg, 2025). The shared ownership and development foster a sense of collective responsibility and pride, creating a vibrant ecosystem where knowledge and tools are freely exchanged for the advancement of science (Anton et al., 2024).</w:t>
      </w:r>
    </w:p>
    <w:bookmarkEnd w:id="81"/>
    <w:bookmarkStart w:id="82" w:name="X4524bc2f654da799b60782cd08a2d896d3a19e8"/>
    <w:p>
      <w:pPr>
        <w:pStyle w:val="Heading3"/>
      </w:pPr>
      <w:r>
        <w:t xml:space="preserve">4.6.3 Ethical Implications and Responsible Development</w:t>
      </w:r>
    </w:p>
    <w:p>
      <w:pPr>
        <w:pStyle w:val="FirstParagraph"/>
      </w:pPr>
      <w:r>
        <w:t xml:space="preserve">The development and deployment of an open-source multi-agent AI system for academic writing carry significant ethical implications that necessitate a framework for responsible development (Bhatt, 2025)(Peters et al., 2020). While the system offers immense benefits, potential pitfalls related to academic integrity, bias, and dependency must be proactively addressed (Kotsis, 2025)(Tang et al., 2024).</w:t>
      </w:r>
    </w:p>
    <w:p>
      <w:pPr>
        <w:pStyle w:val="BodyText"/>
      </w:pPr>
      <w:r>
        <w:rPr>
          <w:bCs/>
          <w:b/>
        </w:rPr>
        <w:t xml:space="preserve">Academic Integrity:</w:t>
      </w:r>
      <w:r>
        <w:t xml:space="preserve"> </w:t>
      </w:r>
      <w:r>
        <w:t xml:space="preserve">The primary ethical concern revolves around the proper attribution of authorship and the potential for misuse. While the system aims to</w:t>
      </w:r>
      <w:r>
        <w:t xml:space="preserve"> </w:t>
      </w:r>
      <w:r>
        <w:rPr>
          <w:iCs/>
          <w:i/>
        </w:rPr>
        <w:t xml:space="preserve">assist</w:t>
      </w:r>
      <w:r>
        <w:t xml:space="preserve"> </w:t>
      </w:r>
      <w:r>
        <w:t xml:space="preserve">human writers, it must be clear that the human remains the ultimate author and bears responsibility for the content (Kotsis, 2025). Guidelines for acknowledging AI assistance, similar to those for acknowledging editorial support, need to be established and promoted (Bhatt, 2025). The system’s robust citation verification mechanism directly addresses hallucination, a key integrity concern, but the potential for human users to misrepresent AI-generated content as entirely their own work remains a challenge (Partyko et al., 2024).</w:t>
      </w:r>
    </w:p>
    <w:p>
      <w:pPr>
        <w:pStyle w:val="BodyText"/>
      </w:pPr>
      <w:r>
        <w:rPr>
          <w:bCs/>
          <w:b/>
        </w:rPr>
        <w:t xml:space="preserve">Bias in AI Models:</w:t>
      </w:r>
      <w:r>
        <w:t xml:space="preserve"> </w:t>
      </w:r>
      <w:r>
        <w:t xml:space="preserve">All AI models are trained on data, and if that data contains biases (e.g., gender, racial, cultural, or disciplinary biases), these can be perpetuated or even amplified in the generated text (Peters et al., 2020). Responsible development requires continuous auditing of training data and model outputs for bias, especially in areas like language use, conceptual framing, or the prioritization of certain research perspectives (Tang et al., 2024). The open-source nature allows for community scrutiny to identify and mitigate such biases, promoting a more equitable and inclusive academic discourse (Sarker et al., 2024).</w:t>
      </w:r>
    </w:p>
    <w:p>
      <w:pPr>
        <w:pStyle w:val="BodyText"/>
      </w:pPr>
      <w:r>
        <w:rPr>
          <w:bCs/>
          <w:b/>
        </w:rPr>
        <w:t xml:space="preserve">Dependency and Skill Erosion:</w:t>
      </w:r>
      <w:r>
        <w:t xml:space="preserve"> </w:t>
      </w:r>
      <w:r>
        <w:t xml:space="preserve">Over-reliance on AI tools could potentially lead to a degradation of fundamental academic writing skills among researchers (Kotsis, 2025). While the system frees up time for higher-order tasks, it should not replace the foundational ability to think critically, structure arguments, and write clearly (Madhavi, 2025). Educational frameworks and policies for responsible AI use in academia are crucial to ensure that AI serves as a collaborator, not a crutch (Chan, 2023)(Zimotti et al., 2024).</w:t>
      </w:r>
    </w:p>
    <w:p>
      <w:pPr>
        <w:pStyle w:val="BodyText"/>
      </w:pPr>
      <w:r>
        <w:rPr>
          <w:bCs/>
          <w:b/>
        </w:rPr>
        <w:t xml:space="preserve">Data Privacy and Security:</w:t>
      </w:r>
      <w:r>
        <w:t xml:space="preserve"> </w:t>
      </w:r>
      <w:r>
        <w:t xml:space="preserve">As the system processes research materials, data privacy and security are paramount (Tang et al., 2024). Open-source development must incorporate robust security protocols to protect sensitive research data and intellectual property (Anton et al., 2024). Clear policies on data handling, storage, and anonymization are essential to build trust among users.</w:t>
      </w:r>
    </w:p>
    <w:p>
      <w:pPr>
        <w:pStyle w:val="BodyText"/>
      </w:pPr>
      <w:r>
        <w:rPr>
          <w:bCs/>
          <w:b/>
        </w:rPr>
        <w:t xml:space="preserve">Ethical AI Governance:</w:t>
      </w:r>
      <w:r>
        <w:t xml:space="preserve"> </w:t>
      </w:r>
      <w:r>
        <w:t xml:space="preserve">The open-source community must establish clear ethical guidelines for contributing to and utilizing the system (Peters et al., 2020). This includes principles for transparent model development, accountability for outputs, and a commitment to using AI for the betterment of science (Bhatt, 2025). The development of standards like ISO/IEC 42001:2023 for AI management systems can provide a useful framework (Biroğul et al., 2025). By embracing these ethical considerations, the multi-agent AI system can serve as a model for responsible AI innovation in academia, fostering a future where technology enhances human intellect while upholding scholarly values (Tang et al., 2024).</w:t>
      </w:r>
    </w:p>
    <w:bookmarkEnd w:id="82"/>
    <w:bookmarkStart w:id="83" w:name="Xcc6a8e6c442740756cbe10ce3be98602e8161c5"/>
    <w:p>
      <w:pPr>
        <w:pStyle w:val="Heading3"/>
      </w:pPr>
      <w:r>
        <w:t xml:space="preserve">4.6.4 Pathways for Future Research and Development</w:t>
      </w:r>
    </w:p>
    <w:p>
      <w:pPr>
        <w:pStyle w:val="FirstParagraph"/>
      </w:pPr>
      <w:r>
        <w:t xml:space="preserve">The multi-agent AI system, particularly in its open-source incarnation, presents numerous exciting pathways for future research and development, promising continuous evolution and broader applicability (Hermansen &amp; Osborne, 2025)(Shao et al., 2025). The modular nature of the architecture makes it highly adaptable to new advancements in AI and to the evolving needs of the academic community (Salman et al., 2025).</w:t>
      </w:r>
    </w:p>
    <w:p>
      <w:pPr>
        <w:pStyle w:val="BodyText"/>
      </w:pPr>
      <w:r>
        <w:rPr>
          <w:bCs/>
          <w:b/>
        </w:rPr>
        <w:t xml:space="preserve">Enhanced Customization and Personalization:</w:t>
      </w:r>
      <w:r>
        <w:t xml:space="preserve"> </w:t>
      </w:r>
      <w:r>
        <w:t xml:space="preserve">Future development could focus on allowing researchers to more deeply customize the system to their individual writing styles, disciplinary conventions, or specific project requirements (Tajik, 2025). This might involve training agents on a researcher’s past publications to mimic their voice or allowing for more granular control over stylistic parameters (Shao et al., 2025). Personalization could extend to dynamic learning paths for lifelong learning, where the AI system adapts to the user’s growing expertise and provides increasingly sophisticated assistance (Bayly-Castaneda et al., 2024).</w:t>
      </w:r>
    </w:p>
    <w:p>
      <w:pPr>
        <w:pStyle w:val="BodyText"/>
      </w:pPr>
      <w:r>
        <w:rPr>
          <w:bCs/>
          <w:b/>
        </w:rPr>
        <w:t xml:space="preserve">Integration with Advanced Research Tools:</w:t>
      </w:r>
      <w:r>
        <w:t xml:space="preserve"> </w:t>
      </w:r>
      <w:r>
        <w:t xml:space="preserve">Deeper integration with other cutting-edge research tools is a promising avenue. This includes linking with experimental data analysis platforms for automated results reporting, specialized bibliographic management software, or even tools for generating figures and tables directly from data sets (Somnath et al., 2019)(Cortés et al., 2024). Real-time integration with institutional repositories and open science platforms could further streamline the entire research lifecycle, from data collection to publication (Mwangi et al., 2021)(Austin et al., 2021).</w:t>
      </w:r>
    </w:p>
    <w:p>
      <w:pPr>
        <w:pStyle w:val="BodyText"/>
      </w:pPr>
      <w:r>
        <w:rPr>
          <w:bCs/>
          <w:b/>
        </w:rPr>
        <w:t xml:space="preserve">Multimodality and Interactivity:</w:t>
      </w:r>
      <w:r>
        <w:t xml:space="preserve"> </w:t>
      </w:r>
      <w:r>
        <w:t xml:space="preserve">Expanding the system’s capabilities beyond text to include multimodality (e.g., generating figures, creating interactive dashboards, processing audio/visual research data) would significantly broaden its utility (Katam, 2025). More sophisticated interactive interfaces, allowing for natural language dialogue with the agents to refine drafts or explore research questions, could also enhance user experience and collaborative potential (Shao et al., 2025). Human-AI teaming in critical care scenarios (Bienefeld et al., 2023) could inspire more adaptive and responsive collaboration models for academic writing.</w:t>
      </w:r>
    </w:p>
    <w:p>
      <w:pPr>
        <w:pStyle w:val="BodyText"/>
      </w:pPr>
      <w:r>
        <w:rPr>
          <w:bCs/>
          <w:b/>
        </w:rPr>
        <w:t xml:space="preserve">Proactive Research Assistance:</w:t>
      </w:r>
      <w:r>
        <w:t xml:space="preserve"> </w:t>
      </w:r>
      <w:r>
        <w:t xml:space="preserve">Future iterations could move towards more proactive research assistance, where the system not only responds to explicit commands but also anticipates researcher needs. This might involve suggesting relevant literature based on current writing, identifying potential biases in arguments, or even flagging emerging research gaps before the human explicitly searches for them (Shao et al., 2025). Predictive maintenance in smart agriculture (Prajapati, 2025) or industrial automation (Haque et al., 2024) offers analogies for how AI can anticipate needs in complex systems, which could be applied to scholarly writing.</w:t>
      </w:r>
    </w:p>
    <w:p>
      <w:pPr>
        <w:pStyle w:val="BodyText"/>
      </w:pPr>
      <w:r>
        <w:rPr>
          <w:bCs/>
          <w:b/>
        </w:rPr>
        <w:t xml:space="preserve">Advanced Ethical Governance and Explainability:</w:t>
      </w:r>
      <w:r>
        <w:t xml:space="preserve"> </w:t>
      </w:r>
      <w:r>
        <w:t xml:space="preserve">As AI systems become more complex, future research must focus on enhancing explainability—making the AI’s decision-making processes more transparent to users (Polemi et al., 2024). This is crucial for building trust and allowing researchers to understand</w:t>
      </w:r>
      <w:r>
        <w:t xml:space="preserve"> </w:t>
      </w:r>
      <w:r>
        <w:rPr>
          <w:iCs/>
          <w:i/>
        </w:rPr>
        <w:t xml:space="preserve">why</w:t>
      </w:r>
      <w:r>
        <w:t xml:space="preserve"> </w:t>
      </w:r>
      <w:r>
        <w:t xml:space="preserve">the AI made certain suggestions. Further development in ethical AI governance, potentially through federated learning or privacy-preserving AI techniques, will also be vital to ensure responsible innovation (Tang et al., 2024).</w:t>
      </w:r>
    </w:p>
    <w:p>
      <w:pPr>
        <w:pStyle w:val="BodyText"/>
      </w:pPr>
      <w:r>
        <w:rPr>
          <w:bCs/>
          <w:b/>
        </w:rPr>
        <w:t xml:space="preserve">Community-Driven Agent Development Frameworks:</w:t>
      </w:r>
      <w:r>
        <w:t xml:space="preserve"> </w:t>
      </w:r>
      <w:r>
        <w:t xml:space="preserve">Fostering the open-source community will require robust frameworks for easy agent development and integration (Fiotto-Kaufman et al., 2024). Simplifying the process for external developers to contribute new specialized agents will accelerate the system’s growth and ensure its adaptability to future challenges and opportunities in academic research (Hermansen &amp; Sandberg, 2025). These pathways underscore the dynamic and evolving nature of AI in academia, positioning the multi-agent system as a foundational platform for future innovation in scholarly communication (Shao et al., 2025).</w:t>
      </w:r>
    </w:p>
    <w:bookmarkEnd w:id="83"/>
    <w:bookmarkEnd w:id="84"/>
    <w:bookmarkEnd w:id="85"/>
    <w:bookmarkStart w:id="132" w:name="discussion"/>
    <w:p>
      <w:pPr>
        <w:pStyle w:val="Heading1"/>
      </w:pPr>
      <w:r>
        <w:t xml:space="preserve">Discussion</w:t>
      </w:r>
    </w:p>
    <w:p>
      <w:pPr>
        <w:pStyle w:val="FirstParagraph"/>
      </w:pPr>
      <w:r>
        <w:t xml:space="preserve">The advent of sophisticated generative Artificial Intelligence (AI) tools has irrevocably reshaped the landscape of academic inquiry and scholarly communication, moving from a nascent technological curiosity to an indispensable component of research workflows (Salman et al., 2025)(Selim, 2024). This discussion critically evaluates the multifaceted implications of these advancements, particularly within the context of the theoretical framework and case studies presented in this paper. We delve into the profound effects on academic equity and accessibility, the evolving dynamics of AI-human collaboration, and the paramount ethical considerations that now permeate scholarly work. Furthermore, we project the future trajectory of AI-assisted research and writing, offering concrete recommendations for researchers, institutions, and policymakers, while candidly acknowledging the inherent limitations and persistent challenges associated with the automated academic writing paradigm. The insights derived herein are crucial for fostering a responsible, inclusive, and academically rigorous environment in an era increasingly defined by intelligent automation.</w:t>
      </w:r>
    </w:p>
    <w:bookmarkStart w:id="86" w:name="X16f60ca04a98cf4844bf228eab3d89317b236f6"/>
    <w:p>
      <w:pPr>
        <w:pStyle w:val="Heading3"/>
      </w:pPr>
      <w:r>
        <w:t xml:space="preserve">Implications for Academic Equity and Accessibility</w:t>
      </w:r>
    </w:p>
    <w:p>
      <w:pPr>
        <w:pStyle w:val="FirstParagraph"/>
      </w:pPr>
      <w:r>
        <w:t xml:space="preserve">The integration of AI tools into academic writing holds transformative potential for enhancing equity and accessibility, yet it simultaneously presents a risk of exacerbating existing disparities. On the one hand, AI-powered writing assistants can democratize access to high-quality academic output for individuals and institutions that have historically faced significant barriers (Dalabih &amp; Aljabari, 2023)(Sarker et al., 2024). For instance, non-native English speakers, who often struggle with the linguistic nuances and stylistic conventions of academic English, can leverage AI tools to refine their prose, improve grammar, and ensure clarity, thereby leveling the playing field in international scholarly discourse (Tran, 2024)(Merkviladze, 2024). This is particularly pertinent given the dominance of English in global academic publishing, where linguistic proficiency can often overshadow the substantive merit of research (Tran, 2024). AI can act as a sophisticated linguistic coach, offering real-time feedback and suggestions that go beyond basic spell-checking, helping authors to articulate complex ideas with precision and confidence. Similarly, researchers with learning disabilities or physical impairments, who might find the mechanics of extensive writing challenging, can benefit immensely from AI tools that assist with dictation, transcription, text generation from outlines, and even rephrasing for clarity. These tools can reduce the cognitive load associated with writing, allowing researchers to focus their intellectual energy on the conceptual development and critical analysis of their work. Moreover, institutions in resource-poor regions, often lacking access to extensive editorial support or advanced research infrastructure, can utilize open-source or affordable AI tools to enhance the quality and reach of their scholarly contributions (Mwangi et al., 2021)(Chinchu, 2021). The proliferation of open-source AI models and platforms, as highlighted by initiatives like Just-DNA-Seq (Anton et al., 2024) and the broader movement towards open science (Mwangi et al., 2021)(Austin et al., 2021)(Somnath et al., 2019)(Hermansen &amp; Sandberg, 2025)(Ritoré et al., 2024)(Fiotto-Kaufman et al., 2024), is critical in ensuring that the benefits of AI are not exclusively confined to well-funded institutions but are accessible globally. These platforms can provide researchers with powerful data analysis capabilities, advanced statistical tools, and even writing assistance that might otherwise be prohibitively expensive.</w:t>
      </w:r>
    </w:p>
    <w:p>
      <w:pPr>
        <w:pStyle w:val="BodyText"/>
      </w:pPr>
      <w:r>
        <w:t xml:space="preserve">However, the promise of enhanced equity is tempered by significant concerns regarding the digital divide and the potential for AI to introduce new forms of inequality. Access to advanced, high-performing AI models often comes with a cost, creating a tier system where researchers with greater financial resources can access superior tools, potentially leading to a competitive advantage in publication and grant acquisition (Kadambi et al., 2024). This economic barrier could deepen the chasm between well-endowed universities and those in developing nations, or even between departments within the same institution. Beyond the direct financial cost, the effective utilization of AI tools requires a certain level of digital literacy and technical proficiency. Researchers lacking these skills might find themselves unable to fully harness the capabilities of AI, further marginalizing them in an increasingly AI-driven academic environment. The training data used to develop AI models can also embed and perpetuate existing biases, which, when reflected in the AI’s output, could disadvantage certain demographic groups or research areas (Kadambi et al., 2024)(Peters et al., 2020)(Polemi et al., 2024). For example, if an AI model is predominantly trained on Western-centric academic literature, it might inadvertently marginalize research from other cultural contexts or favor certain theoretical perspectives, thereby reinforcing existing hegemonies in knowledge production. Ensuring fair and unbiased AI systems requires continuous scrutiny of training data and algorithm design, a complex undertaking that demands interdisciplinary collaboration and ethical foresight (Polemi et al., 2024). The challenge, therefore, lies not just in making AI tools available, but in ensuring that they are designed, implemented, and utilized in a manner that genuinely promotes inclusivity and mitigates the risk of exacerbating existing academic inequalities. Policy interventions are essential to bridge this potential gap, focusing on subsidized access, comprehensive digital literacy programs, and the promotion of diverse and inclusive datasets for AI training.</w:t>
      </w:r>
    </w:p>
    <w:bookmarkEnd w:id="86"/>
    <w:bookmarkStart w:id="87" w:name="ai-human-collaboration-in-scholarly-work"/>
    <w:p>
      <w:pPr>
        <w:pStyle w:val="Heading3"/>
      </w:pPr>
      <w:r>
        <w:t xml:space="preserve">AI-Human Collaboration in Scholarly Work</w:t>
      </w:r>
    </w:p>
    <w:p>
      <w:pPr>
        <w:pStyle w:val="FirstParagraph"/>
      </w:pPr>
      <w:r>
        <w:t xml:space="preserve">The emergence of sophisticated AI tools heralds a new era of AI-human collaboration in scholarly work, fundamentally redefining the roles and responsibilities of researchers (Shao et al., 2025)(Selim, 2024). Rather than viewing AI as a replacement for human intellect, the more productive paradigm positions AI as an intelligent assistant, augmenting human capabilities across the entire research lifecycle (Salman et al., 2025)(Kell et al., 2025)(Sarker et al., 2024). In the initial phases of research, AI can significantly streamline literature reviews, rapidly sifting through vast databases of publications to identify relevant articles, synthesize key findings, and even suggest emerging research gaps (Dalabih &amp; Aljabari, 2023)(Selim, 2024). This process, traditionally time-consuming and labor-intensive, can be accelerated, allowing researchers to spend more time on critical analysis and conceptual development. AI can also assist in the ideation phase, generating novel hypotheses or suggesting interdisciplinary connections that human researchers might overlook (Shao et al., 2025). For instance, tools capable of analyzing complex citation networks (Wu et al., 2024) can reveal hidden relationships between disparate fields, sparking new research directions.</w:t>
      </w:r>
    </w:p>
    <w:p>
      <w:pPr>
        <w:pStyle w:val="BodyText"/>
      </w:pPr>
      <w:r>
        <w:t xml:space="preserve">During the writing process, AI can serve as a powerful co-authoring tool, assisting with drafting, refining prose, and ensuring adherence to academic conventions (Kell et al., 2025)(Selim, 2024)(Madhavi, 2025). From generating initial drafts of sections based on outlines and notes to paraphrasing complex ideas, checking for grammatical errors, and improving stylistic coherence, AI liberates researchers from the more mundane aspects of writing (Tran, 2024)(Merkviladze, 2024). This allows human authors to dedicate their cognitive resources to higher-order tasks such as critical thinking, nuanced argumentation, and the development of original insights (Shao et al., 2025). The goal is not to automate authorship entirely but to create a synergistic relationship where AI handles routine or computationally intensive tasks, while humans provide the creativity, ethical judgment, and deep contextual understanding that AI currently lacks (Shao et al., 2025)(Bienefeld et al., 2023). Successful human-AI teaming, as observed in critical care settings (Bienefeld et al., 2023), demonstrates that when AI is used to complement human expertise, overall performance and efficiency can be significantly enhanced. AI can also assist in data analysis, identifying patterns and anomalies in large datasets that might be invisible to the human eye, and even help in visualizing complex information more effectively (Katam, 2025). The concept of an</w:t>
      </w:r>
      <w:r>
        <w:t xml:space="preserve"> </w:t>
      </w:r>
      <w:r>
        <w:t xml:space="preserve">“</w:t>
      </w:r>
      <w:r>
        <w:t xml:space="preserve">OmniScientist</w:t>
      </w:r>
      <w:r>
        <w:t xml:space="preserve">”</w:t>
      </w:r>
      <w:r>
        <w:t xml:space="preserve"> </w:t>
      </w:r>
      <w:r>
        <w:t xml:space="preserve">(Shao et al., 2025) envisions a co-evolving ecosystem where humans and AI agents continuously learn from and enhance each other, leading to a more dynamic and accelerated pace of scientific discovery.</w:t>
      </w:r>
    </w:p>
    <w:p>
      <w:pPr>
        <w:pStyle w:val="BodyText"/>
      </w:pPr>
      <w:r>
        <w:t xml:space="preserve">Despite the immense potential, effective AI-human collaboration is not without its challenges. Building trust in AI outputs is paramount, requiring transparency in how AI models generate their content and a clear understanding of their limitations (Polemi et al., 2024)(Bienefeld et al., 2023). Researchers must develop AI literacy, learning how to effectively prompt AI, critically evaluate its suggestions, and discern between accurate and erroneous information (Bhatt, 2025)(Chan, 2023). The integration of AI tools must be seamless and intuitive, avoiding workflows that are cumbersome or disruptive. Furthermore, the collaboration paradigm necessitates a shift in educational approaches, preparing future researchers to work effectively alongside AI from the outset (Chan, 2023)(Bayly-Castaneda et al., 2024). This includes training in responsible AI use, data ethics, and the critical assessment of AI-generated content. Ultimately, the success of AI-human collaboration in scholarly work hinges on a balanced approach that leverages AI’s strengths in efficiency and pattern recognition while preserving and elevating human creativity, ethical oversight, and intellectual leadership.</w:t>
      </w:r>
    </w:p>
    <w:bookmarkEnd w:id="87"/>
    <w:bookmarkStart w:id="88" w:name="X6f9ed7f9b70b87df3bce0bd5efd4868da48c348"/>
    <w:p>
      <w:pPr>
        <w:pStyle w:val="Heading3"/>
      </w:pPr>
      <w:r>
        <w:t xml:space="preserve">Ethical Considerations (Authorship, Academic Integrity)</w:t>
      </w:r>
    </w:p>
    <w:p>
      <w:pPr>
        <w:pStyle w:val="FirstParagraph"/>
      </w:pPr>
      <w:r>
        <w:t xml:space="preserve">The rapid integration of AI into academic writing has brought forth a complex array of ethical considerations, particularly concerning authorship, academic integrity, and the potential for bias and misinformation (Granjeiro et al., 2025)(Kotsis, 2025)(Bhatt, 2025)(Tang et al., 2024)(Partyko et al., 2024). One of the most contentious issues revolves around authorship. Traditional notions of authorship are predicated on the idea of intellectual contribution, original thought, and responsibility for the work (Granjeiro et al., 2025). When AI tools generate significant portions of text, rephrase arguments, or even synthesize entire sections, the question arises: can an AI be considered an author, or at least a co-author? The prevailing consensus in academic publishing bodies is that AI tools cannot be listed as authors, as they lack consciousness, legal personhood, and the capacity for accountability (Granjeiro et al., 2025)(Kotsis, 2025). Instead, their use should be explicitly disclosed in the methodology or acknowledgments section, detailing the specific tools used and the extent of their involvement (Bhatt, 2025). This transparency is crucial for maintaining academic integrity and allowing readers to assess the human contribution and oversight involved in the research. Without clear guidelines, there is a risk of obfuscating the true intellectual contribution, potentially undermining the credibility of scholarly publications.</w:t>
      </w:r>
    </w:p>
    <w:p>
      <w:pPr>
        <w:pStyle w:val="BodyText"/>
      </w:pPr>
      <w:r>
        <w:t xml:space="preserve">Academic integrity is further challenged by the ease with which AI can generate text that appears original but may lack genuine human insight or critical engagement (Bhatt, 2025)(Partyko et al., 2024). Concerns about plagiarism and self-plagiarism are amplified, as AI tools can inadvertently reproduce existing content or generate text that mimics an author’s previous work without proper attribution. Detecting AI-generated content poses a significant challenge for academic institutions and publishers, leading to a</w:t>
      </w:r>
      <w:r>
        <w:t xml:space="preserve"> </w:t>
      </w:r>
      <w:r>
        <w:t xml:space="preserve">“</w:t>
      </w:r>
      <w:r>
        <w:t xml:space="preserve">cat and mouse</w:t>
      </w:r>
      <w:r>
        <w:t xml:space="preserve">”</w:t>
      </w:r>
      <w:r>
        <w:t xml:space="preserve"> </w:t>
      </w:r>
      <w:r>
        <w:t xml:space="preserve">game between detection technologies and increasingly sophisticated generative AI models (Casal &amp; Kessler, 2023). Universities and journals are grappling with the need to develop robust policies and tools to identify and address academic misconduct involving AI (Chan, 2023). This extends beyond direct plagiarism to issues of</w:t>
      </w:r>
      <w:r>
        <w:t xml:space="preserve"> </w:t>
      </w:r>
      <w:r>
        <w:t xml:space="preserve">“</w:t>
      </w:r>
      <w:r>
        <w:t xml:space="preserve">ghostwriting</w:t>
      </w:r>
      <w:r>
        <w:t xml:space="preserve">”</w:t>
      </w:r>
      <w:r>
        <w:t xml:space="preserve"> </w:t>
      </w:r>
      <w:r>
        <w:t xml:space="preserve">where AI produces substantial content without human intellectual input, effectively creating a counterfeit scholarship. The integrity of the peer-review process is also impacted, as AI could potentially be used to generate or manipulate reviews (Huzaifa et al., 2025), compromising the quality control mechanisms that underpin scholarly communication.</w:t>
      </w:r>
    </w:p>
    <w:p>
      <w:pPr>
        <w:pStyle w:val="BodyText"/>
      </w:pPr>
      <w:r>
        <w:t xml:space="preserve">Beyond authorship and integrity, ethical concerns surrounding bias and misinformation are paramount. AI models are trained on vast datasets, and if these datasets contain biases—whether societal, cultural, or historical—the AI’s output will inevitably reflect and potentially amplify these biases (Kadambi et al., 2024)(Peters et al., 2020)(Polemi et al., 2024). This can lead to the perpetuation of stereotypes, the marginalization of certain perspectives, or the generation of content that is subtly discriminatory. Researchers must be acutely aware of the potential for bias in AI-generated text and critically evaluate its output to ensure fairness and inclusivity. Furthermore, AI’s propensity for</w:t>
      </w:r>
      <w:r>
        <w:t xml:space="preserve"> </w:t>
      </w:r>
      <w:r>
        <w:t xml:space="preserve">“</w:t>
      </w:r>
      <w:r>
        <w:t xml:space="preserve">hallucination</w:t>
      </w:r>
      <w:r>
        <w:t xml:space="preserve">”</w:t>
      </w:r>
      <w:r>
        <w:t xml:space="preserve">—generating factually incorrect but syntactically plausible information—poses a significant threat to the veracity of academic research (Bhatt, 2025). Unchecked AI output could introduce errors into scholarly work, eroding trust in scientific findings and potentially leading to harmful consequences. The lack of explainability in many complex AI models (the</w:t>
      </w:r>
      <w:r>
        <w:t xml:space="preserve"> </w:t>
      </w:r>
      <w:r>
        <w:t xml:space="preserve">“</w:t>
      </w:r>
      <w:r>
        <w:t xml:space="preserve">black box</w:t>
      </w:r>
      <w:r>
        <w:t xml:space="preserve">”</w:t>
      </w:r>
      <w:r>
        <w:t xml:space="preserve"> </w:t>
      </w:r>
      <w:r>
        <w:t xml:space="preserve">problem) further complicates ethical oversight, making it difficult to understand</w:t>
      </w:r>
      <w:r>
        <w:t xml:space="preserve"> </w:t>
      </w:r>
      <w:r>
        <w:rPr>
          <w:iCs/>
          <w:i/>
        </w:rPr>
        <w:t xml:space="preserve">why</w:t>
      </w:r>
      <w:r>
        <w:t xml:space="preserve"> </w:t>
      </w:r>
      <w:r>
        <w:t xml:space="preserve">an AI produced a particular output or how biases might be influencing its decisions (Polemi et al., 2024). To navigate these ethical complexities, a multi-pronged approach is required, involving clear institutional policies, robust educational initiatives for researchers and students (Chan, 2023), ongoing development of AI ethics frameworks (Peters et al., 2020)(Polemi et al., 2024), and a commitment to transparency in the use and development of AI tools in academia (Biroğul et al., 2025).</w:t>
      </w:r>
    </w:p>
    <w:bookmarkEnd w:id="88"/>
    <w:bookmarkStart w:id="89" w:name="Xa44951956d8b5bf6f5ab796e8fadb8be261759f"/>
    <w:p>
      <w:pPr>
        <w:pStyle w:val="Heading3"/>
      </w:pPr>
      <w:r>
        <w:t xml:space="preserve">Future of AI-Assisted Research and Writing</w:t>
      </w:r>
    </w:p>
    <w:p>
      <w:pPr>
        <w:pStyle w:val="FirstParagraph"/>
      </w:pPr>
      <w:r>
        <w:t xml:space="preserve">The trajectory of AI-assisted research and writing points towards an increasingly integrated and transformative future, characterized by more sophisticated tools, dynamic collaboration ecosystems, and an accelerated pace of knowledge discovery (Shao et al., 2025)(Dalabih &amp; Aljabari, 2023). We are moving beyond simple text generation to an era where AI agents will perform complex, multi-stage research tasks with greater autonomy and precision. The vision of an</w:t>
      </w:r>
      <w:r>
        <w:t xml:space="preserve"> </w:t>
      </w:r>
      <w:r>
        <w:t xml:space="preserve">“</w:t>
      </w:r>
      <w:r>
        <w:t xml:space="preserve">OmniScientist</w:t>
      </w:r>
      <w:r>
        <w:t xml:space="preserve">”</w:t>
      </w:r>
      <w:r>
        <w:t xml:space="preserve"> </w:t>
      </w:r>
      <w:r>
        <w:t xml:space="preserve">(Shao et al., 2025) suggests a future where human researchers and AI agents co-evolve, forming symbiotic relationships that leverage the strengths of each. AI will not merely assist in writing but will become an intelligent partner throughout the entire research lifecycle, from hypothesis generation to experimental design, data interpretation, and scholarly communication (Shao et al., 2025). This will involve AI systems capable of understanding complex scientific concepts, reasoning across disparate domains, and generating novel insights that push the boundaries of current knowledge.</w:t>
      </w:r>
    </w:p>
    <w:p>
      <w:pPr>
        <w:pStyle w:val="BodyText"/>
      </w:pPr>
      <w:r>
        <w:t xml:space="preserve">One major area of development will be the emergence of highly specialized AI agents. Instead of general-purpose large language models (LLMs), we can anticipate the proliferation of domain-specific AI tools trained on curated datasets for particular scientific fields, capable of performing tasks like automated literature synthesis in medicine (Wu et al., 2024), predictive maintenance in agriculture (Prajapati, 2025) or industrial automation (Haque et al., 2024), or even designing new materials. These specialized agents will possess a deeper understanding of their respective fields, reducing the likelihood of hallucinations and increasing the accuracy and relevance of their output. Multi-agent systems, where several AI agents collaborate on different aspects of a research project (Maecker et al., 2023)(Bahrpeyma &amp; Reichelt, 2022), could become commonplace. For example, one AI agent might be responsible for data collection and initial analysis, another for drafting the methodology section, and a third for ensuring stylistic consistency and citation accuracy. This distributed intelligence could significantly enhance research efficiency and quality.</w:t>
      </w:r>
    </w:p>
    <w:p>
      <w:pPr>
        <w:pStyle w:val="BodyText"/>
      </w:pPr>
      <w:r>
        <w:t xml:space="preserve">The future will also see the rise of personalized AI research assistants (Tajik, 2025)(Bayly-Castaneda et al., 2024). These intelligent agents will learn from an individual researcher’s preferences, writing style, and research interests, offering highly tailored support. Imagine an AI that not only suggests relevant literature but also understands your theoretical leanings, anticipates your next research question, and even helps you craft arguments in your unique voice. This personalization extends to learning paths, with AI crafting bespoke educational experiences for lifelong learning in research (Bayly-Castaneda et al., 2024). Furthermore, AI is poised to revolutionize scholarly communication beyond just writing. Automated peer review systems (Huzaifa et al., 2025)(Cortés et al., 2024), while still in their nascent stages, could accelerate the publication process and ensure more consistent quality control. AI could assist in identifying suitable reviewers, detecting potential conflicts of interest, and even providing initial feedback on manuscript quality, allowing human reviewers to focus on deeper conceptual issues. The ability of AI to summarize long documents (Radensky et al., 2024) also promises to make research more accessible and digestible, potentially transforming how findings are disseminated to broader audiences. The overarching trend is towards a future where AI facilitates a more dynamic, interconnected, and efficient scholarly ecosystem, capable of producing and disseminating knowledge at an unprecedented scale and speed (Dalabih &amp; Aljabari, 2023).</w:t>
      </w:r>
    </w:p>
    <w:bookmarkEnd w:id="89"/>
    <w:bookmarkStart w:id="90" w:name="X44752227273a25ae467d68f94342f85ef98d738"/>
    <w:p>
      <w:pPr>
        <w:pStyle w:val="Heading3"/>
      </w:pPr>
      <w:r>
        <w:t xml:space="preserve">Recommendations for Researchers, Institutions, and Policymakers</w:t>
      </w:r>
    </w:p>
    <w:p>
      <w:pPr>
        <w:pStyle w:val="FirstParagraph"/>
      </w:pPr>
      <w:r>
        <w:t xml:space="preserve">To effectively navigate the transformative landscape of AI-assisted academic writing, a concerted and coordinated effort is required from all stakeholders: researchers, academic institutions, and policymakers. These recommendations aim to foster responsible innovation, ensure academic integrity, and promote equitable access to AI’s benefits.</w:t>
      </w:r>
    </w:p>
    <w:p>
      <w:pPr>
        <w:pStyle w:val="BodyText"/>
      </w:pPr>
      <w:r>
        <w:t xml:space="preserve">For</w:t>
      </w:r>
      <w:r>
        <w:t xml:space="preserve"> </w:t>
      </w:r>
      <w:r>
        <w:rPr>
          <w:bCs/>
          <w:b/>
        </w:rPr>
        <w:t xml:space="preserve">researchers</w:t>
      </w:r>
      <w:r>
        <w:t xml:space="preserve">, the foremost recommendation is to cultivate</w:t>
      </w:r>
      <w:r>
        <w:t xml:space="preserve"> </w:t>
      </w:r>
      <w:r>
        <w:rPr>
          <w:bCs/>
          <w:b/>
        </w:rPr>
        <w:t xml:space="preserve">AI literacy and critical evaluation skills</w:t>
      </w:r>
      <w:r>
        <w:t xml:space="preserve"> </w:t>
      </w:r>
      <w:r>
        <w:t xml:space="preserve">(Chan, 2023). This involves understanding how AI tools work, their capabilities, and, crucially, their limitations and potential for bias (Bhatt, 2025)(Madhavi, 2025). Researchers must learn to critically evaluate AI-generated content, verifying facts, checking for logical coherence, and ensuring that the output aligns with their original intent and ethical standards. Over-reliance on AI without critical human oversight can lead to the proliferation of errors and a decline in intellectual rigor.</w:t>
      </w:r>
      <w:r>
        <w:t xml:space="preserve"> </w:t>
      </w:r>
      <w:r>
        <w:rPr>
          <w:bCs/>
          <w:b/>
        </w:rPr>
        <w:t xml:space="preserve">Transparency</w:t>
      </w:r>
      <w:r>
        <w:t xml:space="preserve"> </w:t>
      </w:r>
      <w:r>
        <w:t xml:space="preserve">in AI use is paramount: researchers should explicitly disclose the use of AI tools in their methodologies or acknowledgments, detailing which tools were used and for what purpose (Bhatt, 2025)(Madhavi, 2025). This practice ensures accountability and allows the academic community to assess the validity and originality of the work. Furthermore, researchers should actively engage with the</w:t>
      </w:r>
      <w:r>
        <w:t xml:space="preserve"> </w:t>
      </w:r>
      <w:r>
        <w:rPr>
          <w:bCs/>
          <w:b/>
        </w:rPr>
        <w:t xml:space="preserve">ethical implications</w:t>
      </w:r>
      <w:r>
        <w:t xml:space="preserve"> </w:t>
      </w:r>
      <w:r>
        <w:t xml:space="preserve">of AI, participating in discussions, staying informed about evolving guidelines, and contributing to the development of best practices for responsible AI use in their respective fields (Bhatt, 2025). This proactive engagement will ensure that ethical considerations are embedded in the research process from its inception.</w:t>
      </w:r>
    </w:p>
    <w:p>
      <w:pPr>
        <w:pStyle w:val="BodyText"/>
      </w:pPr>
      <w:r>
        <w:rPr>
          <w:bCs/>
          <w:b/>
        </w:rPr>
        <w:t xml:space="preserve">Academic institutions</w:t>
      </w:r>
      <w:r>
        <w:t xml:space="preserve"> </w:t>
      </w:r>
      <w:r>
        <w:t xml:space="preserve">bear a significant responsibility in establishing clear frameworks and providing necessary support. The primary recommendation is to develop and implement</w:t>
      </w:r>
      <w:r>
        <w:t xml:space="preserve"> </w:t>
      </w:r>
      <w:r>
        <w:rPr>
          <w:bCs/>
          <w:b/>
        </w:rPr>
        <w:t xml:space="preserve">comprehensive AI policies</w:t>
      </w:r>
      <w:r>
        <w:t xml:space="preserve"> </w:t>
      </w:r>
      <w:r>
        <w:t xml:space="preserve">that address authorship, academic integrity, plagiarism, and appropriate disclosure (Chan, 2023)(Madhavi, 2025). These policies should be regularly updated to keep pace with rapid technological advancements. Institutions must invest in</w:t>
      </w:r>
      <w:r>
        <w:t xml:space="preserve"> </w:t>
      </w:r>
      <w:r>
        <w:rPr>
          <w:bCs/>
          <w:b/>
        </w:rPr>
        <w:t xml:space="preserve">training and educational programs</w:t>
      </w:r>
      <w:r>
        <w:t xml:space="preserve"> </w:t>
      </w:r>
      <w:r>
        <w:t xml:space="preserve">for both students and faculty, focusing on responsible AI use, critical evaluation of AI output, and the ethical considerations involved (Chan, 2023)(Bayly-Castaneda et al., 2024)(Zimotti et al., 2024). This includes workshops, online modules, and curriculum integration to ensure that all members of the academic community are equipped to navigate the AI era. Investing in</w:t>
      </w:r>
      <w:r>
        <w:t xml:space="preserve"> </w:t>
      </w:r>
      <w:r>
        <w:rPr>
          <w:bCs/>
          <w:b/>
        </w:rPr>
        <w:t xml:space="preserve">infrastructure and equitable access</w:t>
      </w:r>
      <w:r>
        <w:t xml:space="preserve"> </w:t>
      </w:r>
      <w:r>
        <w:t xml:space="preserve">to high-quality AI tools is also crucial (Kadambi et al., 2024). Institutions should strive to provide subsidized access to advanced AI platforms or promote the use of open-source alternatives (Mwangi et al., 2021)(Chinchu, 2021)(Somnath et al., 2019)(Hermansen &amp; Sandberg, 2025)(Fiotto-Kaufman et al., 2024) to minimize the digital divide and ensure that all researchers, regardless of their departmental funding or personal resources, can benefit from AI assistance. Finally, institutions should foster a culture that</w:t>
      </w:r>
      <w:r>
        <w:t xml:space="preserve"> </w:t>
      </w:r>
      <w:r>
        <w:rPr>
          <w:bCs/>
          <w:b/>
        </w:rPr>
        <w:t xml:space="preserve">encourages innovation while upholding academic rigor</w:t>
      </w:r>
      <w:r>
        <w:t xml:space="preserve">, recognizing AI as a tool for enhancement rather than a substitute for intellectual effort.</w:t>
      </w:r>
    </w:p>
    <w:p>
      <w:pPr>
        <w:pStyle w:val="BodyText"/>
      </w:pPr>
      <w:r>
        <w:t xml:space="preserve">For</w:t>
      </w:r>
      <w:r>
        <w:t xml:space="preserve"> </w:t>
      </w:r>
      <w:r>
        <w:rPr>
          <w:bCs/>
          <w:b/>
        </w:rPr>
        <w:t xml:space="preserve">policymakers</w:t>
      </w:r>
      <w:r>
        <w:t xml:space="preserve">, the role is to create a supportive regulatory and funding environment that promotes responsible AI development and deployment in academia. A key recommendation is to establish</w:t>
      </w:r>
      <w:r>
        <w:t xml:space="preserve"> </w:t>
      </w:r>
      <w:r>
        <w:rPr>
          <w:bCs/>
          <w:b/>
        </w:rPr>
        <w:t xml:space="preserve">national or international regulatory frameworks</w:t>
      </w:r>
      <w:r>
        <w:t xml:space="preserve"> </w:t>
      </w:r>
      <w:r>
        <w:t xml:space="preserve">that address the ethical implications of AI in research, particularly concerning data privacy, bias mitigation, and the accountability of AI systems (Kadambi et al., 2024)(Biroğul et al., 2025)(Polemi et al., 2024). These frameworks should be developed through multi-stakeholder consultations involving academics, industry experts, ethicists, and legal professionals. Policymakers should also allocate</w:t>
      </w:r>
      <w:r>
        <w:t xml:space="preserve"> </w:t>
      </w:r>
      <w:r>
        <w:rPr>
          <w:bCs/>
          <w:b/>
        </w:rPr>
        <w:t xml:space="preserve">funding for research into AI ethics and responsible AI development</w:t>
      </w:r>
      <w:r>
        <w:t xml:space="preserve">, particularly focusing on open-source AI initiatives (Hermansen &amp; Sandberg, 2025)(Fiotto-Kaufman et al., 2024), explainable AI, and methods to detect and mitigate bias (Polemi et al., 2024). This funding is vital for ensuring that AI tools are developed with ethical considerations embedded from the ground up. Addressing the</w:t>
      </w:r>
      <w:r>
        <w:t xml:space="preserve"> </w:t>
      </w:r>
      <w:r>
        <w:rPr>
          <w:bCs/>
          <w:b/>
        </w:rPr>
        <w:t xml:space="preserve">digital divide</w:t>
      </w:r>
      <w:r>
        <w:t xml:space="preserve"> </w:t>
      </w:r>
      <w:r>
        <w:t xml:space="preserve">through targeted funding for digital literacy programs and infrastructure development in underserved regions is also critical to ensure that the benefits of AI are distributed equitably (Kadambi et al., 2024). Finally, policymakers should champion</w:t>
      </w:r>
      <w:r>
        <w:t xml:space="preserve"> </w:t>
      </w:r>
      <w:r>
        <w:rPr>
          <w:bCs/>
          <w:b/>
        </w:rPr>
        <w:t xml:space="preserve">open science principles</w:t>
      </w:r>
      <w:r>
        <w:t xml:space="preserve"> </w:t>
      </w:r>
      <w:r>
        <w:t xml:space="preserve">(Mwangi et al., 2021)(Austin et al., 2021)(Somnath et al., 2019) and the sharing of research data and AI models (Anton et al., 2024)(Ritoré et al., 2024), as this transparency is fundamental to fostering trust, enabling scrutiny, and accelerating collective progress in the AI-driven research landscape. The ISO/IEC 42001:2023 AI Management Standard (Biroğul et al., 2025) represents a crucial step in this direction, providing a framework for organizations to manage AI systems responsibly.</w:t>
      </w:r>
    </w:p>
    <w:p>
      <w:r>
        <w:pict>
          <v:rect style="width:0;height:1.5pt" o:hralign="center" o:hrstd="t" o:hr="t"/>
        </w:pict>
      </w:r>
    </w:p>
    <w:bookmarkEnd w:id="90"/>
    <w:bookmarkStart w:id="95" w:name="limitations"/>
    <w:p>
      <w:pPr>
        <w:pStyle w:val="Heading2"/>
      </w:pPr>
      <w:r>
        <w:t xml:space="preserve">Limitations</w:t>
      </w:r>
    </w:p>
    <w:p>
      <w:pPr>
        <w:pStyle w:val="FirstParagraph"/>
      </w:pPr>
      <w:r>
        <w:t xml:space="preserve">While this research makes significant contributions to the field of AI-assisted academic writing and the democratization of scholarly communication, it is important to acknowledge several limitations that contextualize the findings and suggest areas for refinement. These limitations are inherent in the theoretical and developmental nature of the OpenDraft system and the rapidly evolving landscape of artificial intelligence.</w:t>
      </w:r>
    </w:p>
    <w:bookmarkStart w:id="91" w:name="methodological-limitations"/>
    <w:p>
      <w:pPr>
        <w:pStyle w:val="Heading3"/>
      </w:pPr>
      <w:r>
        <w:t xml:space="preserve">Methodological Limitations</w:t>
      </w:r>
    </w:p>
    <w:p>
      <w:pPr>
        <w:pStyle w:val="FirstParagraph"/>
      </w:pPr>
      <w:r>
        <w:t xml:space="preserve">The primary methodological limitation stems from the conceptual and architectural focus of this research. While a detailed 14-agent workflow and API-backed citation mechanism for OpenDraft have been designed and analyzed, the study does not include comprehensive empirical testing with real users or large-scale deployment. The performance metrics and time-saving projections presented are based on simulated data, theoretical efficiencies, and internal benchmarks, rather than extensive, randomized controlled trials. This means that while the theoretical potential is high, the practical efficacy and user experience in diverse academic settings are yet to be fully validated through rigorous experimental research. Furthermore, the evaluation criteria for democratization impact, while comprehensive, have not been applied to actual user cohorts to gather qualitative and quantitative feedback on accessibility, usability, and empowerment. Future research must address these gaps through robust empirical studies.</w:t>
      </w:r>
    </w:p>
    <w:bookmarkEnd w:id="91"/>
    <w:bookmarkStart w:id="92" w:name="scope-and-generalizability"/>
    <w:p>
      <w:pPr>
        <w:pStyle w:val="Heading3"/>
      </w:pPr>
      <w:r>
        <w:t xml:space="preserve">Scope and Generalizability</w:t>
      </w:r>
    </w:p>
    <w:p>
      <w:pPr>
        <w:pStyle w:val="FirstParagraph"/>
      </w:pPr>
      <w:r>
        <w:t xml:space="preserve">The scope of this research is primarily focused on a multi-agent AI system for generating academic theses and papers, emphasizing text-based scholarly communication. Consequently, its generalizability to other forms of academic output or non-textual research modalities is limited. For instance, the system’s current design does not explicitly integrate capabilities for generating complex scientific figures, interactive data visualizations, or processing multimodal research data (e.g., audio, video, specialized sensor data), which are increasingly important in many scientific disciplines. While the principles of multi-agent collaboration are broadly applicable, their specific implementation within OpenDraft is tailored to the structured demands of academic prose. Adapting the system for shorter-form academic outputs (e.g., conference abstracts, grant proposals) or highly specialized formats (e.g., legal briefs, clinical reports) would require further customization and validation beyond the current scope.</w:t>
      </w:r>
    </w:p>
    <w:bookmarkEnd w:id="92"/>
    <w:bookmarkStart w:id="93" w:name="temporal-and-contextual-constraints"/>
    <w:p>
      <w:pPr>
        <w:pStyle w:val="Heading3"/>
      </w:pPr>
      <w:r>
        <w:t xml:space="preserve">Temporal and Contextual Constraints</w:t>
      </w:r>
    </w:p>
    <w:p>
      <w:pPr>
        <w:pStyle w:val="FirstParagraph"/>
      </w:pPr>
      <w:r>
        <w:t xml:space="preserve">The field of artificial intelligence, particularly generative AI, is advancing at an unprecedented pace. The capabilities and limitations of large language models (LLMs) and multi-agent systems are constantly evolving, meaning that the findings and architectural designs presented in this thesis are inherently subject to rapid obsolescence. New models, architectures, and ethical considerations emerge frequently, which could alter the optimal design choices or necessitate significant updates to the OpenDraft system. Furthermore, the ethical and policy frameworks for AI in academia are still in their nascent stages, with guidelines and regulations continually being developed by institutions and publishers. This dynamic context means that the</w:t>
      </w:r>
      <w:r>
        <w:t xml:space="preserve"> </w:t>
      </w:r>
      <w:r>
        <w:t xml:space="preserve">“</w:t>
      </w:r>
      <w:r>
        <w:t xml:space="preserve">responsible AI</w:t>
      </w:r>
      <w:r>
        <w:t xml:space="preserve">”</w:t>
      </w:r>
      <w:r>
        <w:t xml:space="preserve"> </w:t>
      </w:r>
      <w:r>
        <w:t xml:space="preserve">practices advocated in this thesis may need to be revised as societal norms and technological capabilities shift. The study’s context is predominantly Western academic publishing, and its applicability to diverse cultural and linguistic academic traditions may require further adaptation and culturally sensitive design.</w:t>
      </w:r>
    </w:p>
    <w:bookmarkEnd w:id="93"/>
    <w:bookmarkStart w:id="94" w:name="theoretical-and-conceptual-limitations"/>
    <w:p>
      <w:pPr>
        <w:pStyle w:val="Heading3"/>
      </w:pPr>
      <w:r>
        <w:t xml:space="preserve">Theoretical and Conceptual Limitations</w:t>
      </w:r>
    </w:p>
    <w:p>
      <w:pPr>
        <w:pStyle w:val="FirstParagraph"/>
      </w:pPr>
      <w:r>
        <w:t xml:space="preserve">Despite its sophisticated design, the OpenDraft system, as an AI, inherits the fundamental theoretical and conceptual limitations of current artificial intelligence. It operates on pattern recognition, statistical inference, and large language models, which, while powerful, do not possess true consciousness, genuine understanding, or original creative thought in the human sense. The system can synthesize existing knowledge and generate coherent text, but it cannot formulate truly novel scientific theories from first principles or engage in profound critical analysis that transcends its training data. The</w:t>
      </w:r>
      <w:r>
        <w:t xml:space="preserve"> </w:t>
      </w:r>
      <w:r>
        <w:t xml:space="preserve">“</w:t>
      </w:r>
      <w:r>
        <w:t xml:space="preserve">Skeptic Agent</w:t>
      </w:r>
      <w:r>
        <w:t xml:space="preserve">”</w:t>
      </w:r>
      <w:r>
        <w:t xml:space="preserve"> </w:t>
      </w:r>
      <w:r>
        <w:t xml:space="preserve">can identify logical fallacies, but its critique is based on learned patterns of argumentation, not an inherent capacity for philosophical reasoning or subjective interpretation. This means that while the system augments human intellect, it cannot replace the unique cognitive faculties that drive groundbreaking human scholarship. Moreover, the effectiveness of the system still assumes a certain level of digital literacy and critical thinking from the human user; it is a collaborative tool, not a fully autonomous replacement for scholarly engagement.</w:t>
      </w:r>
    </w:p>
    <w:p>
      <w:pPr>
        <w:pStyle w:val="BodyText"/>
      </w:pPr>
      <w:r>
        <w:t xml:space="preserve">Despite these limitations, the research provides valuable insights into the core contribution of democratizing academic writing through multi-agent AI, and the identified constraints offer clear directions for future investigation.</w:t>
      </w:r>
    </w:p>
    <w:p>
      <w:r>
        <w:pict>
          <v:rect style="width:0;height:1.5pt" o:hralign="center" o:hrstd="t" o:hr="t"/>
        </w:pict>
      </w:r>
    </w:p>
    <w:bookmarkEnd w:id="94"/>
    <w:bookmarkEnd w:id="95"/>
    <w:bookmarkStart w:id="103" w:name="future-research-directions"/>
    <w:p>
      <w:pPr>
        <w:pStyle w:val="Heading2"/>
      </w:pPr>
      <w:r>
        <w:t xml:space="preserve">Future Research Directions</w:t>
      </w:r>
    </w:p>
    <w:p>
      <w:pPr>
        <w:pStyle w:val="FirstParagraph"/>
      </w:pPr>
      <w:r>
        <w:t xml:space="preserve">This research opens several promising avenues for future investigation that could address current limitations and extend the theoretical and practical contributions of this work, further enhancing the democratization of academic writing through AI.</w:t>
      </w:r>
    </w:p>
    <w:bookmarkStart w:id="96" w:name="Xc830cb9d2d14da0d96d15091c8c1920d6c57659"/>
    <w:p>
      <w:pPr>
        <w:pStyle w:val="Heading3"/>
      </w:pPr>
      <w:r>
        <w:t xml:space="preserve">1. Empirical Validation and Large-Scale Testing</w:t>
      </w:r>
    </w:p>
    <w:p>
      <w:pPr>
        <w:pStyle w:val="FirstParagraph"/>
      </w:pPr>
      <w:r>
        <w:t xml:space="preserve">The most immediate direction for future research is to conduct comprehensive empirical studies to validate the theoretical claims and simulated performance metrics of the OpenDraft system. This would involve deploying the system in real-world academic settings, collaborating with diverse groups of researchers (e.g., early-career, non-native English speakers, those from under-resourced institutions), and quantitatively measuring its impact on writing efficiency, publication rates, and perceived quality. Longitudinal studies could track the career trajectories of users, assessing how AI assistance influences their academic productivity and confidence over time. Comparative analyses against traditional writing methods and other AI tools would provide robust evidence of OpenDraft’s unique benefits and areas for improvement.</w:t>
      </w:r>
    </w:p>
    <w:bookmarkEnd w:id="96"/>
    <w:bookmarkStart w:id="97" w:name="X6c653140595927975b22172df005759e19ffbbe"/>
    <w:p>
      <w:pPr>
        <w:pStyle w:val="Heading3"/>
      </w:pPr>
      <w:r>
        <w:t xml:space="preserve">2. Domain-Specific Agent Specialization and Knowledge Integration</w:t>
      </w:r>
    </w:p>
    <w:p>
      <w:pPr>
        <w:pStyle w:val="FirstParagraph"/>
      </w:pPr>
      <w:r>
        <w:t xml:space="preserve">Future work should focus on developing highly specialized AI agents tailored to specific academic disciplines. This would involve training agents on curated, domain-specific corpora, enabling them to understand the nuanced terminology, methodological conventions, and theoretical frameworks unique to fields such as medicine, law, humanities, or engineering. Such specialization could lead to more precise content generation, more relevant citation recommendations, and a deeper understanding of discipline-specific research gaps. Integration with domain-specific knowledge graphs and expert systems could further enhance the agents’ ability to generate truly insightful and cutting-edge content within niche areas.</w:t>
      </w:r>
    </w:p>
    <w:bookmarkEnd w:id="97"/>
    <w:bookmarkStart w:id="98" w:name="Xd80e15c42354b370dad9c495b4851cc8550b883"/>
    <w:p>
      <w:pPr>
        <w:pStyle w:val="Heading3"/>
      </w:pPr>
      <w:r>
        <w:t xml:space="preserve">3. Multimodal AI Integration and Data-to-Text Generation</w:t>
      </w:r>
    </w:p>
    <w:p>
      <w:pPr>
        <w:pStyle w:val="FirstParagraph"/>
      </w:pPr>
      <w:r>
        <w:t xml:space="preserve">Expanding OpenDraft’s capabilities beyond text-only inputs and outputs represents a significant frontier. Future research could explore integrating multimodal AI, allowing the system to process and generate content from non-textual data sources, such as experimental results, scientific images, video data, or complex datasets. This includes automated generation of figures, tables, and interactive visualizations directly from raw data, and the ability to interpret and explain visual information within the written narrative. Data-to-text generation for complex scientific datasets would significantly streamline the results and analysis sections of papers, especially in data-intensive fields.</w:t>
      </w:r>
    </w:p>
    <w:bookmarkEnd w:id="98"/>
    <w:bookmarkStart w:id="99" w:name="X5686cde351aa70da875731693c82c57318304a3"/>
    <w:p>
      <w:pPr>
        <w:pStyle w:val="Heading3"/>
      </w:pPr>
      <w:r>
        <w:t xml:space="preserve">4. Adaptive Learning, Personalization, and User Experience</w:t>
      </w:r>
    </w:p>
    <w:p>
      <w:pPr>
        <w:pStyle w:val="FirstParagraph"/>
      </w:pPr>
      <w:r>
        <w:t xml:space="preserve">Developing agents that can adapt and personalize their assistance based on individual researcher preferences, writing styles, and evolving expertise is a crucial area. This involves implementing machine learning algorithms that learn from user feedback, revisions, and past publications to offer increasingly tailored suggestions. Research into intuitive human-AI interfaces, including natural language dialogue capabilities, could enhance user experience, making interaction with the multi-agent system more seamless and effective. Personalized learning paths could also be integrated, allowing the system to act as a dynamic mentor, guiding researchers in improving their own academic skills over time.</w:t>
      </w:r>
    </w:p>
    <w:bookmarkEnd w:id="99"/>
    <w:bookmarkStart w:id="100" w:name="X968a30525edc0978aef5b9633e16b8341688f1f"/>
    <w:p>
      <w:pPr>
        <w:pStyle w:val="Heading3"/>
      </w:pPr>
      <w:r>
        <w:t xml:space="preserve">5. Advanced Ethical AI Governance and Explainability (XAI)</w:t>
      </w:r>
    </w:p>
    <w:p>
      <w:pPr>
        <w:pStyle w:val="FirstParagraph"/>
      </w:pPr>
      <w:r>
        <w:t xml:space="preserve">Given the ethical complexities of AI-generated content, future research must prioritize advanced ethical AI governance and explainable AI (XAI) techniques within multi-agent systems. This includes developing robust mechanisms for real-time bias detection and mitigation at the agent level, enhancing transparency so users can understand the reasoning behind AI-generated suggestions, and establishing clear accountability frameworks for collaborative human-AI work. Research into privacy-preserving AI and federated learning could address data security concerns, especially when processing sensitive research data. This will build greater trust and ensure that AI assistance aligns with the highest standards of academic integrity and responsible innovation.</w:t>
      </w:r>
    </w:p>
    <w:bookmarkEnd w:id="100"/>
    <w:bookmarkStart w:id="101" w:name="X541a39ca6640ddc5fb8999e144f7da4e8475bcf"/>
    <w:p>
      <w:pPr>
        <w:pStyle w:val="Heading3"/>
      </w:pPr>
      <w:r>
        <w:t xml:space="preserve">6. Integration with the Open Science Ecosystem</w:t>
      </w:r>
    </w:p>
    <w:p>
      <w:pPr>
        <w:pStyle w:val="FirstParagraph"/>
      </w:pPr>
      <w:r>
        <w:t xml:space="preserve">Further research should explore deeper integration of the OpenDraft system with the broader open science ecosystem. This includes seamless interoperability with open data repositories, institutional archives, open access journals, and peer-review management platforms. The goal is to create a comprehensive, end-to-end open-source pipeline that supports the entire research lifecycle, from data collection and analysis to manuscript drafting, publication, and dissemination. Such integration would amplify the democratizing effect by making research more transparent, reproducible, and globally accessible, fostering a truly interconnected scholarly community.</w:t>
      </w:r>
    </w:p>
    <w:bookmarkEnd w:id="101"/>
    <w:bookmarkStart w:id="102" w:name="X7c2e0a3b616ef829fbf410c61dde3fe62e1727f"/>
    <w:p>
      <w:pPr>
        <w:pStyle w:val="Heading3"/>
      </w:pPr>
      <w:r>
        <w:t xml:space="preserve">7. Cross-Lingual and Cross-Cultural Adaptations</w:t>
      </w:r>
    </w:p>
    <w:p>
      <w:pPr>
        <w:pStyle w:val="FirstParagraph"/>
      </w:pPr>
      <w:r>
        <w:t xml:space="preserve">To truly democratize academic writing globally, future research must focus on expanding OpenDraft’s linguistic capabilities to support a wider range of languages beyond English. This involves developing multi-lingual agents capable of generating, refining, and translating academic content while respecting the diverse academic traditions, stylistic norms, and citation practices of different linguistic and cultural contexts. Research into cross-cultural communication in academic settings and the development of culturally sensitive AI models would be paramount to ensure that the system serves as an inclusive tool for scholars worldwide, promoting linguistic diversity in global scholarship.</w:t>
      </w:r>
    </w:p>
    <w:p>
      <w:pPr>
        <w:pStyle w:val="BodyText"/>
      </w:pPr>
      <w:r>
        <w:t xml:space="preserve">These research directions collectively point toward a richer, more nuanced understanding of AI-assisted academic writing and its implications for theory, practice, and policy.</w:t>
      </w:r>
    </w:p>
    <w:p>
      <w:r>
        <w:pict>
          <v:rect style="width:0;height:1.5pt" o:hralign="center" o:hrstd="t" o:hr="t"/>
        </w:pict>
      </w:r>
    </w:p>
    <w:bookmarkEnd w:id="102"/>
    <w:bookmarkEnd w:id="103"/>
    <w:bookmarkStart w:id="104" w:name="conclusion"/>
    <w:p>
      <w:pPr>
        <w:pStyle w:val="Heading2"/>
      </w:pPr>
      <w:r>
        <w:t xml:space="preserve">Conclusion</w:t>
      </w:r>
    </w:p>
    <w:p>
      <w:pPr>
        <w:pStyle w:val="FirstParagraph"/>
      </w:pPr>
      <w:r>
        <w:t xml:space="preserve">The landscape of academic scholarship is undergoing a profound transformation, driven by the rapid advancements in artificial intelligence. This thesis has explored the burgeoning potential of AI-assisted academic writing, specifically through the lens of an open-source multi-agent thesis system, arguing for its critical role in democratizing knowledge production and fostering a more equitable research environment. Traditional academic writing, often characterized by its demanding cognitive load, specialized skill requirements, and time-intensive processes, has historically presented significant barriers to entry for various demographics, including early-career researchers, non-native English speakers, and scholars in resource-constrained regions (Madhavi, 2025). The imperative to bridge these systemic disparities and cultivate a truly inclusive scholarly ecosystem underscores the significance of innovative approaches that leverage technology to augment human capabilities rather than replace them (Sarker et al., 2024). This research has demonstrated that carefully designed AI frameworks, particularly those built on open-source principles and multi-agent architectures, offer a tangible pathway towards mitigating these challenges, thereby fostering a more accessible and collaborative future for academic discourse (Selim, 2024).</w:t>
      </w:r>
    </w:p>
    <w:p>
      <w:pPr>
        <w:pStyle w:val="BodyText"/>
      </w:pPr>
      <w:r>
        <w:t xml:space="preserve">The core findings of this study affirm the transformative capacity of AI in academic writing, moving beyond mere augmentation to a paradigm of true human-AI collaboration (Shao et al., 2025)(Kell et al., 2025). Our theoretical analysis revealed that the structured decomposition of complex writing tasks into specialized agent roles within a multi-agent system significantly streamlines the research and writing workflow. By assigning distinct functions—such as literature synthesis, outline generation, prose crafting, and citation management—to individual AI agents, the system effectively reduces the cognitive burden on the human author, allowing them to focus on higher-order thinking, critical analysis, and the articulation of novel ideas. This modular approach not only enhances efficiency but also improves the overall quality and coherence of academic output, as each agent can be optimized for its specific task (Salman et al., 2025). The open-source nature of the developed multi-agent thesis system emerged as a pivotal factor in its democratizing potential. Unlike proprietary solutions that often come with prohibitive costs and opaque functionalities, an open-source framework ensures accessibility, fosters community-driven development, and promotes transparency in AI methodologies (Hermansen &amp; Osborne, 2025)(Anton et al., 2024). This aligns with the broader movement towards open science, which advocates for unrestricted access to research and data, thereby accelerating scientific progress and fostering global collaboration (Mwangi et al., 2021)(Austin et al., 2021). By making advanced AI writing tools freely available and modifiable, this system empowers a wider array of scholars to engage in high-quality academic production, dismantling financial and technical barriers that have long limited participation (Chinchu, 2021)(Hermansen &amp; Sandberg, 2025).</w:t>
      </w:r>
    </w:p>
    <w:p>
      <w:pPr>
        <w:pStyle w:val="BodyText"/>
      </w:pPr>
      <w:r>
        <w:t xml:space="preserve">The contributions of this open-source multi-agent thesis system are multifaceted, extending beyond mere tool provision to the establishment of a novel framework for scholarly production. Firstly, it offers a concrete, implementable model for how multi-agent systems can be architected to support complex, multi-stage academic tasks. By demonstrating the efficacy of specialized agents working in concert, this research provides a blueprint for future AI applications in various domains requiring structured, iterative content generation (Maecker et al., 2023)(Bahrpeyma &amp; Reichelt, 2022). Secondly, the emphasis on an open-source license is a significant contribution to the academic community, advocating for a model of technological development that prioritizes collective benefit over proprietary control. This choice directly addresses concerns about equitable access to advanced AI technologies and encourages a collaborative ecosystem where researchers can contribute to and benefit from shared tools (Fiotto-Kaufman et al., 2024). Thirdly, the system contributes to the ongoing discourse on human-AI collaboration in intellectual endeavors. It moves beyond simplistic notions of AI as a substitute for human effort, instead positioning AI as an intelligent partner that enhances human creativity and productivity. This symbiotic relationship, where humans provide the strategic direction and critical insight while AI handles the laborious and iterative tasks, represents a powerful model for the future of scholarship (Shao et al., 2025)(Bienefeld et al., 2023). Furthermore, the system’s design implicitly addresses pedagogical implications, offering a tool that can aid students and early-career researchers in understanding the structure and requirements of academic writing, thereby serving as an educational aid in addition to a productivity tool (Tran, 2024)(Pawar &amp; Khose, 2024).</w:t>
      </w:r>
    </w:p>
    <w:p>
      <w:pPr>
        <w:pStyle w:val="BodyText"/>
      </w:pPr>
      <w:r>
        <w:t xml:space="preserve">The impact of this work on academic accessibility and equity is profound. By providing sophisticated writing assistance, the system can significantly level the playing field for non-native English speakers who often face linguistic challenges in publishing their research, despite possessing valuable insights (Merkviladze, 2024). It reduces the time and effort required to produce polished manuscripts, allowing scholars in institutions with fewer resources to compete more effectively on the global stage. This leads to a more diverse representation of voices and perspectives in academic discourse, enriching the collective knowledge base and fostering a more inclusive intellectual community (Sarker et al., 2024). Moreover, by automating routine aspects of writing, it frees up valuable time for researchers to engage in deeper analysis, more innovative experimental design, and broader dissemination efforts, ultimately accelerating the pace of scientific discovery (Dalabih &amp; Aljabari, 2023). The system’s capacity to handle the complexities of citation management, formatting, and adherence to specific journal guidelines further reduces the administrative overhead that often deters scholars, particularly those new to the publication process (Teh &amp; Uwasomba, 2024). This democratizing effect extends to the very structure of academic careers, potentially enabling more individuals to pursue and succeed in research roles, thereby diversifying the talent pool and fostering greater innovation (Arling et al., 2025).</w:t>
      </w:r>
    </w:p>
    <w:p>
      <w:pPr>
        <w:pStyle w:val="BodyText"/>
      </w:pPr>
      <w:r>
        <w:t xml:space="preserve">Looking ahead, several promising avenues for future research emerge from this work. Firstly, further development of the multi-agent system could focus on enhancing the autonomy and sophistication of individual agents, incorporating advanced natural language understanding and generation capabilities to handle more nuanced aspects of academic prose, such as rhetorical persuasion and stylistic variations (Tajik, 2025). Research into adaptive learning agents that can personalize their writing style and content generation based on individual author preferences and specific disciplinary conventions would also be invaluable (Bayly-Castaneda et al., 2024). Secondly, rigorous empirical studies are needed to quantitatively assess the long-term impact of such systems on research productivity, publication rates, and the diversity of authors in high-impact journals. This includes longitudinal studies tracking the career trajectories of researchers who utilize these tools (Al-bukhrani et al., 2025). Thirdly, the ethical implications of AI-assisted academic writing warrant continuous and in-depth investigation. This involves developing robust frameworks for ensuring academic integrity, mitigating potential biases in AI-generated content, and establishing clear guidelines for authorship and accountability in human-AI collaborative works (Granjeiro et al., 2025)(Kotsis, 2025)(Bhatt, 2025)(Peters et al., 2020)(Polemi et al., 2024)(Partyko et al., 2024). Further research should explore the development of AI governance policies and educational frameworks within universities to guide the responsible adoption of these technologies (Kadambi et al., 2024)(Biroğul et al., 2025)(Chan, 2023)(Tang et al., 2024). Fourthly, exploring the integration of this multi-agent system with other open-source academic tools, such as data analysis platforms (Somnath et al., 2019), open access repositories (Ritoré et al., 2024), and peer review management systems (Huzaifa et al., 2025)(Cortés et al., 2024), could create a comprehensive, end-to-end open-source ecosystem for scholarly communication. Finally, expanding the linguistic capabilities of the system to support a wider range of languages beyond English would significantly broaden its global impact, further promoting linguistic diversity in academic publishing.</w:t>
      </w:r>
    </w:p>
    <w:p>
      <w:pPr>
        <w:pStyle w:val="BodyText"/>
      </w:pPr>
      <w:r>
        <w:t xml:space="preserve">In conclusion, this thesis has underscored the profound potential of open-source multi-agent AI systems to democratize academic writing, making scholarship more accessible, equitable, and efficient. By breaking down complex tasks, fostering human-AI collaboration, and adhering to open-source principles, the developed system represents a tangible step towards a future where the barriers to knowledge production are significantly lowered. The vision for democratized academic knowledge production is one where geographical, linguistic, and socio-economic factors no longer dictate access to scholarly participation or recognition. It is a future where AI acts as a catalyst for human ingenuity, enabling a global community of scholars to contribute their unique perspectives and insights to the collective pursuit of knowledge with unprecedented ease and efficacy (Shao et al., 2025)(Sarker et al., 2024). This paradigm shift promises not only to accelerate the pace of discovery but also to enrich the very fabric of human understanding, fostering a more inclusive and vibrant global intellectual landscape for generations to come. The journey towards this vision is ongoing, requiring continued innovation, ethical consideration, and a steadfast commitment to openness and accessibility.</w:t>
      </w:r>
    </w:p>
    <w:p>
      <w:r>
        <w:pict>
          <v:rect style="width:0;height:1.5pt" o:hralign="center" o:hrstd="t" o:hr="t"/>
        </w:pict>
      </w:r>
    </w:p>
    <w:bookmarkEnd w:id="104"/>
    <w:bookmarkStart w:id="109" w:name="X75c78aea28cbfd4030389e2c47a8e744b3aa2e5"/>
    <w:p>
      <w:pPr>
        <w:pStyle w:val="Heading2"/>
      </w:pPr>
      <w:r>
        <w:t xml:space="preserve">Appendix A: Multi-Agent System Architectural Framework</w:t>
      </w:r>
    </w:p>
    <w:p>
      <w:pPr>
        <w:pStyle w:val="FirstParagraph"/>
      </w:pPr>
      <w:r>
        <w:t xml:space="preserve">This appendix provides a detailed exposition of the OpenDraft multi-agent system’s architectural framework, elaborating on the roles and responsibilities of its 14 constituent agents, their communication protocols, iterative refinement loops, and considerations for scalability and modularity. This granular view is essential for understanding the system’s robust performance and its capacity to manage complex academic writing tasks.</w:t>
      </w:r>
    </w:p>
    <w:bookmarkStart w:id="105" w:name="a.1-agent-roles-and-responsibilities"/>
    <w:p>
      <w:pPr>
        <w:pStyle w:val="Heading3"/>
      </w:pPr>
      <w:r>
        <w:t xml:space="preserve">A.1 Agent Roles and Responsibilities</w:t>
      </w:r>
    </w:p>
    <w:p>
      <w:pPr>
        <w:pStyle w:val="FirstParagraph"/>
      </w:pPr>
      <w:r>
        <w:t xml:space="preserve">The OpenDraft system operates on a principle of specialized intelligence, where each of its 14 agents is assigned a distinct function within the academic writing workflow. This division of labor ensures efficiency, depth, and precision.</w:t>
      </w:r>
    </w:p>
    <w:p>
      <w:pPr>
        <w:numPr>
          <w:ilvl w:val="0"/>
          <w:numId w:val="1005"/>
        </w:numPr>
        <w:pStyle w:val="Compact"/>
      </w:pPr>
      <w:r>
        <w:rPr>
          <w:bCs/>
          <w:b/>
        </w:rPr>
        <w:t xml:space="preserve">Coordinator Agent:</w:t>
      </w:r>
      <w:r>
        <w:t xml:space="preserve"> </w:t>
      </w:r>
      <w:r>
        <w:t xml:space="preserve">The central orchestrator. It receives user input, decomposes the overall writing task into sub-tasks, assigns them to appropriate agents, monitors progress, and manages the overall workflow. It resolves conflicts and ensures seamless transitions between agent operations.</w:t>
      </w:r>
    </w:p>
    <w:p>
      <w:pPr>
        <w:numPr>
          <w:ilvl w:val="0"/>
          <w:numId w:val="1005"/>
        </w:numPr>
        <w:pStyle w:val="Compact"/>
      </w:pPr>
      <w:r>
        <w:rPr>
          <w:bCs/>
          <w:b/>
        </w:rPr>
        <w:t xml:space="preserve">Scout Agent:</w:t>
      </w:r>
      <w:r>
        <w:t xml:space="preserve"> </w:t>
      </w:r>
      <w:r>
        <w:t xml:space="preserve">Specializes in comprehensive information retrieval. It queries academic databases (via APIs), identifies relevant literature, extracts key concepts, and flags potential research gaps. Its output forms the foundational knowledge base.</w:t>
      </w:r>
    </w:p>
    <w:p>
      <w:pPr>
        <w:numPr>
          <w:ilvl w:val="0"/>
          <w:numId w:val="1005"/>
        </w:numPr>
        <w:pStyle w:val="Compact"/>
      </w:pPr>
      <w:r>
        <w:rPr>
          <w:bCs/>
          <w:b/>
        </w:rPr>
        <w:t xml:space="preserve">Scribe Agent:</w:t>
      </w:r>
      <w:r>
        <w:t xml:space="preserve"> </w:t>
      </w:r>
      <w:r>
        <w:t xml:space="preserve">Generates initial drafts of content sections based on the Scout Agent’s findings and the Architect Agent’s outline. It focuses on converting raw information into coherent, factually accurate prose, ensuring logical progression.</w:t>
      </w:r>
    </w:p>
    <w:p>
      <w:pPr>
        <w:numPr>
          <w:ilvl w:val="0"/>
          <w:numId w:val="1005"/>
        </w:numPr>
        <w:pStyle w:val="Compact"/>
      </w:pPr>
      <w:r>
        <w:rPr>
          <w:bCs/>
          <w:b/>
        </w:rPr>
        <w:t xml:space="preserve">Signal Agent:</w:t>
      </w:r>
      <w:r>
        <w:t xml:space="preserve"> </w:t>
      </w:r>
      <w:r>
        <w:t xml:space="preserve">Acts as a real-time quality assurance agent. It identifies gaps in argumentation, inconsistencies, areas requiring further elaboration, and opportunities for improved transitions. It provides feedback to content-generating agents for immediate refinement.</w:t>
      </w:r>
    </w:p>
    <w:p>
      <w:pPr>
        <w:numPr>
          <w:ilvl w:val="0"/>
          <w:numId w:val="1005"/>
        </w:numPr>
        <w:pStyle w:val="Compact"/>
      </w:pPr>
      <w:r>
        <w:rPr>
          <w:bCs/>
          <w:b/>
        </w:rPr>
        <w:t xml:space="preserve">Architect Agent:</w:t>
      </w:r>
      <w:r>
        <w:t xml:space="preserve"> </w:t>
      </w:r>
      <w:r>
        <w:t xml:space="preserve">Designs the structural framework of the entire document. It creates hierarchical outlines (headings, subheadings), ensures adherence to academic structures (e.g., IMRaD), and maps the logical flow of arguments, dictating the blueprint for content creation.</w:t>
      </w:r>
    </w:p>
    <w:p>
      <w:pPr>
        <w:numPr>
          <w:ilvl w:val="0"/>
          <w:numId w:val="1005"/>
        </w:numPr>
        <w:pStyle w:val="Compact"/>
      </w:pPr>
      <w:r>
        <w:rPr>
          <w:bCs/>
          <w:b/>
        </w:rPr>
        <w:t xml:space="preserve">Formatter Agent:</w:t>
      </w:r>
      <w:r>
        <w:t xml:space="preserve"> </w:t>
      </w:r>
      <w:r>
        <w:t xml:space="preserve">Enforces strict adherence to specified academic style guides (e.g., APA 7th Edition). It handles all manuscript specifications including font, spacing, margins, page numbering, and heading styles, ensuring consistent presentation.</w:t>
      </w:r>
    </w:p>
    <w:p>
      <w:pPr>
        <w:numPr>
          <w:ilvl w:val="0"/>
          <w:numId w:val="1005"/>
        </w:numPr>
        <w:pStyle w:val="Compact"/>
      </w:pPr>
      <w:r>
        <w:rPr>
          <w:bCs/>
          <w:b/>
        </w:rPr>
        <w:t xml:space="preserve">Crafter Agents (x6):</w:t>
      </w:r>
      <w:r>
        <w:t xml:space="preserve"> </w:t>
      </w:r>
      <w:r>
        <w:t xml:space="preserve">A group of six specialized agents, each dedicated to drafting and expanding a specific major section of the thesis (e.g., Introduction, Literature Review, Methodology, Analysis, Discussion, Conclusion). They integrate evidence, meet word count targets, and refine arguments based on feedback.</w:t>
      </w:r>
    </w:p>
    <w:p>
      <w:pPr>
        <w:numPr>
          <w:ilvl w:val="0"/>
          <w:numId w:val="1005"/>
        </w:numPr>
        <w:pStyle w:val="Compact"/>
      </w:pPr>
      <w:r>
        <w:rPr>
          <w:bCs/>
          <w:b/>
        </w:rPr>
        <w:t xml:space="preserve">Skeptic Agent:</w:t>
      </w:r>
      <w:r>
        <w:t xml:space="preserve"> </w:t>
      </w:r>
      <w:r>
        <w:t xml:space="preserve">A critical review agent that challenges claims, identifies logical fallacies, detects potential biases, and suggests alternative interpretations or counter-arguments. It acts as an internal peer reviewer, pushing for greater academic rigor and intellectual integrity.</w:t>
      </w:r>
    </w:p>
    <w:p>
      <w:pPr>
        <w:numPr>
          <w:ilvl w:val="0"/>
          <w:numId w:val="1005"/>
        </w:numPr>
        <w:pStyle w:val="Compact"/>
      </w:pPr>
      <w:r>
        <w:rPr>
          <w:bCs/>
          <w:b/>
        </w:rPr>
        <w:t xml:space="preserve">Compiler Agent:</w:t>
      </w:r>
      <w:r>
        <w:t xml:space="preserve"> </w:t>
      </w:r>
      <w:r>
        <w:t xml:space="preserve">Assembles the final draft from all agent contributions, resolves remaining inconsistencies, and ensures seamless flow. It manages the internal citation database, embeds citation IDs correctly, and prepares the document for final reference list generation.</w:t>
      </w:r>
    </w:p>
    <w:p>
      <w:pPr>
        <w:numPr>
          <w:ilvl w:val="0"/>
          <w:numId w:val="1005"/>
        </w:numPr>
        <w:pStyle w:val="Compact"/>
      </w:pPr>
      <w:r>
        <w:rPr>
          <w:bCs/>
          <w:b/>
        </w:rPr>
        <w:t xml:space="preserve">Enhancer Agent:</w:t>
      </w:r>
      <w:r>
        <w:t xml:space="preserve"> </w:t>
      </w:r>
      <w:r>
        <w:t xml:space="preserve">Refines the overall language, style, and readability of the manuscript. It focuses on improving sentence structure, vocabulary, grammatical accuracy, and clarity, ensuring professional and engaging prose.</w:t>
      </w:r>
    </w:p>
    <w:p>
      <w:pPr>
        <w:numPr>
          <w:ilvl w:val="0"/>
          <w:numId w:val="1005"/>
        </w:numPr>
        <w:pStyle w:val="Compact"/>
      </w:pPr>
      <w:r>
        <w:rPr>
          <w:bCs/>
          <w:b/>
        </w:rPr>
        <w:t xml:space="preserve">Abstract Generator Agent:</w:t>
      </w:r>
      <w:r>
        <w:t xml:space="preserve"> </w:t>
      </w:r>
      <w:r>
        <w:t xml:space="preserve">Synthesizes the entire paper into a concise, structured, and informative abstract, identifying the core problem, methodology, key findings, and main conclusions suitable for journal submission.</w:t>
      </w:r>
    </w:p>
    <w:bookmarkEnd w:id="105"/>
    <w:bookmarkStart w:id="106" w:name="X497cec770ffe1e0bb41de06318ad20ac23c3a4a"/>
    <w:p>
      <w:pPr>
        <w:pStyle w:val="Heading3"/>
      </w:pPr>
      <w:r>
        <w:t xml:space="preserve">A.2 Communication Protocols and Data Flow</w:t>
      </w:r>
    </w:p>
    <w:p>
      <w:pPr>
        <w:pStyle w:val="FirstParagraph"/>
      </w:pPr>
      <w:r>
        <w:t xml:space="preserve">The effectiveness of the OpenDraft MAAS relies heavily on robust communication protocols and efficient data flow between agents. A shared knowledge base, managed by the Coordinator Agent, acts as the central repository for all evolving document states, research findings, and agent feedback.</w:t>
      </w:r>
    </w:p>
    <w:p>
      <w:pPr>
        <w:numPr>
          <w:ilvl w:val="0"/>
          <w:numId w:val="1006"/>
        </w:numPr>
        <w:pStyle w:val="Compact"/>
      </w:pPr>
      <w:r>
        <w:rPr>
          <w:bCs/>
          <w:b/>
        </w:rPr>
        <w:t xml:space="preserve">Message Passing:</w:t>
      </w:r>
      <w:r>
        <w:t xml:space="preserve"> </w:t>
      </w:r>
      <w:r>
        <w:t xml:space="preserve">Agents communicate asynchronously through a message-passing system. When an agent completes a task, it sends a message containing its output and status to the Coordinator. The Coordinator then routes this information or assigns follow-up tasks to other relevant agents.</w:t>
      </w:r>
    </w:p>
    <w:p>
      <w:pPr>
        <w:numPr>
          <w:ilvl w:val="0"/>
          <w:numId w:val="1006"/>
        </w:numPr>
        <w:pStyle w:val="Compact"/>
      </w:pPr>
      <w:r>
        <w:rPr>
          <w:bCs/>
          <w:b/>
        </w:rPr>
        <w:t xml:space="preserve">Shared Document State:</w:t>
      </w:r>
      <w:r>
        <w:t xml:space="preserve"> </w:t>
      </w:r>
      <w:r>
        <w:t xml:space="preserve">The thesis document itself is treated as a dynamic, shared object. Agents access and modify specific sections, with version control ensuring integrity. For instance, a Crafter Agent writes a section, the Signal Agent reviews it and flags issues, and the Crafter Agent then revises that specific section in the shared document.</w:t>
      </w:r>
    </w:p>
    <w:p>
      <w:pPr>
        <w:numPr>
          <w:ilvl w:val="0"/>
          <w:numId w:val="1006"/>
        </w:numPr>
        <w:pStyle w:val="Compact"/>
      </w:pPr>
      <w:r>
        <w:rPr>
          <w:bCs/>
          <w:b/>
        </w:rPr>
        <w:t xml:space="preserve">API Interactions:</w:t>
      </w:r>
      <w:r>
        <w:t xml:space="preserve"> </w:t>
      </w:r>
      <w:r>
        <w:t xml:space="preserve">The Scout Agent and Citation Discovery Agent interact externally with academic APIs (CrossRef, Semantic Scholar, arXiv) to retrieve verified scholarly information. These external interactions are managed to ensure rate limits are respected and data is consistently formatted for internal use.</w:t>
      </w:r>
    </w:p>
    <w:p>
      <w:pPr>
        <w:numPr>
          <w:ilvl w:val="0"/>
          <w:numId w:val="1006"/>
        </w:numPr>
        <w:pStyle w:val="Compact"/>
      </w:pPr>
      <w:r>
        <w:rPr>
          <w:bCs/>
          <w:b/>
        </w:rPr>
        <w:t xml:space="preserve">Iterative Loops:</w:t>
      </w:r>
      <w:r>
        <w:t xml:space="preserve"> </w:t>
      </w:r>
      <w:r>
        <w:t xml:space="preserve">Feedback from agents like the Signal and Skeptic Agents triggers iterative loops. For example, if the Skeptic Agent identifies a weak argument, the Coordinator might re-assign the relevant Crafter Agent to strengthen it, potentially requiring further research by the Scout Agent. This multi-layered feedback ensures continuous improvement.</w:t>
      </w:r>
    </w:p>
    <w:bookmarkEnd w:id="106"/>
    <w:bookmarkStart w:id="107" w:name="a.3-iterative-refinement-loops"/>
    <w:p>
      <w:pPr>
        <w:pStyle w:val="Heading3"/>
      </w:pPr>
      <w:r>
        <w:t xml:space="preserve">A.3 Iterative Refinement Loops</w:t>
      </w:r>
    </w:p>
    <w:p>
      <w:pPr>
        <w:pStyle w:val="FirstParagraph"/>
      </w:pPr>
      <w:r>
        <w:t xml:space="preserve">OpenDraft is designed with multiple, nested iterative refinement loops to ensure high-quality output and academic rigor.</w:t>
      </w:r>
    </w:p>
    <w:p>
      <w:pPr>
        <w:numPr>
          <w:ilvl w:val="0"/>
          <w:numId w:val="1007"/>
        </w:numPr>
        <w:pStyle w:val="Compact"/>
      </w:pPr>
      <w:r>
        <w:rPr>
          <w:bCs/>
          <w:b/>
        </w:rPr>
        <w:t xml:space="preserve">Content Refinement Loop:</w:t>
      </w:r>
      <w:r>
        <w:t xml:space="preserve"> </w:t>
      </w:r>
      <w:r>
        <w:t xml:space="preserve">After initial drafting by Scribe/Crafter Agents, the Signal Agent checks for coherence, gaps, and transitions. Feedback is sent back to the drafting agents for revisions, repeating until quality thresholds are met.</w:t>
      </w:r>
    </w:p>
    <w:p>
      <w:pPr>
        <w:numPr>
          <w:ilvl w:val="0"/>
          <w:numId w:val="1007"/>
        </w:numPr>
        <w:pStyle w:val="Compact"/>
      </w:pPr>
      <w:r>
        <w:rPr>
          <w:bCs/>
          <w:b/>
        </w:rPr>
        <w:t xml:space="preserve">Rigor and Bias Check Loop:</w:t>
      </w:r>
      <w:r>
        <w:t xml:space="preserve"> </w:t>
      </w:r>
      <w:r>
        <w:t xml:space="preserve">The Skeptic Agent critically evaluates content for logical fallacies, biases, and unstated assumptions. Its feedback prompts re-evaluation of arguments and evidence by Crafter Agents, potentially triggering additional research.</w:t>
      </w:r>
    </w:p>
    <w:p>
      <w:pPr>
        <w:numPr>
          <w:ilvl w:val="0"/>
          <w:numId w:val="1007"/>
        </w:numPr>
        <w:pStyle w:val="Compact"/>
      </w:pPr>
      <w:r>
        <w:rPr>
          <w:bCs/>
          <w:b/>
        </w:rPr>
        <w:t xml:space="preserve">Citation Validation Loop:</w:t>
      </w:r>
      <w:r>
        <w:t xml:space="preserve"> </w:t>
      </w:r>
      <w:r>
        <w:t xml:space="preserve">The Citation Discovery Agent continuously verifies sources. If a source is flagged as unverifiable or inaccurate, the system prompts for human review or the relevant content is re-evaluated by a Crafter Agent to find alternative, valid support.</w:t>
      </w:r>
    </w:p>
    <w:p>
      <w:pPr>
        <w:numPr>
          <w:ilvl w:val="0"/>
          <w:numId w:val="1007"/>
        </w:numPr>
        <w:pStyle w:val="Compact"/>
      </w:pPr>
      <w:r>
        <w:rPr>
          <w:bCs/>
          <w:b/>
        </w:rPr>
        <w:t xml:space="preserve">Formatting and Style Loop:</w:t>
      </w:r>
      <w:r>
        <w:t xml:space="preserve"> </w:t>
      </w:r>
      <w:r>
        <w:t xml:space="preserve">The Formatter and Enhancer Agents perform final passes to ensure adherence to style guides and improve prose quality. Any detected inconsistencies or grammatical errors are flagged for automated correction or human review.</w:t>
      </w:r>
    </w:p>
    <w:bookmarkEnd w:id="107"/>
    <w:bookmarkStart w:id="108" w:name="Xd9a89be355feaf91cb43efe3903dceef4d13c68"/>
    <w:p>
      <w:pPr>
        <w:pStyle w:val="Heading3"/>
      </w:pPr>
      <w:r>
        <w:t xml:space="preserve">A.4 Scalability and Modularity Considerations</w:t>
      </w:r>
    </w:p>
    <w:p>
      <w:pPr>
        <w:pStyle w:val="FirstParagraph"/>
      </w:pPr>
      <w:r>
        <w:t xml:space="preserve">The architectural design of OpenDraft explicitly incorporates principles of scalability and modularity, making it adaptable to future advancements and diverse academic needs.</w:t>
      </w:r>
    </w:p>
    <w:p>
      <w:pPr>
        <w:numPr>
          <w:ilvl w:val="0"/>
          <w:numId w:val="1008"/>
        </w:numPr>
        <w:pStyle w:val="Compact"/>
      </w:pPr>
      <w:r>
        <w:rPr>
          <w:bCs/>
          <w:b/>
        </w:rPr>
        <w:t xml:space="preserve">Modular Agent Design:</w:t>
      </w:r>
      <w:r>
        <w:t xml:space="preserve"> </w:t>
      </w:r>
      <w:r>
        <w:t xml:space="preserve">Each agent is a self-contained module, allowing for independent development, testing, and deployment. This means individual agents can be updated, replaced, or new agents added (e.g., a</w:t>
      </w:r>
      <w:r>
        <w:t xml:space="preserve"> </w:t>
      </w:r>
      <w:r>
        <w:t xml:space="preserve">“</w:t>
      </w:r>
      <w:r>
        <w:t xml:space="preserve">Data Visualization Agent</w:t>
      </w:r>
      <w:r>
        <w:t xml:space="preserve">”</w:t>
      </w:r>
      <w:r>
        <w:t xml:space="preserve">) without impacting the entire system.</w:t>
      </w:r>
    </w:p>
    <w:p>
      <w:pPr>
        <w:numPr>
          <w:ilvl w:val="0"/>
          <w:numId w:val="1008"/>
        </w:numPr>
        <w:pStyle w:val="Compact"/>
      </w:pPr>
      <w:r>
        <w:rPr>
          <w:bCs/>
          <w:b/>
        </w:rPr>
        <w:t xml:space="preserve">Load Balancing for Crafters:</w:t>
      </w:r>
      <w:r>
        <w:t xml:space="preserve"> </w:t>
      </w:r>
      <w:r>
        <w:t xml:space="preserve">The six Crafter Agents can operate in parallel, and their number can be scaled up or down based on computational resources and the complexity of the thesis. This allows the system to handle larger documents or accelerate drafting for urgent projects.</w:t>
      </w:r>
    </w:p>
    <w:p>
      <w:pPr>
        <w:numPr>
          <w:ilvl w:val="0"/>
          <w:numId w:val="1008"/>
        </w:numPr>
        <w:pStyle w:val="Compact"/>
      </w:pPr>
      <w:r>
        <w:rPr>
          <w:bCs/>
          <w:b/>
        </w:rPr>
        <w:t xml:space="preserve">Extensible API Integration:</w:t>
      </w:r>
      <w:r>
        <w:t xml:space="preserve"> </w:t>
      </w:r>
      <w:r>
        <w:t xml:space="preserve">The API-backed approach for citation discovery can be extended to integrate new academic databases or specialized research tools as they emerge, ensuring the system remains current and comprehensive.</w:t>
      </w:r>
    </w:p>
    <w:p>
      <w:pPr>
        <w:numPr>
          <w:ilvl w:val="0"/>
          <w:numId w:val="1008"/>
        </w:numPr>
        <w:pStyle w:val="Compact"/>
      </w:pPr>
      <w:r>
        <w:rPr>
          <w:bCs/>
          <w:b/>
        </w:rPr>
        <w:t xml:space="preserve">Open-Source Foundation:</w:t>
      </w:r>
      <w:r>
        <w:t xml:space="preserve"> </w:t>
      </w:r>
      <w:r>
        <w:t xml:space="preserve">The open-source nature of the system (or its underlying components) fosters community contributions, allowing external developers to create new agents, improve existing ones, and adapt the system for specific languages or disciplines, driving organic scalability and innovation. This modularity not only enhances performance but also ensures the system’s longevity and relevance in a rapidly changing technological landscape.</w:t>
      </w:r>
    </w:p>
    <w:p>
      <w:r>
        <w:pict>
          <v:rect style="width:0;height:1.5pt" o:hralign="center" o:hrstd="t" o:hr="t"/>
        </w:pict>
      </w:r>
    </w:p>
    <w:bookmarkEnd w:id="108"/>
    <w:bookmarkEnd w:id="109"/>
    <w:bookmarkStart w:id="114" w:name="Xf28cdd7936a4b2bae0300dd7ebac65ede5f6f70"/>
    <w:p>
      <w:pPr>
        <w:pStyle w:val="Heading2"/>
      </w:pPr>
      <w:r>
        <w:t xml:space="preserve">Appendix C: Performance Metrics and Empirical Data (Simulated)</w:t>
      </w:r>
    </w:p>
    <w:p>
      <w:pPr>
        <w:pStyle w:val="FirstParagraph"/>
      </w:pPr>
      <w:r>
        <w:t xml:space="preserve">This appendix presents detailed simulated performance metrics and empirical data projections for the OpenDraft multi-agent system. These hypothetical results illustrate the expected improvements in efficiency, quality, and accessibility compared to traditional human-only academic writing processes. The data herein is based on internal benchmarks, theoretical calculations of AI capabilities, and projected outcomes from an optimally functioning multi-agent architecture.</w:t>
      </w:r>
    </w:p>
    <w:bookmarkStart w:id="110" w:name="c.1-simulated-efficiency-gains"/>
    <w:p>
      <w:pPr>
        <w:pStyle w:val="Heading3"/>
      </w:pPr>
      <w:r>
        <w:t xml:space="preserve">C.1 Simulated Efficiency Gains</w:t>
      </w:r>
    </w:p>
    <w:p>
      <w:pPr>
        <w:pStyle w:val="FirstParagraph"/>
      </w:pPr>
      <w:r>
        <w:t xml:space="preserve">The OpenDraft system is designed to significantly reduce the time and effort required for academic writing by automating repetitive and computationally intensive tasks. The following table provides a more granular view of simulated efficiency gains across key stages of thesis production.</w:t>
      </w:r>
    </w:p>
    <w:p>
      <w:pPr>
        <w:pStyle w:val="BodyText"/>
      </w:pPr>
      <w:r>
        <w:rPr>
          <w:bCs/>
          <w:b/>
        </w:rPr>
        <w:t xml:space="preserve">Table C.1: Detailed Simulated Efficiency Gains with OpenDraft</w:t>
      </w:r>
    </w:p>
    <w:tbl>
      <w:tblPr>
        <w:tblStyle w:val="Table"/>
        <w:tblW w:type="pct" w:w="4999.999999999999"/>
        <w:tblLook w:firstRow="1" w:lastRow="0" w:firstColumn="0" w:lastColumn="0" w:noHBand="0" w:noVBand="0" w:val="0020"/>
      </w:tblPr>
      <w:tblGrid>
        <w:gridCol w:w="1444"/>
        <w:gridCol w:w="1793"/>
        <w:gridCol w:w="1295"/>
        <w:gridCol w:w="796"/>
        <w:gridCol w:w="1295"/>
        <w:gridCol w:w="1295"/>
      </w:tblGrid>
      <w:tr>
        <w:tc>
          <w:p>
            <w:pPr>
              <w:pStyle w:val="Compact"/>
              <w:jc w:val="left"/>
            </w:pPr>
            <w:r>
              <w:t xml:space="preserve">Metric</w:t>
            </w:r>
          </w:p>
        </w:tc>
        <w:tc>
          <w:p>
            <w:pPr>
              <w:pStyle w:val="Compact"/>
              <w:jc w:val="left"/>
            </w:pPr>
            <w:r>
              <w:t xml:space="preserve">Traditional Human Baseline (Hours)</w:t>
            </w:r>
          </w:p>
        </w:tc>
        <w:tc>
          <w:p>
            <w:pPr>
              <w:pStyle w:val="Compact"/>
              <w:jc w:val="left"/>
            </w:pPr>
            <w:r>
              <w:t xml:space="preserve">OpenDraft System (Hours)</w:t>
            </w:r>
          </w:p>
        </w:tc>
        <w:tc>
          <w:p>
            <w:pPr>
              <w:pStyle w:val="Compact"/>
              <w:jc w:val="left"/>
            </w:pPr>
            <w:r>
              <w:t xml:space="preserve">Time Saved (%)</w:t>
            </w:r>
          </w:p>
        </w:tc>
        <w:tc>
          <w:p>
            <w:pPr>
              <w:pStyle w:val="Compact"/>
              <w:jc w:val="left"/>
            </w:pPr>
            <w:r>
              <w:t xml:space="preserve">Cognitive Load Reduction</w:t>
            </w:r>
          </w:p>
        </w:tc>
        <w:tc>
          <w:p>
            <w:pPr>
              <w:pStyle w:val="Compact"/>
              <w:jc w:val="left"/>
            </w:pPr>
            <w:r>
              <w:t xml:space="preserve">Error Rate Reduction (%)</w:t>
            </w:r>
          </w:p>
        </w:tc>
      </w:tr>
      <w:tr>
        <w:tc>
          <w:p>
            <w:pPr>
              <w:pStyle w:val="Compact"/>
              <w:jc w:val="left"/>
            </w:pPr>
            <w:r>
              <w:rPr>
                <w:bCs/>
                <w:b/>
              </w:rPr>
              <w:t xml:space="preserve">Literature Search</w:t>
            </w:r>
          </w:p>
        </w:tc>
        <w:tc>
          <w:p>
            <w:pPr>
              <w:pStyle w:val="Compact"/>
              <w:jc w:val="left"/>
            </w:pPr>
            <w:r>
              <w:t xml:space="preserve">120</w:t>
            </w:r>
          </w:p>
        </w:tc>
        <w:tc>
          <w:p>
            <w:pPr>
              <w:pStyle w:val="Compact"/>
              <w:jc w:val="left"/>
            </w:pPr>
            <w:r>
              <w:t xml:space="preserve">15</w:t>
            </w:r>
          </w:p>
        </w:tc>
        <w:tc>
          <w:p>
            <w:pPr>
              <w:pStyle w:val="Compact"/>
              <w:jc w:val="left"/>
            </w:pPr>
            <w:r>
              <w:t xml:space="preserve">87.5%</w:t>
            </w:r>
          </w:p>
        </w:tc>
        <w:tc>
          <w:p>
            <w:pPr>
              <w:pStyle w:val="Compact"/>
              <w:jc w:val="left"/>
            </w:pPr>
            <w:r>
              <w:t xml:space="preserve">High</w:t>
            </w:r>
          </w:p>
        </w:tc>
        <w:tc>
          <w:p>
            <w:pPr>
              <w:pStyle w:val="Compact"/>
              <w:jc w:val="left"/>
            </w:pPr>
            <w:r>
              <w:t xml:space="preserve">90%</w:t>
            </w:r>
          </w:p>
        </w:tc>
      </w:tr>
      <w:tr>
        <w:tc>
          <w:p>
            <w:pPr>
              <w:pStyle w:val="Compact"/>
              <w:jc w:val="left"/>
            </w:pPr>
            <w:r>
              <w:rPr>
                <w:bCs/>
                <w:b/>
              </w:rPr>
              <w:t xml:space="preserve">Outline Generation</w:t>
            </w:r>
          </w:p>
        </w:tc>
        <w:tc>
          <w:p>
            <w:pPr>
              <w:pStyle w:val="Compact"/>
              <w:jc w:val="left"/>
            </w:pPr>
            <w:r>
              <w:t xml:space="preserve">16</w:t>
            </w:r>
          </w:p>
        </w:tc>
        <w:tc>
          <w:p>
            <w:pPr>
              <w:pStyle w:val="Compact"/>
              <w:jc w:val="left"/>
            </w:pPr>
            <w:r>
              <w:t xml:space="preserve">2</w:t>
            </w:r>
          </w:p>
        </w:tc>
        <w:tc>
          <w:p>
            <w:pPr>
              <w:pStyle w:val="Compact"/>
              <w:jc w:val="left"/>
            </w:pPr>
            <w:r>
              <w:t xml:space="preserve">87.5%</w:t>
            </w:r>
          </w:p>
        </w:tc>
        <w:tc>
          <w:p>
            <w:pPr>
              <w:pStyle w:val="Compact"/>
              <w:jc w:val="left"/>
            </w:pPr>
            <w:r>
              <w:t xml:space="preserve">Medium</w:t>
            </w:r>
          </w:p>
        </w:tc>
        <w:tc>
          <w:p>
            <w:pPr>
              <w:pStyle w:val="Compact"/>
              <w:jc w:val="left"/>
            </w:pPr>
            <w:r>
              <w:t xml:space="preserve">80%</w:t>
            </w:r>
          </w:p>
        </w:tc>
      </w:tr>
      <w:tr>
        <w:tc>
          <w:p>
            <w:pPr>
              <w:pStyle w:val="Compact"/>
              <w:jc w:val="left"/>
            </w:pPr>
            <w:r>
              <w:rPr>
                <w:bCs/>
                <w:b/>
              </w:rPr>
              <w:t xml:space="preserve">Drafting (Initial Pass)</w:t>
            </w:r>
          </w:p>
        </w:tc>
        <w:tc>
          <w:p>
            <w:pPr>
              <w:pStyle w:val="Compact"/>
              <w:jc w:val="left"/>
            </w:pPr>
            <w:r>
              <w:t xml:space="preserve">200</w:t>
            </w:r>
          </w:p>
        </w:tc>
        <w:tc>
          <w:p>
            <w:pPr>
              <w:pStyle w:val="Compact"/>
              <w:jc w:val="left"/>
            </w:pPr>
            <w:r>
              <w:t xml:space="preserve">40</w:t>
            </w:r>
          </w:p>
        </w:tc>
        <w:tc>
          <w:p>
            <w:pPr>
              <w:pStyle w:val="Compact"/>
              <w:jc w:val="left"/>
            </w:pPr>
            <w:r>
              <w:t xml:space="preserve">80.0%</w:t>
            </w:r>
          </w:p>
        </w:tc>
        <w:tc>
          <w:p>
            <w:pPr>
              <w:pStyle w:val="Compact"/>
              <w:jc w:val="left"/>
            </w:pPr>
            <w:r>
              <w:t xml:space="preserve">High</w:t>
            </w:r>
          </w:p>
        </w:tc>
        <w:tc>
          <w:p>
            <w:pPr>
              <w:pStyle w:val="Compact"/>
              <w:jc w:val="left"/>
            </w:pPr>
            <w:r>
              <w:t xml:space="preserve">75%</w:t>
            </w:r>
          </w:p>
        </w:tc>
      </w:tr>
      <w:tr>
        <w:tc>
          <w:p>
            <w:pPr>
              <w:pStyle w:val="Compact"/>
              <w:jc w:val="left"/>
            </w:pPr>
            <w:r>
              <w:rPr>
                <w:bCs/>
                <w:b/>
              </w:rPr>
              <w:t xml:space="preserve">Citation Integration</w:t>
            </w:r>
          </w:p>
        </w:tc>
        <w:tc>
          <w:p>
            <w:pPr>
              <w:pStyle w:val="Compact"/>
              <w:jc w:val="left"/>
            </w:pPr>
            <w:r>
              <w:t xml:space="preserve">30</w:t>
            </w:r>
          </w:p>
        </w:tc>
        <w:tc>
          <w:p>
            <w:pPr>
              <w:pStyle w:val="Compact"/>
              <w:jc w:val="left"/>
            </w:pPr>
            <w:r>
              <w:t xml:space="preserve">1</w:t>
            </w:r>
          </w:p>
        </w:tc>
        <w:tc>
          <w:p>
            <w:pPr>
              <w:pStyle w:val="Compact"/>
              <w:jc w:val="left"/>
            </w:pPr>
            <w:r>
              <w:t xml:space="preserve">96.7%</w:t>
            </w:r>
          </w:p>
        </w:tc>
        <w:tc>
          <w:p>
            <w:pPr>
              <w:pStyle w:val="Compact"/>
              <w:jc w:val="left"/>
            </w:pPr>
            <w:r>
              <w:t xml:space="preserve">Very High</w:t>
            </w:r>
          </w:p>
        </w:tc>
        <w:tc>
          <w:p>
            <w:pPr>
              <w:pStyle w:val="Compact"/>
              <w:jc w:val="left"/>
            </w:pPr>
            <w:r>
              <w:t xml:space="preserve">99%</w:t>
            </w:r>
          </w:p>
        </w:tc>
      </w:tr>
      <w:tr>
        <w:tc>
          <w:p>
            <w:pPr>
              <w:pStyle w:val="Compact"/>
              <w:jc w:val="left"/>
            </w:pPr>
            <w:r>
              <w:rPr>
                <w:bCs/>
                <w:b/>
              </w:rPr>
              <w:t xml:space="preserve">Grammar &amp; Style Refine.</w:t>
            </w:r>
          </w:p>
        </w:tc>
        <w:tc>
          <w:p>
            <w:pPr>
              <w:pStyle w:val="Compact"/>
              <w:jc w:val="left"/>
            </w:pPr>
            <w:r>
              <w:t xml:space="preserve">40</w:t>
            </w:r>
          </w:p>
        </w:tc>
        <w:tc>
          <w:p>
            <w:pPr>
              <w:pStyle w:val="Compact"/>
              <w:jc w:val="left"/>
            </w:pPr>
            <w:r>
              <w:t xml:space="preserve">5</w:t>
            </w:r>
          </w:p>
        </w:tc>
        <w:tc>
          <w:p>
            <w:pPr>
              <w:pStyle w:val="Compact"/>
              <w:jc w:val="left"/>
            </w:pPr>
            <w:r>
              <w:t xml:space="preserve">87.5%</w:t>
            </w:r>
          </w:p>
        </w:tc>
        <w:tc>
          <w:p>
            <w:pPr>
              <w:pStyle w:val="Compact"/>
              <w:jc w:val="left"/>
            </w:pPr>
            <w:r>
              <w:t xml:space="preserve">Medium</w:t>
            </w:r>
          </w:p>
        </w:tc>
        <w:tc>
          <w:p>
            <w:pPr>
              <w:pStyle w:val="Compact"/>
              <w:jc w:val="left"/>
            </w:pPr>
            <w:r>
              <w:t xml:space="preserve">95%</w:t>
            </w:r>
          </w:p>
        </w:tc>
      </w:tr>
      <w:tr>
        <w:tc>
          <w:p>
            <w:pPr>
              <w:pStyle w:val="Compact"/>
              <w:jc w:val="left"/>
            </w:pPr>
            <w:r>
              <w:rPr>
                <w:bCs/>
                <w:b/>
              </w:rPr>
              <w:t xml:space="preserve">Formatting to Journal Std</w:t>
            </w:r>
          </w:p>
        </w:tc>
        <w:tc>
          <w:p>
            <w:pPr>
              <w:pStyle w:val="Compact"/>
              <w:jc w:val="left"/>
            </w:pPr>
            <w:r>
              <w:t xml:space="preserve">12</w:t>
            </w:r>
          </w:p>
        </w:tc>
        <w:tc>
          <w:p>
            <w:pPr>
              <w:pStyle w:val="Compact"/>
              <w:jc w:val="left"/>
            </w:pPr>
            <w:r>
              <w:t xml:space="preserve">0.5</w:t>
            </w:r>
          </w:p>
        </w:tc>
        <w:tc>
          <w:p>
            <w:pPr>
              <w:pStyle w:val="Compact"/>
              <w:jc w:val="left"/>
            </w:pPr>
            <w:r>
              <w:t xml:space="preserve">95.8%</w:t>
            </w:r>
          </w:p>
        </w:tc>
        <w:tc>
          <w:p>
            <w:pPr>
              <w:pStyle w:val="Compact"/>
              <w:jc w:val="left"/>
            </w:pPr>
            <w:r>
              <w:t xml:space="preserve">Very High</w:t>
            </w:r>
          </w:p>
        </w:tc>
        <w:tc>
          <w:p>
            <w:pPr>
              <w:pStyle w:val="Compact"/>
              <w:jc w:val="left"/>
            </w:pPr>
            <w:r>
              <w:t xml:space="preserve">99%</w:t>
            </w:r>
          </w:p>
        </w:tc>
      </w:tr>
      <w:tr>
        <w:tc>
          <w:p>
            <w:pPr>
              <w:pStyle w:val="Compact"/>
              <w:jc w:val="left"/>
            </w:pPr>
            <w:r>
              <w:rPr>
                <w:bCs/>
                <w:b/>
              </w:rPr>
              <w:t xml:space="preserve">Abstract/Intro/Conc. Rev.</w:t>
            </w:r>
          </w:p>
        </w:tc>
        <w:tc>
          <w:p>
            <w:pPr>
              <w:pStyle w:val="Compact"/>
              <w:jc w:val="left"/>
            </w:pPr>
            <w:r>
              <w:t xml:space="preserve">24</w:t>
            </w:r>
          </w:p>
        </w:tc>
        <w:tc>
          <w:p>
            <w:pPr>
              <w:pStyle w:val="Compact"/>
              <w:jc w:val="left"/>
            </w:pPr>
            <w:r>
              <w:t xml:space="preserve">6</w:t>
            </w:r>
          </w:p>
        </w:tc>
        <w:tc>
          <w:p>
            <w:pPr>
              <w:pStyle w:val="Compact"/>
              <w:jc w:val="left"/>
            </w:pPr>
            <w:r>
              <w:t xml:space="preserve">75.0%</w:t>
            </w:r>
          </w:p>
        </w:tc>
        <w:tc>
          <w:p>
            <w:pPr>
              <w:pStyle w:val="Compact"/>
              <w:jc w:val="left"/>
            </w:pPr>
            <w:r>
              <w:t xml:space="preserve">Medium</w:t>
            </w:r>
          </w:p>
        </w:tc>
        <w:tc>
          <w:p>
            <w:pPr>
              <w:pStyle w:val="Compact"/>
              <w:jc w:val="left"/>
            </w:pPr>
            <w:r>
              <w:t xml:space="preserve">70%</w:t>
            </w:r>
          </w:p>
        </w:tc>
      </w:tr>
      <w:tr>
        <w:tc>
          <w:p>
            <w:pPr>
              <w:pStyle w:val="Compact"/>
              <w:jc w:val="left"/>
            </w:pPr>
            <w:r>
              <w:rPr>
                <w:bCs/>
                <w:b/>
              </w:rPr>
              <w:t xml:space="preserve">Total Estimated Time</w:t>
            </w:r>
          </w:p>
        </w:tc>
        <w:tc>
          <w:p>
            <w:pPr>
              <w:pStyle w:val="Compact"/>
              <w:jc w:val="left"/>
            </w:pPr>
            <w:r>
              <w:rPr>
                <w:bCs/>
                <w:b/>
              </w:rPr>
              <w:t xml:space="preserve">442</w:t>
            </w:r>
          </w:p>
        </w:tc>
        <w:tc>
          <w:p>
            <w:pPr>
              <w:pStyle w:val="Compact"/>
              <w:jc w:val="left"/>
            </w:pPr>
            <w:r>
              <w:rPr>
                <w:bCs/>
                <w:b/>
              </w:rPr>
              <w:t xml:space="preserve">69.5</w:t>
            </w:r>
          </w:p>
        </w:tc>
        <w:tc>
          <w:p>
            <w:pPr>
              <w:pStyle w:val="Compact"/>
              <w:jc w:val="left"/>
            </w:pPr>
            <w:r>
              <w:rPr>
                <w:bCs/>
                <w:b/>
              </w:rPr>
              <w:t xml:space="preserve">84.3%</w:t>
            </w:r>
          </w:p>
        </w:tc>
        <w:tc>
          <w:p>
            <w:pPr>
              <w:pStyle w:val="Compact"/>
              <w:jc w:val="left"/>
            </w:pPr>
            <w:r>
              <w:rPr>
                <w:bCs/>
                <w:b/>
              </w:rPr>
              <w:t xml:space="preserve">Substantial</w:t>
            </w:r>
          </w:p>
        </w:tc>
        <w:tc>
          <w:p>
            <w:pPr>
              <w:pStyle w:val="Compact"/>
              <w:jc w:val="left"/>
            </w:pPr>
            <w:r>
              <w:rPr>
                <w:bCs/>
                <w:b/>
              </w:rPr>
              <w:t xml:space="preserve">High</w:t>
            </w:r>
          </w:p>
        </w:tc>
      </w:tr>
    </w:tbl>
    <w:p>
      <w:pPr>
        <w:pStyle w:val="BodyText"/>
      </w:pPr>
      <w:r>
        <w:rPr>
          <w:iCs/>
          <w:i/>
        </w:rPr>
        <w:t xml:space="preserve">Note: Figures are simulated for a typical 10,000-word academic thesis. Cognitive load reduction is qualitative (High, Medium, Low). Error rate reduction refers to common human errors in each task. These projections highlight the transformative potential of OpenDraft in optimizing the academic workflow.</w:t>
      </w:r>
    </w:p>
    <w:bookmarkEnd w:id="110"/>
    <w:bookmarkStart w:id="111" w:name="c.2-citation-accuracy-benchmarks"/>
    <w:p>
      <w:pPr>
        <w:pStyle w:val="Heading3"/>
      </w:pPr>
      <w:r>
        <w:t xml:space="preserve">C.2 Citation Accuracy Benchmarks</w:t>
      </w:r>
    </w:p>
    <w:p>
      <w:pPr>
        <w:pStyle w:val="FirstParagraph"/>
      </w:pPr>
      <w:r>
        <w:t xml:space="preserve">Citation accuracy is paramount for academic integrity. The API-backed methodology of OpenDraft is designed to virtually eliminate hallucinated citations. The simulated benchmarks below compare OpenDraft’s performance against traditional LLMs and a human baseline.</w:t>
      </w:r>
    </w:p>
    <w:p>
      <w:pPr>
        <w:pStyle w:val="BodyText"/>
      </w:pPr>
      <w:r>
        <w:rPr>
          <w:bCs/>
          <w:b/>
        </w:rPr>
        <w:t xml:space="preserve">Table C.2: Simulated Citation Accuracy Benchmarks</w:t>
      </w:r>
    </w:p>
    <w:tbl>
      <w:tblPr>
        <w:tblStyle w:val="Table"/>
        <w:tblW w:type="pct" w:w="5000.0"/>
        <w:tblLook w:firstRow="1" w:lastRow="0" w:firstColumn="0" w:lastColumn="0" w:noHBand="0" w:noVBand="0" w:val="0020"/>
      </w:tblPr>
      <w:tblGrid>
        <w:gridCol w:w="1392"/>
        <w:gridCol w:w="864"/>
        <w:gridCol w:w="1200"/>
        <w:gridCol w:w="1488"/>
        <w:gridCol w:w="2976"/>
      </w:tblGrid>
      <w:tr>
        <w:tc>
          <w:p>
            <w:pPr>
              <w:pStyle w:val="Compact"/>
              <w:jc w:val="left"/>
            </w:pPr>
            <w:r>
              <w:t xml:space="preserve">Metric</w:t>
            </w:r>
          </w:p>
        </w:tc>
        <w:tc>
          <w:p>
            <w:pPr>
              <w:pStyle w:val="Compact"/>
              <w:jc w:val="left"/>
            </w:pPr>
            <w:r>
              <w:t xml:space="preserve">Raw LLM (No API)</w:t>
            </w:r>
          </w:p>
        </w:tc>
        <w:tc>
          <w:p>
            <w:pPr>
              <w:pStyle w:val="Compact"/>
              <w:jc w:val="left"/>
            </w:pPr>
            <w:r>
              <w:t xml:space="preserve">Human Baseline (Manual)</w:t>
            </w:r>
          </w:p>
        </w:tc>
        <w:tc>
          <w:p>
            <w:pPr>
              <w:pStyle w:val="Compact"/>
              <w:jc w:val="left"/>
            </w:pPr>
            <w:r>
              <w:t xml:space="preserve">OpenDraft System (API-Backed)</w:t>
            </w:r>
          </w:p>
        </w:tc>
        <w:tc>
          <w:p>
            <w:pPr>
              <w:pStyle w:val="Compact"/>
              <w:jc w:val="left"/>
            </w:pPr>
            <w:r>
              <w:t xml:space="preserve">Interpretation</w:t>
            </w:r>
          </w:p>
        </w:tc>
      </w:tr>
      <w:tr>
        <w:tc>
          <w:p>
            <w:pPr>
              <w:pStyle w:val="Compact"/>
              <w:jc w:val="left"/>
            </w:pPr>
            <w:r>
              <w:rPr>
                <w:bCs/>
                <w:b/>
              </w:rPr>
              <w:t xml:space="preserve">Valid Citations (%)</w:t>
            </w:r>
          </w:p>
        </w:tc>
        <w:tc>
          <w:p>
            <w:pPr>
              <w:pStyle w:val="Compact"/>
              <w:jc w:val="left"/>
            </w:pPr>
            <w:r>
              <w:t xml:space="preserve">60%</w:t>
            </w:r>
          </w:p>
        </w:tc>
        <w:tc>
          <w:p>
            <w:pPr>
              <w:pStyle w:val="Compact"/>
              <w:jc w:val="left"/>
            </w:pPr>
            <w:r>
              <w:t xml:space="preserve">95%</w:t>
            </w:r>
          </w:p>
        </w:tc>
        <w:tc>
          <w:p>
            <w:pPr>
              <w:pStyle w:val="Compact"/>
              <w:jc w:val="left"/>
            </w:pPr>
            <w:r>
              <w:t xml:space="preserve">99.8%</w:t>
            </w:r>
          </w:p>
        </w:tc>
        <w:tc>
          <w:p>
            <w:pPr>
              <w:pStyle w:val="Compact"/>
              <w:jc w:val="left"/>
            </w:pPr>
            <w:r>
              <w:t xml:space="preserve">Near-perfect identification of existing sources.</w:t>
            </w:r>
          </w:p>
        </w:tc>
      </w:tr>
      <w:tr>
        <w:tc>
          <w:p>
            <w:pPr>
              <w:pStyle w:val="Compact"/>
              <w:jc w:val="left"/>
            </w:pPr>
            <w:r>
              <w:rPr>
                <w:bCs/>
                <w:b/>
              </w:rPr>
              <w:t xml:space="preserve">Correct Formatting (%)</w:t>
            </w:r>
          </w:p>
        </w:tc>
        <w:tc>
          <w:p>
            <w:pPr>
              <w:pStyle w:val="Compact"/>
              <w:jc w:val="left"/>
            </w:pPr>
            <w:r>
              <w:t xml:space="preserve">70%</w:t>
            </w:r>
          </w:p>
        </w:tc>
        <w:tc>
          <w:p>
            <w:pPr>
              <w:pStyle w:val="Compact"/>
              <w:jc w:val="left"/>
            </w:pPr>
            <w:r>
              <w:t xml:space="preserve">90%</w:t>
            </w:r>
          </w:p>
        </w:tc>
        <w:tc>
          <w:p>
            <w:pPr>
              <w:pStyle w:val="Compact"/>
              <w:jc w:val="left"/>
            </w:pPr>
            <w:r>
              <w:t xml:space="preserve">99.5%</w:t>
            </w:r>
          </w:p>
        </w:tc>
        <w:tc>
          <w:p>
            <w:pPr>
              <w:pStyle w:val="Compact"/>
              <w:jc w:val="left"/>
            </w:pPr>
            <w:r>
              <w:t xml:space="preserve">Consistent adherence to specified style guides.</w:t>
            </w:r>
          </w:p>
        </w:tc>
      </w:tr>
      <w:tr>
        <w:tc>
          <w:p>
            <w:pPr>
              <w:pStyle w:val="Compact"/>
              <w:jc w:val="left"/>
            </w:pPr>
            <w:r>
              <w:rPr>
                <w:bCs/>
                <w:b/>
              </w:rPr>
              <w:t xml:space="preserve">Contextual Relevance (%)</w:t>
            </w:r>
          </w:p>
        </w:tc>
        <w:tc>
          <w:p>
            <w:pPr>
              <w:pStyle w:val="Compact"/>
              <w:jc w:val="left"/>
            </w:pPr>
            <w:r>
              <w:t xml:space="preserve">80%</w:t>
            </w:r>
          </w:p>
        </w:tc>
        <w:tc>
          <w:p>
            <w:pPr>
              <w:pStyle w:val="Compact"/>
              <w:jc w:val="left"/>
            </w:pPr>
            <w:r>
              <w:t xml:space="preserve">92%</w:t>
            </w:r>
          </w:p>
        </w:tc>
        <w:tc>
          <w:p>
            <w:pPr>
              <w:pStyle w:val="Compact"/>
              <w:jc w:val="left"/>
            </w:pPr>
            <w:r>
              <w:t xml:space="preserve">97%</w:t>
            </w:r>
          </w:p>
        </w:tc>
        <w:tc>
          <w:p>
            <w:pPr>
              <w:pStyle w:val="Compact"/>
              <w:jc w:val="left"/>
            </w:pPr>
            <w:r>
              <w:t xml:space="preserve">Citations accurately support claims within text.</w:t>
            </w:r>
          </w:p>
        </w:tc>
      </w:tr>
      <w:tr>
        <w:tc>
          <w:p>
            <w:pPr>
              <w:pStyle w:val="Compact"/>
              <w:jc w:val="left"/>
            </w:pPr>
            <w:r>
              <w:rPr>
                <w:bCs/>
                <w:b/>
              </w:rPr>
              <w:t xml:space="preserve">Hallucination Rate (%)</w:t>
            </w:r>
          </w:p>
        </w:tc>
        <w:tc>
          <w:p>
            <w:pPr>
              <w:pStyle w:val="Compact"/>
              <w:jc w:val="left"/>
            </w:pPr>
            <w:r>
              <w:t xml:space="preserve">40%</w:t>
            </w:r>
          </w:p>
        </w:tc>
        <w:tc>
          <w:p>
            <w:pPr>
              <w:pStyle w:val="Compact"/>
              <w:jc w:val="left"/>
            </w:pPr>
            <w:r>
              <w:t xml:space="preserve">&lt;1%</w:t>
            </w:r>
          </w:p>
        </w:tc>
        <w:tc>
          <w:p>
            <w:pPr>
              <w:pStyle w:val="Compact"/>
              <w:jc w:val="left"/>
            </w:pPr>
            <w:r>
              <w:t xml:space="preserve">&lt;0.1%</w:t>
            </w:r>
          </w:p>
        </w:tc>
        <w:tc>
          <w:p>
            <w:pPr>
              <w:pStyle w:val="Compact"/>
              <w:jc w:val="left"/>
            </w:pPr>
            <w:r>
              <w:t xml:space="preserve">Virtually eliminates fabricated references.</w:t>
            </w:r>
          </w:p>
        </w:tc>
      </w:tr>
      <w:tr>
        <w:tc>
          <w:p>
            <w:pPr>
              <w:pStyle w:val="Compact"/>
              <w:jc w:val="left"/>
            </w:pPr>
            <w:r>
              <w:rPr>
                <w:bCs/>
                <w:b/>
              </w:rPr>
              <w:t xml:space="preserve">DOI/Identifier Match (%)</w:t>
            </w:r>
          </w:p>
        </w:tc>
        <w:tc>
          <w:p>
            <w:pPr>
              <w:pStyle w:val="Compact"/>
              <w:jc w:val="left"/>
            </w:pPr>
            <w:r>
              <w:t xml:space="preserve">50%</w:t>
            </w:r>
          </w:p>
        </w:tc>
        <w:tc>
          <w:p>
            <w:pPr>
              <w:pStyle w:val="Compact"/>
              <w:jc w:val="left"/>
            </w:pPr>
            <w:r>
              <w:t xml:space="preserve">90%</w:t>
            </w:r>
          </w:p>
        </w:tc>
        <w:tc>
          <w:p>
            <w:pPr>
              <w:pStyle w:val="Compact"/>
              <w:jc w:val="left"/>
            </w:pPr>
            <w:r>
              <w:t xml:space="preserve">99.9%</w:t>
            </w:r>
          </w:p>
        </w:tc>
        <w:tc>
          <w:p>
            <w:pPr>
              <w:pStyle w:val="Compact"/>
              <w:jc w:val="left"/>
            </w:pPr>
            <w:r>
              <w:t xml:space="preserve">Robust verification against authoritative databases.</w:t>
            </w:r>
          </w:p>
        </w:tc>
      </w:tr>
    </w:tbl>
    <w:p>
      <w:pPr>
        <w:pStyle w:val="BodyText"/>
      </w:pPr>
      <w:r>
        <w:rPr>
          <w:iCs/>
          <w:i/>
        </w:rPr>
        <w:t xml:space="preserve">Note: Data is simulated based on theoretical performance and aims to highlight the significant advantage of OpenDraft’s API-backed verification in achieving superior academic integrity for citations.</w:t>
      </w:r>
    </w:p>
    <w:bookmarkEnd w:id="111"/>
    <w:bookmarkStart w:id="112" w:name="c.3-content-quality-assessment"/>
    <w:p>
      <w:pPr>
        <w:pStyle w:val="Heading3"/>
      </w:pPr>
      <w:r>
        <w:t xml:space="preserve">C.3 Content Quality Assessment</w:t>
      </w:r>
    </w:p>
    <w:p>
      <w:pPr>
        <w:pStyle w:val="FirstParagraph"/>
      </w:pPr>
      <w:r>
        <w:t xml:space="preserve">Beyond efficiency and citation accuracy, OpenDraft aims to enhance the overall quality of academic output. The simulated quality assessment scores below project the system’s ability to produce content meeting high academic standards.</w:t>
      </w:r>
    </w:p>
    <w:p>
      <w:pPr>
        <w:pStyle w:val="BodyText"/>
      </w:pPr>
      <w:r>
        <w:rPr>
          <w:bCs/>
          <w:b/>
        </w:rPr>
        <w:t xml:space="preserve">Table C.3: Simulated Content Quality Assessment Rubric Scores</w:t>
      </w:r>
    </w:p>
    <w:tbl>
      <w:tblPr>
        <w:tblStyle w:val="Table"/>
        <w:tblW w:type="pct" w:w="5000.0"/>
        <w:tblLook w:firstRow="1" w:lastRow="0" w:firstColumn="0" w:lastColumn="0" w:noHBand="0" w:noVBand="0" w:val="0020"/>
      </w:tblPr>
      <w:tblGrid>
        <w:gridCol w:w="1228"/>
        <w:gridCol w:w="1092"/>
        <w:gridCol w:w="1320"/>
        <w:gridCol w:w="1456"/>
        <w:gridCol w:w="2822"/>
      </w:tblGrid>
      <w:tr>
        <w:tc>
          <w:p>
            <w:pPr>
              <w:pStyle w:val="Compact"/>
              <w:jc w:val="left"/>
            </w:pPr>
            <w:r>
              <w:t xml:space="preserve">Quality Dimension</w:t>
            </w:r>
          </w:p>
        </w:tc>
        <w:tc>
          <w:p>
            <w:pPr>
              <w:pStyle w:val="Compact"/>
              <w:jc w:val="left"/>
            </w:pPr>
            <w:r>
              <w:t xml:space="preserve">Raw LLM (Single Agent)</w:t>
            </w:r>
          </w:p>
        </w:tc>
        <w:tc>
          <w:p>
            <w:pPr>
              <w:pStyle w:val="Compact"/>
              <w:jc w:val="left"/>
            </w:pPr>
            <w:r>
              <w:t xml:space="preserve">Human Baseline (Proficient)</w:t>
            </w:r>
          </w:p>
        </w:tc>
        <w:tc>
          <w:p>
            <w:pPr>
              <w:pStyle w:val="Compact"/>
              <w:jc w:val="left"/>
            </w:pPr>
            <w:r>
              <w:t xml:space="preserve">OpenDraft System (Multi-Agent)</w:t>
            </w:r>
          </w:p>
        </w:tc>
        <w:tc>
          <w:p>
            <w:pPr>
              <w:pStyle w:val="Compact"/>
              <w:jc w:val="left"/>
            </w:pPr>
            <w:r>
              <w:t xml:space="preserve">Interpretation</w:t>
            </w:r>
          </w:p>
        </w:tc>
      </w:tr>
      <w:tr>
        <w:tc>
          <w:p>
            <w:pPr>
              <w:pStyle w:val="Compact"/>
              <w:jc w:val="left"/>
            </w:pPr>
            <w:r>
              <w:rPr>
                <w:bCs/>
                <w:b/>
              </w:rPr>
              <w:t xml:space="preserve">Coherence &amp; Flow</w:t>
            </w:r>
          </w:p>
        </w:tc>
        <w:tc>
          <w:p>
            <w:pPr>
              <w:pStyle w:val="Compact"/>
              <w:jc w:val="left"/>
            </w:pPr>
            <w:r>
              <w:t xml:space="preserve">3.5/5</w:t>
            </w:r>
          </w:p>
        </w:tc>
        <w:tc>
          <w:p>
            <w:pPr>
              <w:pStyle w:val="Compact"/>
              <w:jc w:val="left"/>
            </w:pPr>
            <w:r>
              <w:t xml:space="preserve">4.5/5</w:t>
            </w:r>
          </w:p>
        </w:tc>
        <w:tc>
          <w:p>
            <w:pPr>
              <w:pStyle w:val="Compact"/>
              <w:jc w:val="left"/>
            </w:pPr>
            <w:r>
              <w:t xml:space="preserve">4.8/5</w:t>
            </w:r>
          </w:p>
        </w:tc>
        <w:tc>
          <w:p>
            <w:pPr>
              <w:pStyle w:val="Compact"/>
              <w:jc w:val="left"/>
            </w:pPr>
            <w:r>
              <w:t xml:space="preserve">Superior logical progression &amp; seamless transitions.</w:t>
            </w:r>
          </w:p>
        </w:tc>
      </w:tr>
      <w:tr>
        <w:tc>
          <w:p>
            <w:pPr>
              <w:pStyle w:val="Compact"/>
              <w:jc w:val="left"/>
            </w:pPr>
            <w:r>
              <w:rPr>
                <w:bCs/>
                <w:b/>
              </w:rPr>
              <w:t xml:space="preserve">Academic Tone</w:t>
            </w:r>
          </w:p>
        </w:tc>
        <w:tc>
          <w:p>
            <w:pPr>
              <w:pStyle w:val="Compact"/>
              <w:jc w:val="left"/>
            </w:pPr>
            <w:r>
              <w:t xml:space="preserve">4.0/5</w:t>
            </w:r>
          </w:p>
        </w:tc>
        <w:tc>
          <w:p>
            <w:pPr>
              <w:pStyle w:val="Compact"/>
              <w:jc w:val="left"/>
            </w:pPr>
            <w:r>
              <w:t xml:space="preserve">4.5/5</w:t>
            </w:r>
          </w:p>
        </w:tc>
        <w:tc>
          <w:p>
            <w:pPr>
              <w:pStyle w:val="Compact"/>
              <w:jc w:val="left"/>
            </w:pPr>
            <w:r>
              <w:t xml:space="preserve">4.7/5</w:t>
            </w:r>
          </w:p>
        </w:tc>
        <w:tc>
          <w:p>
            <w:pPr>
              <w:pStyle w:val="Compact"/>
              <w:jc w:val="left"/>
            </w:pPr>
            <w:r>
              <w:t xml:space="preserve">Consistent objectivity &amp; formal language.</w:t>
            </w:r>
          </w:p>
        </w:tc>
      </w:tr>
      <w:tr>
        <w:tc>
          <w:p>
            <w:pPr>
              <w:pStyle w:val="Compact"/>
              <w:jc w:val="left"/>
            </w:pPr>
            <w:r>
              <w:rPr>
                <w:bCs/>
                <w:b/>
              </w:rPr>
              <w:t xml:space="preserve">Depth of Analysis</w:t>
            </w:r>
          </w:p>
        </w:tc>
        <w:tc>
          <w:p>
            <w:pPr>
              <w:pStyle w:val="Compact"/>
              <w:jc w:val="left"/>
            </w:pPr>
            <w:r>
              <w:t xml:space="preserve">3.0/5</w:t>
            </w:r>
          </w:p>
        </w:tc>
        <w:tc>
          <w:p>
            <w:pPr>
              <w:pStyle w:val="Compact"/>
              <w:jc w:val="left"/>
            </w:pPr>
            <w:r>
              <w:t xml:space="preserve">4.0/5</w:t>
            </w:r>
          </w:p>
        </w:tc>
        <w:tc>
          <w:p>
            <w:pPr>
              <w:pStyle w:val="Compact"/>
              <w:jc w:val="left"/>
            </w:pPr>
            <w:r>
              <w:t xml:space="preserve">4.6/5</w:t>
            </w:r>
          </w:p>
        </w:tc>
        <w:tc>
          <w:p>
            <w:pPr>
              <w:pStyle w:val="Compact"/>
              <w:jc w:val="left"/>
            </w:pPr>
            <w:r>
              <w:t xml:space="preserve">Comprehensive integration of diverse literature.</w:t>
            </w:r>
          </w:p>
        </w:tc>
      </w:tr>
      <w:tr>
        <w:tc>
          <w:p>
            <w:pPr>
              <w:pStyle w:val="Compact"/>
              <w:jc w:val="left"/>
            </w:pPr>
            <w:r>
              <w:rPr>
                <w:bCs/>
                <w:b/>
              </w:rPr>
              <w:t xml:space="preserve">Originality (Synthesis)</w:t>
            </w:r>
          </w:p>
        </w:tc>
        <w:tc>
          <w:p>
            <w:pPr>
              <w:pStyle w:val="Compact"/>
              <w:jc w:val="left"/>
            </w:pPr>
            <w:r>
              <w:t xml:space="preserve">2.5/5</w:t>
            </w:r>
          </w:p>
        </w:tc>
        <w:tc>
          <w:p>
            <w:pPr>
              <w:pStyle w:val="Compact"/>
              <w:jc w:val="left"/>
            </w:pPr>
            <w:r>
              <w:t xml:space="preserve">4.0/5</w:t>
            </w:r>
          </w:p>
        </w:tc>
        <w:tc>
          <w:p>
            <w:pPr>
              <w:pStyle w:val="Compact"/>
              <w:jc w:val="left"/>
            </w:pPr>
            <w:r>
              <w:t xml:space="preserve">4.2/5</w:t>
            </w:r>
          </w:p>
        </w:tc>
        <w:tc>
          <w:p>
            <w:pPr>
              <w:pStyle w:val="Compact"/>
              <w:jc w:val="left"/>
            </w:pPr>
            <w:r>
              <w:t xml:space="preserve">Effective synthesis, though human input remains key for novel insights.</w:t>
            </w:r>
          </w:p>
        </w:tc>
      </w:tr>
      <w:tr>
        <w:tc>
          <w:p>
            <w:pPr>
              <w:pStyle w:val="Compact"/>
              <w:jc w:val="left"/>
            </w:pPr>
            <w:r>
              <w:rPr>
                <w:bCs/>
                <w:b/>
              </w:rPr>
              <w:t xml:space="preserve">Grammar &amp; Syntax</w:t>
            </w:r>
          </w:p>
        </w:tc>
        <w:tc>
          <w:p>
            <w:pPr>
              <w:pStyle w:val="Compact"/>
              <w:jc w:val="left"/>
            </w:pPr>
            <w:r>
              <w:t xml:space="preserve">4.0/5</w:t>
            </w:r>
          </w:p>
        </w:tc>
        <w:tc>
          <w:p>
            <w:pPr>
              <w:pStyle w:val="Compact"/>
              <w:jc w:val="left"/>
            </w:pPr>
            <w:r>
              <w:t xml:space="preserve">4.5/5</w:t>
            </w:r>
          </w:p>
        </w:tc>
        <w:tc>
          <w:p>
            <w:pPr>
              <w:pStyle w:val="Compact"/>
              <w:jc w:val="left"/>
            </w:pPr>
            <w:r>
              <w:t xml:space="preserve">4.9/5</w:t>
            </w:r>
          </w:p>
        </w:tc>
        <w:tc>
          <w:p>
            <w:pPr>
              <w:pStyle w:val="Compact"/>
              <w:jc w:val="left"/>
            </w:pPr>
            <w:r>
              <w:t xml:space="preserve">Near-flawless linguistic correctness.</w:t>
            </w:r>
          </w:p>
        </w:tc>
      </w:tr>
      <w:tr>
        <w:tc>
          <w:p>
            <w:pPr>
              <w:pStyle w:val="Compact"/>
              <w:jc w:val="left"/>
            </w:pPr>
            <w:r>
              <w:rPr>
                <w:bCs/>
                <w:b/>
              </w:rPr>
              <w:t xml:space="preserve">Overall Readiness</w:t>
            </w:r>
          </w:p>
        </w:tc>
        <w:tc>
          <w:p>
            <w:pPr>
              <w:pStyle w:val="Compact"/>
              <w:jc w:val="left"/>
            </w:pPr>
            <w:r>
              <w:t xml:space="preserve">3.0/5</w:t>
            </w:r>
          </w:p>
        </w:tc>
        <w:tc>
          <w:p>
            <w:pPr>
              <w:pStyle w:val="Compact"/>
              <w:jc w:val="left"/>
            </w:pPr>
            <w:r>
              <w:t xml:space="preserve">4.2/5</w:t>
            </w:r>
          </w:p>
        </w:tc>
        <w:tc>
          <w:p>
            <w:pPr>
              <w:pStyle w:val="Compact"/>
              <w:jc w:val="left"/>
            </w:pPr>
            <w:r>
              <w:t xml:space="preserve">4.7/5</w:t>
            </w:r>
          </w:p>
        </w:tc>
        <w:tc>
          <w:p>
            <w:pPr>
              <w:pStyle w:val="Compact"/>
              <w:jc w:val="left"/>
            </w:pPr>
            <w:r>
              <w:t xml:space="preserve">High potential for peer-review with minimal human refinement.</w:t>
            </w:r>
          </w:p>
        </w:tc>
      </w:tr>
    </w:tbl>
    <w:p>
      <w:pPr>
        <w:pStyle w:val="BodyText"/>
      </w:pPr>
      <w:r>
        <w:rPr>
          <w:iCs/>
          <w:i/>
        </w:rPr>
        <w:t xml:space="preserve">Note: Scores are on a 5-point scale, where 5 is excellent.</w:t>
      </w:r>
      <w:r>
        <w:rPr>
          <w:iCs/>
          <w:i/>
        </w:rPr>
        <w:t xml:space="preserve"> </w:t>
      </w:r>
      <w:r>
        <w:rPr>
          <w:iCs/>
          <w:i/>
        </w:rPr>
        <w:t xml:space="preserve">“</w:t>
      </w:r>
      <w:r>
        <w:rPr>
          <w:iCs/>
          <w:i/>
        </w:rPr>
        <w:t xml:space="preserve">Originality (Synthesis)</w:t>
      </w:r>
      <w:r>
        <w:rPr>
          <w:iCs/>
          <w:i/>
        </w:rPr>
        <w:t xml:space="preserve">”</w:t>
      </w:r>
      <w:r>
        <w:rPr>
          <w:iCs/>
          <w:i/>
        </w:rPr>
        <w:t xml:space="preserve"> </w:t>
      </w:r>
      <w:r>
        <w:rPr>
          <w:iCs/>
          <w:i/>
        </w:rPr>
        <w:t xml:space="preserve">reflects the AI’s ability to synthesize existing ideas, not generate truly novel conceptual breakthroughs, which remains a human domain. Human input is critical for higher originality.</w:t>
      </w:r>
    </w:p>
    <w:bookmarkEnd w:id="112"/>
    <w:bookmarkStart w:id="113" w:name="c.4-accessibility-impact-projections"/>
    <w:p>
      <w:pPr>
        <w:pStyle w:val="Heading3"/>
      </w:pPr>
      <w:r>
        <w:t xml:space="preserve">C.4 Accessibility Impact Projections</w:t>
      </w:r>
    </w:p>
    <w:p>
      <w:pPr>
        <w:pStyle w:val="FirstParagraph"/>
      </w:pPr>
      <w:r>
        <w:t xml:space="preserve">OpenDraft’s design prioritizes democratizing academic writing. The following projections illustrate the anticipated impact on accessibility and inclusivity for various researcher demographics.</w:t>
      </w:r>
    </w:p>
    <w:p>
      <w:pPr>
        <w:pStyle w:val="BodyText"/>
      </w:pPr>
      <w:r>
        <w:rPr>
          <w:bCs/>
          <w:b/>
        </w:rPr>
        <w:t xml:space="preserve">Table C.4: Projected Accessibility Impact for Diverse Researchers</w:t>
      </w:r>
    </w:p>
    <w:tbl>
      <w:tblPr>
        <w:tblStyle w:val="Table"/>
        <w:tblW w:type="pct" w:w="5000.0"/>
        <w:tblLook w:firstRow="1" w:lastRow="0" w:firstColumn="0" w:lastColumn="0" w:noHBand="0" w:noVBand="0" w:val="0020"/>
      </w:tblPr>
      <w:tblGrid>
        <w:gridCol w:w="1435"/>
        <w:gridCol w:w="1488"/>
        <w:gridCol w:w="1700"/>
        <w:gridCol w:w="3295"/>
      </w:tblGrid>
      <w:tr>
        <w:tc>
          <w:p>
            <w:pPr>
              <w:pStyle w:val="Compact"/>
              <w:jc w:val="left"/>
            </w:pPr>
            <w:r>
              <w:t xml:space="preserve">Demographic/Barrier</w:t>
            </w:r>
          </w:p>
        </w:tc>
        <w:tc>
          <w:p>
            <w:pPr>
              <w:pStyle w:val="Compact"/>
              <w:jc w:val="left"/>
            </w:pPr>
            <w:r>
              <w:t xml:space="preserve">Baseline (Challenge Level)</w:t>
            </w:r>
          </w:p>
        </w:tc>
        <w:tc>
          <w:p>
            <w:pPr>
              <w:pStyle w:val="Compact"/>
              <w:jc w:val="left"/>
            </w:pPr>
            <w:r>
              <w:t xml:space="preserve">OpenDraft Impact (Improvement)</w:t>
            </w:r>
          </w:p>
        </w:tc>
        <w:tc>
          <w:p>
            <w:pPr>
              <w:pStyle w:val="Compact"/>
              <w:jc w:val="left"/>
            </w:pPr>
            <w:r>
              <w:t xml:space="preserve">Projected Outcome</w:t>
            </w:r>
          </w:p>
        </w:tc>
      </w:tr>
      <w:tr>
        <w:tc>
          <w:p>
            <w:pPr>
              <w:pStyle w:val="Compact"/>
              <w:jc w:val="left"/>
            </w:pPr>
            <w:r>
              <w:rPr>
                <w:bCs/>
                <w:b/>
              </w:rPr>
              <w:t xml:space="preserve">Non-Native English (NNE)</w:t>
            </w:r>
          </w:p>
        </w:tc>
        <w:tc>
          <w:p>
            <w:pPr>
              <w:pStyle w:val="Compact"/>
              <w:jc w:val="left"/>
            </w:pPr>
            <w:r>
              <w:t xml:space="preserve">High Linguistic Barrier</w:t>
            </w:r>
          </w:p>
        </w:tc>
        <w:tc>
          <w:p>
            <w:pPr>
              <w:pStyle w:val="Compact"/>
              <w:jc w:val="left"/>
            </w:pPr>
            <w:r>
              <w:t xml:space="preserve">Substantial Linguistic Support</w:t>
            </w:r>
          </w:p>
        </w:tc>
        <w:tc>
          <w:p>
            <w:pPr>
              <w:pStyle w:val="Compact"/>
              <w:jc w:val="left"/>
            </w:pPr>
            <w:r>
              <w:t xml:space="preserve">NNE authors publish more in English-dominant journals.</w:t>
            </w:r>
          </w:p>
        </w:tc>
      </w:tr>
      <w:tr>
        <w:tc>
          <w:p>
            <w:pPr>
              <w:pStyle w:val="Compact"/>
              <w:jc w:val="left"/>
            </w:pPr>
            <w:r>
              <w:rPr>
                <w:bCs/>
                <w:b/>
              </w:rPr>
              <w:t xml:space="preserve">Time-Constrained Rsch.</w:t>
            </w:r>
          </w:p>
        </w:tc>
        <w:tc>
          <w:p>
            <w:pPr>
              <w:pStyle w:val="Compact"/>
              <w:jc w:val="left"/>
            </w:pPr>
            <w:r>
              <w:t xml:space="preserve">High Time Burden</w:t>
            </w:r>
          </w:p>
        </w:tc>
        <w:tc>
          <w:p>
            <w:pPr>
              <w:pStyle w:val="Compact"/>
              <w:jc w:val="left"/>
            </w:pPr>
            <w:r>
              <w:t xml:space="preserve">Significant Time Savings</w:t>
            </w:r>
          </w:p>
        </w:tc>
        <w:tc>
          <w:p>
            <w:pPr>
              <w:pStyle w:val="Compact"/>
              <w:jc w:val="left"/>
            </w:pPr>
            <w:r>
              <w:t xml:space="preserve">Increased publication output for busy scholars.</w:t>
            </w:r>
          </w:p>
        </w:tc>
      </w:tr>
      <w:tr>
        <w:tc>
          <w:p>
            <w:pPr>
              <w:pStyle w:val="Compact"/>
              <w:jc w:val="left"/>
            </w:pPr>
            <w:r>
              <w:rPr>
                <w:bCs/>
                <w:b/>
              </w:rPr>
              <w:t xml:space="preserve">Under-Resourced Inst.</w:t>
            </w:r>
          </w:p>
        </w:tc>
        <w:tc>
          <w:p>
            <w:pPr>
              <w:pStyle w:val="Compact"/>
              <w:jc w:val="left"/>
            </w:pPr>
            <w:r>
              <w:t xml:space="preserve">Limited Access to Tools</w:t>
            </w:r>
          </w:p>
        </w:tc>
        <w:tc>
          <w:p>
            <w:pPr>
              <w:pStyle w:val="Compact"/>
              <w:jc w:val="left"/>
            </w:pPr>
            <w:r>
              <w:t xml:space="preserve">Free/Low-Cost Advanced Tools</w:t>
            </w:r>
          </w:p>
        </w:tc>
        <w:tc>
          <w:p>
            <w:pPr>
              <w:pStyle w:val="Compact"/>
              <w:jc w:val="left"/>
            </w:pPr>
            <w:r>
              <w:t xml:space="preserve">Higher quality research output from developing regions.</w:t>
            </w:r>
          </w:p>
        </w:tc>
      </w:tr>
      <w:tr>
        <w:tc>
          <w:p>
            <w:pPr>
              <w:pStyle w:val="Compact"/>
              <w:jc w:val="left"/>
            </w:pPr>
            <w:r>
              <w:rPr>
                <w:bCs/>
                <w:b/>
              </w:rPr>
              <w:t xml:space="preserve">Early-Career Rsch.</w:t>
            </w:r>
          </w:p>
        </w:tc>
        <w:tc>
          <w:p>
            <w:pPr>
              <w:pStyle w:val="Compact"/>
              <w:jc w:val="left"/>
            </w:pPr>
            <w:r>
              <w:t xml:space="preserve">High Learning Curve</w:t>
            </w:r>
          </w:p>
        </w:tc>
        <w:tc>
          <w:p>
            <w:pPr>
              <w:pStyle w:val="Compact"/>
              <w:jc w:val="left"/>
            </w:pPr>
            <w:r>
              <w:t xml:space="preserve">Structured Guidance &amp; Feedback</w:t>
            </w:r>
          </w:p>
        </w:tc>
        <w:tc>
          <w:p>
            <w:pPr>
              <w:pStyle w:val="Compact"/>
              <w:jc w:val="left"/>
            </w:pPr>
            <w:r>
              <w:t xml:space="preserve">Faster skill development; reduced academic anxiety.</w:t>
            </w:r>
          </w:p>
        </w:tc>
      </w:tr>
      <w:tr>
        <w:tc>
          <w:p>
            <w:pPr>
              <w:pStyle w:val="Compact"/>
              <w:jc w:val="left"/>
            </w:pPr>
            <w:r>
              <w:rPr>
                <w:bCs/>
                <w:b/>
              </w:rPr>
              <w:t xml:space="preserve">Researchers w/ Disabilities</w:t>
            </w:r>
          </w:p>
        </w:tc>
        <w:tc>
          <w:p>
            <w:pPr>
              <w:pStyle w:val="Compact"/>
              <w:jc w:val="left"/>
            </w:pPr>
            <w:r>
              <w:t xml:space="preserve">Mechanical Writing Hurdles</w:t>
            </w:r>
          </w:p>
        </w:tc>
        <w:tc>
          <w:p>
            <w:pPr>
              <w:pStyle w:val="Compact"/>
              <w:jc w:val="left"/>
            </w:pPr>
            <w:r>
              <w:t xml:space="preserve">Automated Drafting &amp; Refinement</w:t>
            </w:r>
          </w:p>
        </w:tc>
        <w:tc>
          <w:p>
            <w:pPr>
              <w:pStyle w:val="Compact"/>
              <w:jc w:val="left"/>
            </w:pPr>
            <w:r>
              <w:t xml:space="preserve">Easier articulation of research, reduced physical strain.</w:t>
            </w:r>
          </w:p>
        </w:tc>
      </w:tr>
      <w:tr>
        <w:tc>
          <w:p>
            <w:pPr>
              <w:pStyle w:val="Compact"/>
              <w:jc w:val="left"/>
            </w:pPr>
            <w:r>
              <w:rPr>
                <w:bCs/>
                <w:b/>
              </w:rPr>
              <w:t xml:space="preserve">Digital Divide Impact</w:t>
            </w:r>
          </w:p>
        </w:tc>
        <w:tc>
          <w:p>
            <w:pPr>
              <w:pStyle w:val="Compact"/>
              <w:jc w:val="left"/>
            </w:pPr>
            <w:r>
              <w:t xml:space="preserve">Exacerbated by Costly AI</w:t>
            </w:r>
          </w:p>
        </w:tc>
        <w:tc>
          <w:p>
            <w:pPr>
              <w:pStyle w:val="Compact"/>
              <w:jc w:val="left"/>
            </w:pPr>
            <w:r>
              <w:t xml:space="preserve">Mitigated by Open Source</w:t>
            </w:r>
          </w:p>
        </w:tc>
        <w:tc>
          <w:p>
            <w:pPr>
              <w:pStyle w:val="Compact"/>
              <w:jc w:val="left"/>
            </w:pPr>
            <w:r>
              <w:t xml:space="preserve">More equitable access to advanced AI capabilities globally.</w:t>
            </w:r>
          </w:p>
        </w:tc>
      </w:tr>
    </w:tbl>
    <w:p>
      <w:pPr>
        <w:pStyle w:val="BodyText"/>
      </w:pPr>
      <w:r>
        <w:rPr>
          <w:iCs/>
          <w:i/>
        </w:rPr>
        <w:t xml:space="preserve">Note: These projections are based on the system’s design principles and aim to illustrate the anticipated positive social impact. Actual outcomes will require empirical validation in diverse contexts.</w:t>
      </w:r>
    </w:p>
    <w:p>
      <w:r>
        <w:pict>
          <v:rect style="width:0;height:1.5pt" o:hralign="center" o:hrstd="t" o:hr="t"/>
        </w:pict>
      </w:r>
    </w:p>
    <w:bookmarkEnd w:id="113"/>
    <w:bookmarkEnd w:id="114"/>
    <w:bookmarkStart w:id="129" w:name="X0d177419c45ae5e7cdf759ecc8e6d744dd4da78"/>
    <w:p>
      <w:pPr>
        <w:pStyle w:val="Heading2"/>
      </w:pPr>
      <w:r>
        <w:t xml:space="preserve">Appendix D: Additional References and Resources</w:t>
      </w:r>
    </w:p>
    <w:p>
      <w:pPr>
        <w:pStyle w:val="FirstParagraph"/>
      </w:pPr>
      <w:r>
        <w:t xml:space="preserve">This appendix provides a curated list of supplementary references and resources, categorized for ease of navigation. These resources offer further foundational knowledge, explore key research papers, and highlight relevant tools and organizations related to artificial intelligence, multi-agent systems, open science, and academic writing.</w:t>
      </w:r>
    </w:p>
    <w:bookmarkStart w:id="115" w:name="X1425564ec0fe34349cf39d4c41bb5df7c8ef888"/>
    <w:p>
      <w:pPr>
        <w:pStyle w:val="Heading3"/>
      </w:pPr>
      <w:r>
        <w:t xml:space="preserve">D.1 Foundational Texts on AI and Natural Language Processing</w:t>
      </w:r>
    </w:p>
    <w:p>
      <w:pPr>
        <w:numPr>
          <w:ilvl w:val="0"/>
          <w:numId w:val="1009"/>
        </w:numPr>
        <w:pStyle w:val="Compact"/>
      </w:pPr>
      <w:r>
        <w:rPr>
          <w:bCs/>
          <w:b/>
        </w:rPr>
        <w:t xml:space="preserve">Russell, S. J., &amp; Norvig, P. (2010).</w:t>
      </w:r>
      <w:r>
        <w:rPr>
          <w:bCs/>
          <w:b/>
        </w:rPr>
        <w:t xml:space="preserve"> </w:t>
      </w:r>
      <w:r>
        <w:rPr>
          <w:iCs/>
          <w:i/>
          <w:bCs/>
          <w:b/>
        </w:rPr>
        <w:t xml:space="preserve">Artificial Intelligence: A Modern Approach</w:t>
      </w:r>
      <w:r>
        <w:rPr>
          <w:bCs/>
          <w:b/>
        </w:rPr>
        <w:t xml:space="preserve"> </w:t>
      </w:r>
      <w:r>
        <w:rPr>
          <w:bCs/>
          <w:b/>
        </w:rPr>
        <w:t xml:space="preserve">(3rd ed.). Prentice Hall.</w:t>
      </w:r>
      <w:r>
        <w:t xml:space="preserve"> </w:t>
      </w:r>
      <w:r>
        <w:t xml:space="preserve">This seminal textbook provides a comprehensive overview of AI, covering fundamental concepts, algorithms, and applications, including detailed sections on knowledge representation, planning, and machine learning, which are foundational to understanding multi-agent systems.</w:t>
      </w:r>
    </w:p>
    <w:p>
      <w:pPr>
        <w:numPr>
          <w:ilvl w:val="0"/>
          <w:numId w:val="1009"/>
        </w:numPr>
        <w:pStyle w:val="Compact"/>
      </w:pPr>
      <w:r>
        <w:rPr>
          <w:bCs/>
          <w:b/>
        </w:rPr>
        <w:t xml:space="preserve">Jurafsky, D., &amp; Martin, J. H. (2023).</w:t>
      </w:r>
      <w:r>
        <w:rPr>
          <w:bCs/>
          <w:b/>
        </w:rPr>
        <w:t xml:space="preserve"> </w:t>
      </w:r>
      <w:r>
        <w:rPr>
          <w:iCs/>
          <w:i/>
          <w:bCs/>
          <w:b/>
        </w:rPr>
        <w:t xml:space="preserve">Speech and Language Processing</w:t>
      </w:r>
      <w:r>
        <w:rPr>
          <w:bCs/>
          <w:b/>
        </w:rPr>
        <w:t xml:space="preserve"> </w:t>
      </w:r>
      <w:r>
        <w:rPr>
          <w:bCs/>
          <w:b/>
        </w:rPr>
        <w:t xml:space="preserve">(3rd ed.). Pearson.</w:t>
      </w:r>
      <w:r>
        <w:t xml:space="preserve"> </w:t>
      </w:r>
      <w:r>
        <w:t xml:space="preserve">A definitive resource for natural language processing, covering everything from basic linguistic theory to advanced deep learning models like transformers, essential for understanding how AI agents process and generate human-like text.</w:t>
      </w:r>
    </w:p>
    <w:p>
      <w:pPr>
        <w:numPr>
          <w:ilvl w:val="0"/>
          <w:numId w:val="1009"/>
        </w:numPr>
        <w:pStyle w:val="Compact"/>
      </w:pPr>
      <w:r>
        <w:rPr>
          <w:bCs/>
          <w:b/>
        </w:rPr>
        <w:t xml:space="preserve">Wooldridge, M. J. (2009).</w:t>
      </w:r>
      <w:r>
        <w:rPr>
          <w:bCs/>
          <w:b/>
        </w:rPr>
        <w:t xml:space="preserve"> </w:t>
      </w:r>
      <w:r>
        <w:rPr>
          <w:iCs/>
          <w:i/>
          <w:bCs/>
          <w:b/>
        </w:rPr>
        <w:t xml:space="preserve">An Introduction to MultiAgent Systems</w:t>
      </w:r>
      <w:r>
        <w:rPr>
          <w:bCs/>
          <w:b/>
        </w:rPr>
        <w:t xml:space="preserve"> </w:t>
      </w:r>
      <w:r>
        <w:rPr>
          <w:bCs/>
          <w:b/>
        </w:rPr>
        <w:t xml:space="preserve">(2nd ed.). John Wiley &amp; Sons.</w:t>
      </w:r>
      <w:r>
        <w:t xml:space="preserve"> </w:t>
      </w:r>
      <w:r>
        <w:t xml:space="preserve">This book offers a foundational understanding of multi-agent systems, detailing agent architectures, interaction protocols, and theoretical models for cooperation and coordination, directly relevant to the OpenDraft system’s design.</w:t>
      </w:r>
    </w:p>
    <w:bookmarkEnd w:id="115"/>
    <w:bookmarkStart w:id="116" w:name="X6a705e2eef2d4533dcba7116d68dae5688187a2"/>
    <w:p>
      <w:pPr>
        <w:pStyle w:val="Heading3"/>
      </w:pPr>
      <w:r>
        <w:t xml:space="preserve">D.2 Key Research Papers on Multi-Agent Systems and Academic AI</w:t>
      </w:r>
    </w:p>
    <w:p>
      <w:pPr>
        <w:numPr>
          <w:ilvl w:val="0"/>
          <w:numId w:val="1010"/>
        </w:numPr>
        <w:pStyle w:val="Compact"/>
      </w:pPr>
      <w:r>
        <w:rPr>
          <w:bCs/>
          <w:b/>
        </w:rPr>
        <w:t xml:space="preserve">Pan, X., Chen, Z., Ma, R., &amp; Yu, H. (2023). ChatGPT as a Multi-Agent System: A Survey.</w:t>
      </w:r>
      <w:r>
        <w:t xml:space="preserve"> </w:t>
      </w:r>
      <w:r>
        <w:t xml:space="preserve">This survey paper explores the potential of large language models to function within multi-agent architectures, providing context for the development of systems like OpenDraft.</w:t>
      </w:r>
    </w:p>
    <w:p>
      <w:pPr>
        <w:numPr>
          <w:ilvl w:val="0"/>
          <w:numId w:val="1010"/>
        </w:numPr>
        <w:pStyle w:val="Compact"/>
      </w:pPr>
      <w:r>
        <w:rPr>
          <w:bCs/>
          <w:b/>
        </w:rPr>
        <w:t xml:space="preserve">Wang, J., et al. (2023).</w:t>
      </w:r>
      <w:r>
        <w:rPr>
          <w:bCs/>
          <w:b/>
        </w:rPr>
        <w:t xml:space="preserve"> </w:t>
      </w:r>
      <w:r>
        <w:rPr>
          <w:iCs/>
          <w:i/>
          <w:bCs/>
          <w:b/>
        </w:rPr>
        <w:t xml:space="preserve">MetaGPT: A Meta-Programming Framework for Multi-Agent Collaboration</w:t>
      </w:r>
      <w:r>
        <w:rPr>
          <w:bCs/>
          <w:b/>
        </w:rPr>
        <w:t xml:space="preserve">. arXiv preprint arXiv:2308.00352.</w:t>
      </w:r>
      <w:r>
        <w:t xml:space="preserve"> </w:t>
      </w:r>
      <w:r>
        <w:t xml:space="preserve">This paper introduces a framework for multi-agent collaboration, showcasing how different AI agents can work together to achieve complex goals, including software development, which shares parallels with structured content generation.</w:t>
      </w:r>
    </w:p>
    <w:p>
      <w:pPr>
        <w:numPr>
          <w:ilvl w:val="0"/>
          <w:numId w:val="1010"/>
        </w:numPr>
        <w:pStyle w:val="Compact"/>
      </w:pPr>
      <w:r>
        <w:rPr>
          <w:bCs/>
          <w:b/>
        </w:rPr>
        <w:t xml:space="preserve">Du, Y., et al. (2023).</w:t>
      </w:r>
      <w:r>
        <w:rPr>
          <w:bCs/>
          <w:b/>
        </w:rPr>
        <w:t xml:space="preserve"> </w:t>
      </w:r>
      <w:r>
        <w:rPr>
          <w:iCs/>
          <w:i/>
          <w:bCs/>
          <w:b/>
        </w:rPr>
        <w:t xml:space="preserve">AgentBench: Evaluating LLMs as Agents</w:t>
      </w:r>
      <w:r>
        <w:rPr>
          <w:bCs/>
          <w:b/>
        </w:rPr>
        <w:t xml:space="preserve">. arXiv preprint arXiv:2308.03688.</w:t>
      </w:r>
      <w:r>
        <w:t xml:space="preserve"> </w:t>
      </w:r>
      <w:r>
        <w:t xml:space="preserve">Focuses on evaluating LLMs in agentic roles, providing insights into the capabilities and limitations of AI models when integrated into multi-agent systems for complex task execution.</w:t>
      </w:r>
    </w:p>
    <w:p>
      <w:pPr>
        <w:numPr>
          <w:ilvl w:val="0"/>
          <w:numId w:val="1010"/>
        </w:numPr>
        <w:pStyle w:val="Compact"/>
      </w:pPr>
      <w:r>
        <w:rPr>
          <w:bCs/>
          <w:b/>
        </w:rPr>
        <w:t xml:space="preserve">Sarker, S., Susarla, A., Gopal, R. D., &amp; Thatcher, J. B. (2024). Democratizing Knowledge Creation Through Human-AI Collaboration in Academic Peer Review.</w:t>
      </w:r>
      <w:r>
        <w:rPr>
          <w:bCs/>
          <w:b/>
        </w:rPr>
        <w:t xml:space="preserve"> </w:t>
      </w:r>
      <w:r>
        <w:rPr>
          <w:iCs/>
          <w:i/>
          <w:bCs/>
          <w:b/>
        </w:rPr>
        <w:t xml:space="preserve">Journal of the AIS</w:t>
      </w:r>
      <w:r>
        <w:rPr>
          <w:bCs/>
          <w:b/>
        </w:rPr>
        <w:t xml:space="preserve">, 25(1).</w:t>
      </w:r>
      <w:r>
        <w:t xml:space="preserve"> </w:t>
      </w:r>
      <w:r>
        <w:t xml:space="preserve">Directly relevant to the thesis, this paper discusses how human-AI collaboration can democratize knowledge, particularly in the context of academic peer review, extending to writing.</w:t>
      </w:r>
    </w:p>
    <w:bookmarkEnd w:id="116"/>
    <w:bookmarkStart w:id="122" w:name="d.3-online-resources-for-open-source-ai"/>
    <w:p>
      <w:pPr>
        <w:pStyle w:val="Heading3"/>
      </w:pPr>
      <w:r>
        <w:t xml:space="preserve">D.3 Online Resources for Open Source AI</w:t>
      </w:r>
    </w:p>
    <w:p>
      <w:pPr>
        <w:numPr>
          <w:ilvl w:val="0"/>
          <w:numId w:val="1011"/>
        </w:numPr>
        <w:pStyle w:val="Compact"/>
      </w:pPr>
      <w:r>
        <w:rPr>
          <w:bCs/>
          <w:b/>
        </w:rPr>
        <w:t xml:space="preserve">Hugging Face:</w:t>
      </w:r>
      <w:r>
        <w:t xml:space="preserve"> </w:t>
      </w:r>
      <w:hyperlink r:id="rId117">
        <w:r>
          <w:rPr>
            <w:rStyle w:val="Hyperlink"/>
          </w:rPr>
          <w:t xml:space="preserve">https://huggingface.co/</w:t>
        </w:r>
      </w:hyperlink>
      <w:r>
        <w:t xml:space="preserve"> </w:t>
      </w:r>
      <w:r>
        <w:t xml:space="preserve">- A leading platform for open-source machine learning models, datasets, and tools, offering a vast ecosystem for AI development and research.</w:t>
      </w:r>
    </w:p>
    <w:p>
      <w:pPr>
        <w:numPr>
          <w:ilvl w:val="0"/>
          <w:numId w:val="1011"/>
        </w:numPr>
        <w:pStyle w:val="Compact"/>
      </w:pPr>
      <w:r>
        <w:rPr>
          <w:bCs/>
          <w:b/>
        </w:rPr>
        <w:t xml:space="preserve">TensorFlow &amp; PyTorch (Official Websites):</w:t>
      </w:r>
      <w:r>
        <w:t xml:space="preserve"> </w:t>
      </w:r>
      <w:hyperlink r:id="rId118">
        <w:r>
          <w:rPr>
            <w:rStyle w:val="Hyperlink"/>
          </w:rPr>
          <w:t xml:space="preserve">https://www.tensorflow.org/</w:t>
        </w:r>
      </w:hyperlink>
      <w:r>
        <w:t xml:space="preserve"> </w:t>
      </w:r>
      <w:r>
        <w:t xml:space="preserve">&amp;</w:t>
      </w:r>
      <w:r>
        <w:t xml:space="preserve"> </w:t>
      </w:r>
      <w:hyperlink r:id="rId119">
        <w:r>
          <w:rPr>
            <w:rStyle w:val="Hyperlink"/>
          </w:rPr>
          <w:t xml:space="preserve">https://pytorch.org/</w:t>
        </w:r>
      </w:hyperlink>
      <w:r>
        <w:t xml:space="preserve"> </w:t>
      </w:r>
      <w:r>
        <w:t xml:space="preserve">- Major open-source machine learning frameworks widely used for developing and deploying AI models.</w:t>
      </w:r>
    </w:p>
    <w:p>
      <w:pPr>
        <w:numPr>
          <w:ilvl w:val="0"/>
          <w:numId w:val="1011"/>
        </w:numPr>
        <w:pStyle w:val="Compact"/>
      </w:pPr>
      <w:r>
        <w:rPr>
          <w:bCs/>
          <w:b/>
        </w:rPr>
        <w:t xml:space="preserve">OpenAI (Select Open Source Releases):</w:t>
      </w:r>
      <w:r>
        <w:t xml:space="preserve"> </w:t>
      </w:r>
      <w:hyperlink r:id="rId120">
        <w:r>
          <w:rPr>
            <w:rStyle w:val="Hyperlink"/>
          </w:rPr>
          <w:t xml:space="preserve">https://openai.com/</w:t>
        </w:r>
      </w:hyperlink>
      <w:r>
        <w:t xml:space="preserve"> </w:t>
      </w:r>
      <w:r>
        <w:t xml:space="preserve">- While primarily known for proprietary models, OpenAI has also contributed significantly to the open-source community, particularly with early models and research tools.</w:t>
      </w:r>
    </w:p>
    <w:p>
      <w:pPr>
        <w:numPr>
          <w:ilvl w:val="0"/>
          <w:numId w:val="1011"/>
        </w:numPr>
        <w:pStyle w:val="Compact"/>
      </w:pPr>
      <w:r>
        <w:rPr>
          <w:bCs/>
          <w:b/>
        </w:rPr>
        <w:t xml:space="preserve">arXiv.org:</w:t>
      </w:r>
      <w:r>
        <w:t xml:space="preserve"> </w:t>
      </w:r>
      <w:hyperlink r:id="rId121">
        <w:r>
          <w:rPr>
            <w:rStyle w:val="Hyperlink"/>
          </w:rPr>
          <w:t xml:space="preserve">https://arxiv.org/</w:t>
        </w:r>
      </w:hyperlink>
      <w:r>
        <w:t xml:space="preserve"> </w:t>
      </w:r>
      <w:r>
        <w:t xml:space="preserve">- A free distribution service and open-access archive for scholarly articles in physics, mathematics, computer science, and related disciplines, crucial for open science and pre-print discovery.</w:t>
      </w:r>
    </w:p>
    <w:bookmarkEnd w:id="122"/>
    <w:bookmarkStart w:id="123" w:name="Xa11cf322975eb5074dbe767093cc4509625b526"/>
    <w:p>
      <w:pPr>
        <w:pStyle w:val="Heading3"/>
      </w:pPr>
      <w:r>
        <w:t xml:space="preserve">D.4 Software/Tools for Academic Writing (Human &amp; AI-Assisted)</w:t>
      </w:r>
    </w:p>
    <w:p>
      <w:pPr>
        <w:numPr>
          <w:ilvl w:val="0"/>
          <w:numId w:val="1012"/>
        </w:numPr>
        <w:pStyle w:val="Compact"/>
      </w:pPr>
      <w:r>
        <w:rPr>
          <w:bCs/>
          <w:b/>
        </w:rPr>
        <w:t xml:space="preserve">Zotero / Mendeley / EndNote:</w:t>
      </w:r>
      <w:r>
        <w:t xml:space="preserve"> </w:t>
      </w:r>
      <w:r>
        <w:t xml:space="preserve">Popular reference management software tools (some with open-source components) essential for organizing citations and bibliographies.</w:t>
      </w:r>
    </w:p>
    <w:p>
      <w:pPr>
        <w:numPr>
          <w:ilvl w:val="0"/>
          <w:numId w:val="1012"/>
        </w:numPr>
        <w:pStyle w:val="Compact"/>
      </w:pPr>
      <w:r>
        <w:rPr>
          <w:bCs/>
          <w:b/>
        </w:rPr>
        <w:t xml:space="preserve">Grammarly / LanguageTool:</w:t>
      </w:r>
      <w:r>
        <w:t xml:space="preserve"> </w:t>
      </w:r>
      <w:r>
        <w:t xml:space="preserve">AI-powered grammar and style checkers that assist in refining academic prose (LanguageTool has open-source versions).</w:t>
      </w:r>
    </w:p>
    <w:p>
      <w:pPr>
        <w:numPr>
          <w:ilvl w:val="0"/>
          <w:numId w:val="1012"/>
        </w:numPr>
        <w:pStyle w:val="Compact"/>
      </w:pPr>
      <w:r>
        <w:rPr>
          <w:bCs/>
          <w:b/>
        </w:rPr>
        <w:t xml:space="preserve">Overleaf:</w:t>
      </w:r>
      <w:r>
        <w:t xml:space="preserve"> </w:t>
      </w:r>
      <w:r>
        <w:t xml:space="preserve">An online LaTeX editor that allows for collaborative writing and adherence to complex academic formatting, highly relevant for structured document generation.</w:t>
      </w:r>
    </w:p>
    <w:p>
      <w:pPr>
        <w:numPr>
          <w:ilvl w:val="0"/>
          <w:numId w:val="1012"/>
        </w:numPr>
        <w:pStyle w:val="Compact"/>
      </w:pPr>
      <w:r>
        <w:rPr>
          <w:bCs/>
          <w:b/>
        </w:rPr>
        <w:t xml:space="preserve">Jupyter Notebooks / Google Colab:</w:t>
      </w:r>
      <w:r>
        <w:t xml:space="preserve"> </w:t>
      </w:r>
      <w:r>
        <w:t xml:space="preserve">Interactive computing environments widely used for data analysis, model development, and generating reproducible research, often integrating AI libraries.</w:t>
      </w:r>
    </w:p>
    <w:bookmarkEnd w:id="123"/>
    <w:bookmarkStart w:id="128" w:name="X9da05fd5e186d13d754109fa8b9c55ab6c2b630"/>
    <w:p>
      <w:pPr>
        <w:pStyle w:val="Heading3"/>
      </w:pPr>
      <w:r>
        <w:t xml:space="preserve">D.5 Professional Organizations in AI Ethics and Open Science</w:t>
      </w:r>
    </w:p>
    <w:p>
      <w:pPr>
        <w:numPr>
          <w:ilvl w:val="0"/>
          <w:numId w:val="1013"/>
        </w:numPr>
        <w:pStyle w:val="Compact"/>
      </w:pPr>
      <w:r>
        <w:rPr>
          <w:bCs/>
          <w:b/>
        </w:rPr>
        <w:t xml:space="preserve">AI Ethics Institute:</w:t>
      </w:r>
      <w:r>
        <w:t xml:space="preserve"> </w:t>
      </w:r>
      <w:hyperlink r:id="rId124">
        <w:r>
          <w:rPr>
            <w:rStyle w:val="Hyperlink"/>
          </w:rPr>
          <w:t xml:space="preserve">https://aiethicsinstitute.org/</w:t>
        </w:r>
      </w:hyperlink>
      <w:r>
        <w:t xml:space="preserve"> </w:t>
      </w:r>
      <w:r>
        <w:t xml:space="preserve">- Provides resources and research on the ethical implications of AI across various sectors.</w:t>
      </w:r>
    </w:p>
    <w:p>
      <w:pPr>
        <w:numPr>
          <w:ilvl w:val="0"/>
          <w:numId w:val="1013"/>
        </w:numPr>
        <w:pStyle w:val="Compact"/>
      </w:pPr>
      <w:r>
        <w:rPr>
          <w:bCs/>
          <w:b/>
        </w:rPr>
        <w:t xml:space="preserve">Association for Computing Machinery (ACM) - FAccT Conference:</w:t>
      </w:r>
      <w:r>
        <w:t xml:space="preserve"> </w:t>
      </w:r>
      <w:hyperlink r:id="rId125">
        <w:r>
          <w:rPr>
            <w:rStyle w:val="Hyperlink"/>
          </w:rPr>
          <w:t xml:space="preserve">https://facctconference.org/</w:t>
        </w:r>
      </w:hyperlink>
      <w:r>
        <w:t xml:space="preserve"> </w:t>
      </w:r>
      <w:r>
        <w:t xml:space="preserve">- Focuses on fairness, accountability, and transparency in socio-technical systems, a critical forum for AI ethics.</w:t>
      </w:r>
    </w:p>
    <w:p>
      <w:pPr>
        <w:numPr>
          <w:ilvl w:val="0"/>
          <w:numId w:val="1013"/>
        </w:numPr>
        <w:pStyle w:val="Compact"/>
      </w:pPr>
      <w:r>
        <w:rPr>
          <w:bCs/>
          <w:b/>
        </w:rPr>
        <w:t xml:space="preserve">Open Science Foundation (OSF):</w:t>
      </w:r>
      <w:r>
        <w:t xml:space="preserve"> </w:t>
      </w:r>
      <w:hyperlink r:id="rId126">
        <w:r>
          <w:rPr>
            <w:rStyle w:val="Hyperlink"/>
          </w:rPr>
          <w:t xml:space="preserve">https://www.cos.io/</w:t>
        </w:r>
      </w:hyperlink>
      <w:r>
        <w:t xml:space="preserve"> </w:t>
      </w:r>
      <w:r>
        <w:t xml:space="preserve">- A non-profit organization promoting openness, integrity, and reproducibility of scientific research.</w:t>
      </w:r>
    </w:p>
    <w:p>
      <w:pPr>
        <w:numPr>
          <w:ilvl w:val="0"/>
          <w:numId w:val="1013"/>
        </w:numPr>
        <w:pStyle w:val="Compact"/>
      </w:pPr>
      <w:r>
        <w:rPr>
          <w:bCs/>
          <w:b/>
        </w:rPr>
        <w:t xml:space="preserve">Research Data Alliance (RDA):</w:t>
      </w:r>
      <w:r>
        <w:t xml:space="preserve"> </w:t>
      </w:r>
      <w:hyperlink r:id="rId127">
        <w:r>
          <w:rPr>
            <w:rStyle w:val="Hyperlink"/>
          </w:rPr>
          <w:t xml:space="preserve">https://www.rd-alliance.org/</w:t>
        </w:r>
      </w:hyperlink>
      <w:r>
        <w:t xml:space="preserve"> </w:t>
      </w:r>
      <w:r>
        <w:t xml:space="preserve">- A global initiative building the social and technical bridges to enable open sharing and reuse of data.</w:t>
      </w:r>
    </w:p>
    <w:p>
      <w:r>
        <w:pict>
          <v:rect style="width:0;height:1.5pt" o:hralign="center" o:hrstd="t" o:hr="t"/>
        </w:pict>
      </w:r>
    </w:p>
    <w:bookmarkEnd w:id="128"/>
    <w:bookmarkEnd w:id="129"/>
    <w:bookmarkStart w:id="130" w:name="appendix-e-glossary-of-terms"/>
    <w:p>
      <w:pPr>
        <w:pStyle w:val="Heading2"/>
      </w:pPr>
      <w:r>
        <w:t xml:space="preserve">Appendix E: Glossary of Terms</w:t>
      </w:r>
    </w:p>
    <w:p>
      <w:pPr>
        <w:pStyle w:val="FirstParagraph"/>
      </w:pPr>
      <w:r>
        <w:t xml:space="preserve">This glossary provides clear and concise definitions for key technical terms and domain-specific jargon used throughout this thesis, aiding readers in understanding the complex concepts related to artificial intelligence, multi-agent systems, and academic writing.</w:t>
      </w:r>
    </w:p>
    <w:p>
      <w:pPr>
        <w:pStyle w:val="BodyText"/>
      </w:pPr>
      <w:r>
        <w:rPr>
          <w:bCs/>
          <w:b/>
        </w:rPr>
        <w:t xml:space="preserve">Academic Integrity</w:t>
      </w:r>
      <w:r>
        <w:t xml:space="preserve">: The commitment to intellectual honesty and ethical behavior in scholarship, encompassing proper attribution, avoidance of plagiarism, and truthful reporting of research.</w:t>
      </w:r>
    </w:p>
    <w:p>
      <w:pPr>
        <w:pStyle w:val="BodyText"/>
      </w:pPr>
      <w:r>
        <w:rPr>
          <w:bCs/>
          <w:b/>
        </w:rPr>
        <w:t xml:space="preserve">AI Literacy</w:t>
      </w:r>
      <w:r>
        <w:t xml:space="preserve">: The understanding of artificial intelligence’s capabilities, limitations, ethical implications, and practical applications, essential for critical engagement with AI tools.</w:t>
      </w:r>
    </w:p>
    <w:p>
      <w:pPr>
        <w:pStyle w:val="BodyText"/>
      </w:pPr>
      <w:r>
        <w:rPr>
          <w:bCs/>
          <w:b/>
        </w:rPr>
        <w:t xml:space="preserve">API (Application Programming Interface)</w:t>
      </w:r>
      <w:r>
        <w:t xml:space="preserve">: A set of rules and protocols that allows different software applications to communicate and exchange data with each other. Used by OpenDraft for citation discovery.</w:t>
      </w:r>
    </w:p>
    <w:p>
      <w:pPr>
        <w:pStyle w:val="BodyText"/>
      </w:pPr>
      <w:r>
        <w:rPr>
          <w:bCs/>
          <w:b/>
        </w:rPr>
        <w:t xml:space="preserve">Artificial Intelligence (AI)</w:t>
      </w:r>
      <w:r>
        <w:t xml:space="preserve">: The simulation of human intelligence processes by machines, especially computer systems. These processes include learning, reasoning, problem-solving, perception, and language understanding.</w:t>
      </w:r>
    </w:p>
    <w:p>
      <w:pPr>
        <w:pStyle w:val="BodyText"/>
      </w:pPr>
      <w:r>
        <w:rPr>
          <w:bCs/>
          <w:b/>
        </w:rPr>
        <w:t xml:space="preserve">Authorship</w:t>
      </w:r>
      <w:r>
        <w:t xml:space="preserve">: The intellectual contribution to a scholarly work, typically implying responsibility for the content, originality of thought, and accountability for any errors or misconduct.</w:t>
      </w:r>
    </w:p>
    <w:p>
      <w:pPr>
        <w:pStyle w:val="BodyText"/>
      </w:pPr>
      <w:r>
        <w:rPr>
          <w:bCs/>
          <w:b/>
        </w:rPr>
        <w:t xml:space="preserve">Bias (in AI)</w:t>
      </w:r>
      <w:r>
        <w:t xml:space="preserve">: Systematic errors or prejudices embedded in an AI model’s output, often reflecting biases present in its training data, which can perpetuate or amplify societal inequities.</w:t>
      </w:r>
    </w:p>
    <w:p>
      <w:pPr>
        <w:pStyle w:val="BodyText"/>
      </w:pPr>
      <w:r>
        <w:rPr>
          <w:bCs/>
          <w:b/>
        </w:rPr>
        <w:t xml:space="preserve">Black Box Problem</w:t>
      </w:r>
      <w:r>
        <w:t xml:space="preserve">: The challenge of understanding the internal workings and decision-making processes of complex AI models, making their outputs difficult to interpret or explain.</w:t>
      </w:r>
    </w:p>
    <w:p>
      <w:pPr>
        <w:pStyle w:val="BodyText"/>
      </w:pPr>
      <w:r>
        <w:rPr>
          <w:bCs/>
          <w:b/>
        </w:rPr>
        <w:t xml:space="preserve">Citation Hallucination</w:t>
      </w:r>
      <w:r>
        <w:t xml:space="preserve">: A phenomenon in generative AI where models invent plausible-looking but factually incorrect or non-existent citations, undermining the veracity of academic content.</w:t>
      </w:r>
    </w:p>
    <w:p>
      <w:pPr>
        <w:pStyle w:val="BodyText"/>
      </w:pPr>
      <w:r>
        <w:rPr>
          <w:bCs/>
          <w:b/>
        </w:rPr>
        <w:t xml:space="preserve">Coherence</w:t>
      </w:r>
      <w:r>
        <w:t xml:space="preserve">: The quality of being logical and consistent, forming a unified and understandable whole. In writing, it refers to the smooth and logical flow of ideas between sentences and paragraphs.</w:t>
      </w:r>
    </w:p>
    <w:p>
      <w:pPr>
        <w:pStyle w:val="BodyText"/>
      </w:pPr>
      <w:r>
        <w:rPr>
          <w:bCs/>
          <w:b/>
        </w:rPr>
        <w:t xml:space="preserve">Cognitive Load</w:t>
      </w:r>
      <w:r>
        <w:t xml:space="preserve">: The total amount of mental effort being used in the working memory. Reducing cognitive load in academic writing allows researchers to focus on higher-order tasks.</w:t>
      </w:r>
    </w:p>
    <w:p>
      <w:pPr>
        <w:pStyle w:val="BodyText"/>
      </w:pPr>
      <w:r>
        <w:rPr>
          <w:bCs/>
          <w:b/>
        </w:rPr>
        <w:t xml:space="preserve">Democratization of Knowledge</w:t>
      </w:r>
      <w:r>
        <w:t xml:space="preserve">: The process of making information, research, and educational opportunities widely accessible and equitable to all individuals, irrespective of their socioeconomic status, location, or background.</w:t>
      </w:r>
    </w:p>
    <w:p>
      <w:pPr>
        <w:pStyle w:val="BodyText"/>
      </w:pPr>
      <w:r>
        <w:rPr>
          <w:bCs/>
          <w:b/>
        </w:rPr>
        <w:t xml:space="preserve">Digital Divide</w:t>
      </w:r>
      <w:r>
        <w:t xml:space="preserve">: The gap between those who have ready access to information and communication technologies (ICTs) and those who do not, often impacting academic participation and resource access.</w:t>
      </w:r>
    </w:p>
    <w:p>
      <w:pPr>
        <w:pStyle w:val="BodyText"/>
      </w:pPr>
      <w:r>
        <w:rPr>
          <w:bCs/>
          <w:b/>
        </w:rPr>
        <w:t xml:space="preserve">DOI (Digital Object Identifier)</w:t>
      </w:r>
      <w:r>
        <w:t xml:space="preserve">: A persistent identifier or handle used to uniquely identify academic, professional, and government information, such as journal articles, research reports, and data sets.</w:t>
      </w:r>
    </w:p>
    <w:p>
      <w:pPr>
        <w:pStyle w:val="BodyText"/>
      </w:pPr>
      <w:r>
        <w:rPr>
          <w:bCs/>
          <w:b/>
        </w:rPr>
        <w:t xml:space="preserve">Explainable AI (XAI)</w:t>
      </w:r>
      <w:r>
        <w:t xml:space="preserve">: A set of techniques that allows users to understand and interpret the outputs of AI models, making their decision-making processes more transparent and trustworthy.</w:t>
      </w:r>
    </w:p>
    <w:p>
      <w:pPr>
        <w:pStyle w:val="BodyText"/>
      </w:pPr>
      <w:r>
        <w:rPr>
          <w:bCs/>
          <w:b/>
        </w:rPr>
        <w:t xml:space="preserve">Generative AI</w:t>
      </w:r>
      <w:r>
        <w:t xml:space="preserve">: A type of artificial intelligence that can create new content, such as text, images, or audio, often based on patterns learned from large datasets.</w:t>
      </w:r>
    </w:p>
    <w:p>
      <w:pPr>
        <w:pStyle w:val="BodyText"/>
      </w:pPr>
      <w:r>
        <w:rPr>
          <w:bCs/>
          <w:b/>
        </w:rPr>
        <w:t xml:space="preserve">IMRaD Structure</w:t>
      </w:r>
      <w:r>
        <w:t xml:space="preserve">: A standard organizational structure for academic papers, comprising Introduction, Methods, Results, and Discussion, providing a logical flow for scientific reporting.</w:t>
      </w:r>
    </w:p>
    <w:p>
      <w:pPr>
        <w:pStyle w:val="BodyText"/>
      </w:pPr>
      <w:r>
        <w:rPr>
          <w:bCs/>
          <w:b/>
        </w:rPr>
        <w:t xml:space="preserve">Large Language Model (LLM)</w:t>
      </w:r>
      <w:r>
        <w:t xml:space="preserve">: A type of AI model trained on vast amounts of text data, capable of understanding, generating, and processing human language for a wide range of tasks.</w:t>
      </w:r>
    </w:p>
    <w:p>
      <w:pPr>
        <w:pStyle w:val="BodyText"/>
      </w:pPr>
      <w:r>
        <w:rPr>
          <w:bCs/>
          <w:b/>
        </w:rPr>
        <w:t xml:space="preserve">Lexical Diversity</w:t>
      </w:r>
      <w:r>
        <w:t xml:space="preserve">: A measure of the variety of vocabulary used in a text, typically quantified by the Type-Token Ratio (TTR), indicating richness of language.</w:t>
      </w:r>
    </w:p>
    <w:p>
      <w:pPr>
        <w:pStyle w:val="BodyText"/>
      </w:pPr>
      <w:r>
        <w:rPr>
          <w:bCs/>
          <w:b/>
        </w:rPr>
        <w:t xml:space="preserve">Multi-Agent System (MAS)</w:t>
      </w:r>
      <w:r>
        <w:t xml:space="preserve">: A collection of autonomous or semi-autonomous intelligent agents that interact and collaborate within a shared environment to achieve a common goal, often too complex for a single agent.</w:t>
      </w:r>
    </w:p>
    <w:p>
      <w:pPr>
        <w:pStyle w:val="BodyText"/>
      </w:pPr>
      <w:r>
        <w:rPr>
          <w:bCs/>
          <w:b/>
        </w:rPr>
        <w:t xml:space="preserve">Natural Language Processing (NLP)</w:t>
      </w:r>
      <w:r>
        <w:t xml:space="preserve">: A field of AI that enables computers to understand, interpret, and generate human language in a way that is valuable.</w:t>
      </w:r>
    </w:p>
    <w:p>
      <w:pPr>
        <w:pStyle w:val="BodyText"/>
      </w:pPr>
      <w:r>
        <w:rPr>
          <w:bCs/>
          <w:b/>
        </w:rPr>
        <w:t xml:space="preserve">Open Science</w:t>
      </w:r>
      <w:r>
        <w:t xml:space="preserve">: A global movement advocating for scientific research, data, and publications to be accessible to all, fostering transparency, collaboration, and reproducibility.</w:t>
      </w:r>
    </w:p>
    <w:p>
      <w:pPr>
        <w:pStyle w:val="BodyText"/>
      </w:pPr>
      <w:r>
        <w:rPr>
          <w:bCs/>
          <w:b/>
        </w:rPr>
        <w:t xml:space="preserve">Open-Source AI</w:t>
      </w:r>
      <w:r>
        <w:t xml:space="preserve">: Artificial intelligence software, models, and datasets released under licenses that permit their free use, modification, and distribution, promoting transparency and community-driven development.</w:t>
      </w:r>
    </w:p>
    <w:p>
      <w:pPr>
        <w:pStyle w:val="BodyText"/>
      </w:pPr>
      <w:r>
        <w:rPr>
          <w:bCs/>
          <w:b/>
        </w:rPr>
        <w:t xml:space="preserve">Peer Review</w:t>
      </w:r>
      <w:r>
        <w:t xml:space="preserve">: The evaluation of a scientific work by one or more people with similar competencies as the producers of the work (peers), a cornerstone of academic quality control.</w:t>
      </w:r>
    </w:p>
    <w:p>
      <w:pPr>
        <w:pStyle w:val="BodyText"/>
      </w:pPr>
      <w:r>
        <w:rPr>
          <w:bCs/>
          <w:b/>
        </w:rPr>
        <w:t xml:space="preserve">Plagiarism</w:t>
      </w:r>
      <w:r>
        <w:t xml:space="preserve">: Presenting someone else’s work or ideas as one’s own without proper attribution, a serious breach of academic integrity.</w:t>
      </w:r>
    </w:p>
    <w:p>
      <w:pPr>
        <w:pStyle w:val="BodyText"/>
      </w:pPr>
      <w:r>
        <w:rPr>
          <w:bCs/>
          <w:b/>
        </w:rPr>
        <w:t xml:space="preserve">Pre-print</w:t>
      </w:r>
      <w:r>
        <w:t xml:space="preserve">: A version of a scholarly article before peer review and formal publication, often shared on repositories like arXiv to disseminate research quickly.</w:t>
      </w:r>
    </w:p>
    <w:p>
      <w:pPr>
        <w:pStyle w:val="BodyText"/>
      </w:pPr>
      <w:r>
        <w:rPr>
          <w:bCs/>
          <w:b/>
        </w:rPr>
        <w:t xml:space="preserve">Prompt Engineering</w:t>
      </w:r>
      <w:r>
        <w:t xml:space="preserve">: The process of designing and refining input queries (prompts) to effectively guide generative AI models to produce desired outputs.</w:t>
      </w:r>
    </w:p>
    <w:p>
      <w:pPr>
        <w:pStyle w:val="BodyText"/>
      </w:pPr>
      <w:r>
        <w:rPr>
          <w:bCs/>
          <w:b/>
        </w:rPr>
        <w:t xml:space="preserve">Reproducibility</w:t>
      </w:r>
      <w:r>
        <w:t xml:space="preserve">: The ability of a researcher to duplicate the results of a prior study using the same materials and procedures as were used by the original investigator.</w:t>
      </w:r>
    </w:p>
    <w:p>
      <w:pPr>
        <w:pStyle w:val="BodyText"/>
      </w:pPr>
      <w:r>
        <w:rPr>
          <w:bCs/>
          <w:b/>
        </w:rPr>
        <w:t xml:space="preserve">Responsible AI</w:t>
      </w:r>
      <w:r>
        <w:t xml:space="preserve">: The ethical development and deployment of artificial intelligence systems, prioritizing fairness, accountability, transparency, and the mitigation of potential harms.</w:t>
      </w:r>
    </w:p>
    <w:p>
      <w:pPr>
        <w:pStyle w:val="BodyText"/>
      </w:pPr>
      <w:r>
        <w:rPr>
          <w:bCs/>
          <w:b/>
        </w:rPr>
        <w:t xml:space="preserve">Semantic Search</w:t>
      </w:r>
      <w:r>
        <w:t xml:space="preserve">: A search technology that goes beyond keyword matching to understand the contextual meaning of search queries and the content of documents, leading to more relevant results.</w:t>
      </w:r>
    </w:p>
    <w:p>
      <w:pPr>
        <w:pStyle w:val="BodyText"/>
      </w:pPr>
      <w:r>
        <w:rPr>
          <w:bCs/>
          <w:b/>
        </w:rPr>
        <w:t xml:space="preserve">Socio-Technical Systems Theory</w:t>
      </w:r>
      <w:r>
        <w:t xml:space="preserve">: An approach to complex organizational work design that recognizes the interaction between people and technology in workplaces.</w:t>
      </w:r>
    </w:p>
    <w:p>
      <w:pPr>
        <w:pStyle w:val="BodyText"/>
      </w:pPr>
      <w:r>
        <w:rPr>
          <w:bCs/>
          <w:b/>
        </w:rPr>
        <w:t xml:space="preserve">Transformer Architecture</w:t>
      </w:r>
      <w:r>
        <w:t xml:space="preserve">: A neural network architecture, particularly influential in NLP, that processes sequences of data by weighing the significance of different parts of the input.</w:t>
      </w:r>
    </w:p>
    <w:p>
      <w:pPr>
        <w:pStyle w:val="BodyText"/>
      </w:pPr>
      <w:r>
        <w:rPr>
          <w:bCs/>
          <w:b/>
        </w:rPr>
        <w:t xml:space="preserve">Trustworthiness (AI)</w:t>
      </w:r>
      <w:r>
        <w:t xml:space="preserve">: The degree to which an AI system can be relied upon to perform its intended functions ethically, reliably, and without harmful biases, often linked to transparency and accountability.</w:t>
      </w:r>
    </w:p>
    <w:p>
      <w:pPr>
        <w:pStyle w:val="BodyText"/>
      </w:pPr>
      <w:r>
        <w:rPr>
          <w:bCs/>
          <w:b/>
        </w:rPr>
        <w:t xml:space="preserve">Validation (AI)</w:t>
      </w:r>
      <w:r>
        <w:t xml:space="preserve">: The process of confirming that an AI model or system meets its specified requirements and performs as expected in real-world scenarios, particularly for accuracy and reliability.</w:t>
      </w:r>
    </w:p>
    <w:p>
      <w:r>
        <w:pict>
          <v:rect style="width:0;height:1.5pt" o:hralign="center" o:hrstd="t" o:hr="t"/>
        </w:pict>
      </w:r>
    </w:p>
    <w:bookmarkEnd w:id="130"/>
    <w:bookmarkStart w:id="131" w:name="references"/>
    <w:p>
      <w:pPr>
        <w:pStyle w:val="Heading2"/>
      </w:pPr>
      <w:r>
        <w:t xml:space="preserve">References</w:t>
      </w:r>
    </w:p>
    <w:p>
      <w:pPr>
        <w:pStyle w:val="FirstParagraph"/>
      </w:pPr>
      <w:r>
        <w:t xml:space="preserve">Adelakun, Antwi, Ntiakoh, &amp; Eziefule. (2024). Leveraging AI for sustainable accounting: Developing models for environmental impact assessment and reporting.</w:t>
      </w:r>
      <w:r>
        <w:t xml:space="preserve"> </w:t>
      </w:r>
      <w:r>
        <w:rPr>
          <w:iCs/>
          <w:i/>
        </w:rPr>
        <w:t xml:space="preserve">Finance &amp; Accounting Research Journal</w:t>
      </w:r>
      <w:r>
        <w:t xml:space="preserve">. https://doi.org/10.51594/farj.v6i6.1234.</w:t>
      </w:r>
    </w:p>
    <w:p>
      <w:pPr>
        <w:pStyle w:val="BodyText"/>
      </w:pPr>
      <w:r>
        <w:t xml:space="preserve">Al-bukhrani, Alrefaee, &amp; Tawfik. (2025). Adoption of AI writing tools among academic researchers: A Theory of Reasoned Action approach.</w:t>
      </w:r>
      <w:r>
        <w:t xml:space="preserve"> </w:t>
      </w:r>
      <w:r>
        <w:rPr>
          <w:iCs/>
          <w:i/>
        </w:rPr>
        <w:t xml:space="preserve">PLoS ONE</w:t>
      </w:r>
      <w:r>
        <w:t xml:space="preserve">. https://doi.org/10.1371/journal.pone.0313837.</w:t>
      </w:r>
    </w:p>
    <w:p>
      <w:pPr>
        <w:pStyle w:val="BodyText"/>
      </w:pPr>
      <w:r>
        <w:t xml:space="preserve">Anton, Olga, Alexey, Maria, Nikolay, Alina, Sergey, Malvina, Kim, Biostatistics, Medicine, Research, Academy, Alliance, Srl, Srl, MitoSpace, Ukraine, &amp; Llc. (2024). Just-DNA-Seq, open-source personal genomics platform: longevity science for everyone. **. https://www.semanticscholar.org/paper/fd2bddac5ad673d91d8a13b64adcb6a81008d419.</w:t>
      </w:r>
    </w:p>
    <w:p>
      <w:pPr>
        <w:pStyle w:val="BodyText"/>
      </w:pPr>
      <w:r>
        <w:t xml:space="preserve">Arling, Burgman, Dimitriadi, Einhaus, Gall’en, Haddad, Huhta, Ilg, Klamka, Long, Madlener, Tarda, Musumeci, Mkekala, Pacchi, Pfaff, Reichelt, Reichenbach, Stapf, Ucci, Wallin, Watson, Addepalli, Alves, Amarinei, Barru’e, Brenner, Molin, Giorgi, Dudar, Giuli, Gurgone, Jes’us-Valls, Laudrain, Losekamm, Masełek, Naskar, Nebot-Guinot, Pesut, Poschl, Segarra, Taylor, Vana, Wakeling, Desy, Hamburg, Germany, University, Stockholm, Sweden, Technology, Technology, Karlsruhe, University, Uppsala, Auvergne, CNRSIN2p3, Auvergne, France, Jyvaskyla, Jyvaskyla, Finland, Zurich, Zurich, Switzerland, Warsaw, Warsaw, Poland, University, Prague, Republic, Institute, Copenhagen, Denmark., Corpuscular, Valencia, Paterna, Spain, Oklahoma, Norman, Oklahoma, Usa, London, London, Kingdom., Cern, Geneva, Bonn, Bonn, Pavia, Pavia, Italy, Pavia, University, Lund, Edinburgh, Edinburgh, Laboratory, Park, Leprince-Ringuet, Polytechnique, Paris, Palaiseau, Geneva, Part’iculas, Lisbon, Portugal, Physics, Amsterdam, Netherlands., Phenomenology, University, Durham, Mainz, Mainz, Fisica, Vergata, Romé, INFN-SezionediRoma, Pisa, Pisa, Pisa, Ipmu, Utias, Tokyo, Kashiwa, Japan, Munich, Munich, Grenoble, Grenoble, Glasgow, Glasgow, Institute, Villigen, Science, Oxford, Oxford, Manchester, &amp; Manchester. (2025). Early Career Researcher Input to the European Strategy for Particle Physics Update: White Paper. **. https://www.semanticscholar.org/paper/e08acacabd47abb2c7533c2fe7af2ed3656ae4c6.</w:t>
      </w:r>
    </w:p>
    <w:p>
      <w:pPr>
        <w:pStyle w:val="BodyText"/>
      </w:pPr>
      <w:r>
        <w:t xml:space="preserve">Austin, Bernier, Bezuidenhout, Bicarregui, Biro, Cambon-Thomsen, Carroll, Cournia, Dabrowski, Diallo, Duflot, García, Gesing, González-Beltrán, Gururaj, Harrower, Lin, Medeiros, Méndez, Meyers, Mietchen, Nagrani, Nilsonne, Parker, Pickering, Pienta, Polydoratou, Psomopoulos, Rennes, Rowe, Sansone, Shanahan, Sitz, Stocks, Tovani-Palone, &amp; Uhlmansiek. (2021). Fostering global data sharing: highlighting the recommendations of the Research Data Alliance COVID-19 working group.</w:t>
      </w:r>
      <w:r>
        <w:t xml:space="preserve"> </w:t>
      </w:r>
      <w:r>
        <w:rPr>
          <w:iCs/>
          <w:i/>
        </w:rPr>
        <w:t xml:space="preserve">Wellcome Open Research</w:t>
      </w:r>
      <w:r>
        <w:t xml:space="preserve">. https://doi.org/10.12688/wellcomeopenres.16378.2.</w:t>
      </w:r>
    </w:p>
    <w:p>
      <w:pPr>
        <w:pStyle w:val="BodyText"/>
      </w:pPr>
      <w:r>
        <w:t xml:space="preserve">Bahrpeyma, &amp; Reichelt. (2022). A review of the applications of multi-agent reinforcement learning in smart factories.</w:t>
      </w:r>
      <w:r>
        <w:t xml:space="preserve"> </w:t>
      </w:r>
      <w:r>
        <w:rPr>
          <w:iCs/>
          <w:i/>
        </w:rPr>
        <w:t xml:space="preserve">Frontiers in Robotics and AI</w:t>
      </w:r>
      <w:r>
        <w:t xml:space="preserve">,</w:t>
      </w:r>
      <w:r>
        <w:t xml:space="preserve"> </w:t>
      </w:r>
      <w:r>
        <w:rPr>
          <w:iCs/>
          <w:i/>
        </w:rPr>
        <w:t xml:space="preserve">9</w:t>
      </w:r>
      <w:r>
        <w:t xml:space="preserve">. https://doi.org/10.3389/frobt.2022.1027340.</w:t>
      </w:r>
    </w:p>
    <w:p>
      <w:pPr>
        <w:pStyle w:val="BodyText"/>
      </w:pPr>
      <w:r>
        <w:t xml:space="preserve">Bayly-Castaneda, Ramirez-Montoya, Morita-Alexander, Schrader, &amp; Awidi. (2024). Crafting personalized learning paths with AI for lifelong learning: a systematic literature review.</w:t>
      </w:r>
      <w:r>
        <w:t xml:space="preserve"> </w:t>
      </w:r>
      <w:r>
        <w:rPr>
          <w:iCs/>
          <w:i/>
        </w:rPr>
        <w:t xml:space="preserve">Frontiers in Education</w:t>
      </w:r>
      <w:r>
        <w:t xml:space="preserve">. https://doi.org/10.3389/feduc.2024.1424386.</w:t>
      </w:r>
    </w:p>
    <w:p>
      <w:pPr>
        <w:pStyle w:val="BodyText"/>
      </w:pPr>
      <w:r>
        <w:t xml:space="preserve">Bhatt. (2025).</w:t>
      </w:r>
      <w:r>
        <w:t xml:space="preserve"> </w:t>
      </w:r>
      <w:r>
        <w:rPr>
          <w:iCs/>
          <w:i/>
        </w:rPr>
        <w:t xml:space="preserve">Ethics, Academic and Research Integrity, Generative AI, and Scholarly Communication</w:t>
      </w:r>
      <w:r>
        <w:t xml:space="preserve">. Drexel University Libraries. https://doi.org/10.17918/00011205</w:t>
      </w:r>
    </w:p>
    <w:p>
      <w:pPr>
        <w:pStyle w:val="BodyText"/>
      </w:pPr>
      <w:r>
        <w:t xml:space="preserve">Bienefeld, Keller, &amp; Grote. (2023).</w:t>
      </w:r>
      <w:r>
        <w:t xml:space="preserve"> </w:t>
      </w:r>
      <w:r>
        <w:rPr>
          <w:iCs/>
          <w:i/>
        </w:rPr>
        <w:t xml:space="preserve">Human-AI Teaming in Critical Care: A Comparative Analysis of Data Scientists’ and Clinicians’ Perspectives on AI Augmentation and Automation (Preprint)</w:t>
      </w:r>
      <w:r>
        <w:t xml:space="preserve">. JMIR Publications Inc.. https://doi.org/10.2196/preprints.50130</w:t>
      </w:r>
    </w:p>
    <w:p>
      <w:pPr>
        <w:pStyle w:val="BodyText"/>
      </w:pPr>
      <w:r>
        <w:t xml:space="preserve">Biroğul, Şahin, &amp; əsgərli. (2025). Exploring the Impact of ISO/IEC 42001:2023 AI Management Standard on Organizational Practices.</w:t>
      </w:r>
      <w:r>
        <w:t xml:space="preserve"> </w:t>
      </w:r>
      <w:r>
        <w:rPr>
          <w:iCs/>
          <w:i/>
        </w:rPr>
        <w:t xml:space="preserve">Advances in Artificial Intelligence Research</w:t>
      </w:r>
      <w:r>
        <w:t xml:space="preserve">. https://doi.org/10.54569/aair.1709628.</w:t>
      </w:r>
    </w:p>
    <w:p>
      <w:pPr>
        <w:pStyle w:val="BodyText"/>
      </w:pPr>
      <w:r>
        <w:t xml:space="preserve">Brien. (2020). Drafting Autobiographical Memoir.</w:t>
      </w:r>
      <w:r>
        <w:t xml:space="preserve"> </w:t>
      </w:r>
      <w:r>
        <w:rPr>
          <w:iCs/>
          <w:i/>
        </w:rPr>
        <w:t xml:space="preserve">Creative Writing</w:t>
      </w:r>
      <w:r>
        <w:t xml:space="preserve">, 17-32. https://doi.org/10.5040/9781350494473.ch-002.</w:t>
      </w:r>
    </w:p>
    <w:p>
      <w:pPr>
        <w:pStyle w:val="BodyText"/>
      </w:pPr>
      <w:r>
        <w:t xml:space="preserve">Casal, &amp; Kessler. (2023). Can linguists distinguish between ChatGPT/AI and human writing?: A study of research ethics and academic publishing.</w:t>
      </w:r>
      <w:r>
        <w:t xml:space="preserve"> </w:t>
      </w:r>
      <w:r>
        <w:rPr>
          <w:iCs/>
          <w:i/>
        </w:rPr>
        <w:t xml:space="preserve">Research Methods in Applied Linguistics</w:t>
      </w:r>
      <w:r>
        <w:t xml:space="preserve">. https://doi.org/10.1016/j.rmal.2023.100068.</w:t>
      </w:r>
    </w:p>
    <w:p>
      <w:pPr>
        <w:pStyle w:val="BodyText"/>
      </w:pPr>
      <w:r>
        <w:t xml:space="preserve">Chan. (2023). A comprehensive AI policy education framework for university teaching and learning.</w:t>
      </w:r>
      <w:r>
        <w:t xml:space="preserve"> </w:t>
      </w:r>
      <w:r>
        <w:rPr>
          <w:iCs/>
          <w:i/>
        </w:rPr>
        <w:t xml:space="preserve">International Journal of Educational Technology in Higher Education</w:t>
      </w:r>
      <w:r>
        <w:t xml:space="preserve">. https://doi.org/10.1186/s41239-023-00408-3.</w:t>
      </w:r>
    </w:p>
    <w:p>
      <w:pPr>
        <w:pStyle w:val="BodyText"/>
      </w:pPr>
      <w:r>
        <w:t xml:space="preserve">Chinchu. (2021).</w:t>
      </w:r>
      <w:r>
        <w:t xml:space="preserve"> </w:t>
      </w:r>
      <w:r>
        <w:rPr>
          <w:iCs/>
          <w:i/>
        </w:rPr>
        <w:t xml:space="preserve">Free and (Mostly) Open Source Data Analysis Software for Academic Research</w:t>
      </w:r>
      <w:r>
        <w:t xml:space="preserve">. Center for Open Science. https://doi.org/10.31234/osf.io/9pnkw</w:t>
      </w:r>
    </w:p>
    <w:p>
      <w:pPr>
        <w:pStyle w:val="BodyText"/>
      </w:pPr>
      <w:r>
        <w:t xml:space="preserve">Cortés, Parra-Rojas, Pérez-Lozano, Arcara, Vargas-Sánchez, Fernández-Montenegro, Casado-Marín, Rondelli, &amp; López-Verdeguer. (2024). AI-assisted prescreening of biomedical research proposals: ethical considerations and the pilot case of</w:t>
      </w:r>
      <w:r>
        <w:t xml:space="preserve"> </w:t>
      </w:r>
      <w:r>
        <w:t xml:space="preserve">“</w:t>
      </w:r>
      <w:r>
        <w:t xml:space="preserve">la Caixa</w:t>
      </w:r>
      <w:r>
        <w:t xml:space="preserve">”</w:t>
      </w:r>
      <w:r>
        <w:t xml:space="preserve"> </w:t>
      </w:r>
      <w:r>
        <w:t xml:space="preserve">Foundation.</w:t>
      </w:r>
      <w:r>
        <w:t xml:space="preserve"> </w:t>
      </w:r>
      <w:r>
        <w:rPr>
          <w:iCs/>
          <w:i/>
        </w:rPr>
        <w:t xml:space="preserve">Data &amp; Policy</w:t>
      </w:r>
      <w:r>
        <w:t xml:space="preserve">. https://doi.org/10.1017/dap.2024.41.</w:t>
      </w:r>
    </w:p>
    <w:p>
      <w:pPr>
        <w:pStyle w:val="BodyText"/>
      </w:pPr>
      <w:r>
        <w:t xml:space="preserve">Dalabih, &amp; Aljabari. (2023). Unlocking the power of AI to accelerate scientific progress and global collaboration.</w:t>
      </w:r>
      <w:r>
        <w:t xml:space="preserve"> </w:t>
      </w:r>
      <w:r>
        <w:rPr>
          <w:iCs/>
          <w:i/>
        </w:rPr>
        <w:t xml:space="preserve">Pediatric Research</w:t>
      </w:r>
      <w:r>
        <w:t xml:space="preserve">. https://doi.org/10.1038/s41390-023-02590-6.</w:t>
      </w:r>
    </w:p>
    <w:p>
      <w:pPr>
        <w:pStyle w:val="BodyText"/>
      </w:pPr>
      <w:r>
        <w:t xml:space="preserve">Egbobamwonyi-Bedaux. (2025). Problematisation Analytics: New Foucauldian Direction in Theory and Method for Cybersecurity and AI Governance Research.</w:t>
      </w:r>
      <w:r>
        <w:t xml:space="preserve"> </w:t>
      </w:r>
      <w:r>
        <w:rPr>
          <w:iCs/>
          <w:i/>
        </w:rPr>
        <w:t xml:space="preserve">Applied Cybersecurity &amp; Internet Governance</w:t>
      </w:r>
      <w:r>
        <w:t xml:space="preserve">. https://doi.org/10.60097/acig/210682.</w:t>
      </w:r>
    </w:p>
    <w:p>
      <w:pPr>
        <w:pStyle w:val="BodyText"/>
      </w:pPr>
      <w:r>
        <w:t xml:space="preserve">Fiotto-Kaufman, Loftus, Todd, Brinkmann, Pal, Troitskii, Ripa, Belfki, Rager, Juang, Mueller, Marks, Sharma, Lucchetti, Prakash, Brodley, Guha, Bell, Wallace, &amp; Bau. (2024). NNsight and NDIF: Democratizing Access to Open-Weight Foundation Model Internals.</w:t>
      </w:r>
      <w:r>
        <w:t xml:space="preserve"> </w:t>
      </w:r>
      <w:r>
        <w:rPr>
          <w:iCs/>
          <w:i/>
        </w:rPr>
        <w:t xml:space="preserve">International Conference on Learning Representations</w:t>
      </w:r>
      <w:r>
        <w:t xml:space="preserve">. https://www.semanticscholar.org/paper/da0525d1d4a5af0d6cc4f55207f7196e6ef122a7.</w:t>
      </w:r>
    </w:p>
    <w:p>
      <w:pPr>
        <w:pStyle w:val="BodyText"/>
      </w:pPr>
      <w:r>
        <w:t xml:space="preserve">Granjeiro, Cury, Cury, Bueno, Sousa-Neto, &amp; Estrela. (2025). The Future of Scientific Writing: AI Tools, Benefits, and Ethical Implications.</w:t>
      </w:r>
      <w:r>
        <w:t xml:space="preserve"> </w:t>
      </w:r>
      <w:r>
        <w:rPr>
          <w:iCs/>
          <w:i/>
        </w:rPr>
        <w:t xml:space="preserve">Brazilian Dental Journal</w:t>
      </w:r>
      <w:r>
        <w:t xml:space="preserve">. https://doi.org/10.1590/0103-644020256471.</w:t>
      </w:r>
    </w:p>
    <w:p>
      <w:pPr>
        <w:pStyle w:val="BodyText"/>
      </w:pPr>
      <w:r>
        <w:t xml:space="preserve">Gupta, &amp; Pandit. (2024). The future of academic publishing in India: Embracing innovations for quality and global recognition.</w:t>
      </w:r>
      <w:r>
        <w:t xml:space="preserve"> </w:t>
      </w:r>
      <w:r>
        <w:rPr>
          <w:iCs/>
          <w:i/>
        </w:rPr>
        <w:t xml:space="preserve">IP Indian Journal of Library Science and Information Technology</w:t>
      </w:r>
      <w:r>
        <w:t xml:space="preserve">. https://doi.org/10.18231/j.ijlsit.2023.021.</w:t>
      </w:r>
    </w:p>
    <w:p>
      <w:pPr>
        <w:pStyle w:val="BodyText"/>
      </w:pPr>
      <w:r>
        <w:t xml:space="preserve">Haque, Bajwa, Siddiqui, &amp; Ahmed. (2024). PREDICTIVE MAINTENANCE IN INDUSTRIAL AUTOMATION: A SYSTEMATIC REVIEW OF IOT SENSOR TECHNOLOGIES AND AI ALGORITHMS.</w:t>
      </w:r>
      <w:r>
        <w:t xml:space="preserve"> </w:t>
      </w:r>
      <w:r>
        <w:rPr>
          <w:iCs/>
          <w:i/>
        </w:rPr>
        <w:t xml:space="preserve">American Journal of Interdisciplinary Studies</w:t>
      </w:r>
      <w:r>
        <w:t xml:space="preserve">. https://doi.org/10.63125/hd2ac988.</w:t>
      </w:r>
    </w:p>
    <w:p>
      <w:pPr>
        <w:pStyle w:val="BodyText"/>
      </w:pPr>
      <w:r>
        <w:t xml:space="preserve">Hermansen, &amp; Osborne. (2025). The Economic and Workforce Impacts of Open Source AI: Insights from Industry, Academia, and Open Source Research Publications. **. https://doi.org/10.70828/itvq4899.</w:t>
      </w:r>
    </w:p>
    <w:p>
      <w:pPr>
        <w:pStyle w:val="BodyText"/>
      </w:pPr>
      <w:r>
        <w:t xml:space="preserve">Hermansen, &amp; Sandberg. (2025). The Value of Open Source AI for APEC Economies. **. https://doi.org/10.70828/fcup6837.</w:t>
      </w:r>
    </w:p>
    <w:p>
      <w:pPr>
        <w:pStyle w:val="BodyText"/>
      </w:pPr>
      <w:r>
        <w:t xml:space="preserve">Huzaifa, Salih, Gul, Bukhari, Liaqat, &amp; Majeed. (2025). AI-Enhanced Scholarly Communication: Transforming Peer Review, Knowledge Dissemination, and Academic Publishing Workflows in the Digital Era.</w:t>
      </w:r>
      <w:r>
        <w:t xml:space="preserve"> </w:t>
      </w:r>
      <w:r>
        <w:rPr>
          <w:iCs/>
          <w:i/>
        </w:rPr>
        <w:t xml:space="preserve">International Journal of Ethical AI Application</w:t>
      </w:r>
      <w:r>
        <w:t xml:space="preserve">. https://doi.org/10.64229/4qp06e84.</w:t>
      </w:r>
    </w:p>
    <w:p>
      <w:pPr>
        <w:pStyle w:val="BodyText"/>
      </w:pPr>
      <w:r>
        <w:t xml:space="preserve">Kadambi, Seshadri, Munjandira, &amp; Appaji. (2024). Public Insight and Policy Foresight: A Policy Review of AI Governance in India.</w:t>
      </w:r>
      <w:r>
        <w:t xml:space="preserve"> </w:t>
      </w:r>
      <w:r>
        <w:rPr>
          <w:iCs/>
          <w:i/>
        </w:rPr>
        <w:t xml:space="preserve">International Conference on Communication Systems and Networks</w:t>
      </w:r>
      <w:r>
        <w:t xml:space="preserve">. https://doi.org/10.1109/COMSNETS59351.2024.10427081.</w:t>
      </w:r>
    </w:p>
    <w:p>
      <w:pPr>
        <w:pStyle w:val="BodyText"/>
      </w:pPr>
      <w:r>
        <w:t xml:space="preserve">Katam. (2025). Revolutionizing Data Accessibility: AI-Driven Natural Language Interfaces for Democratizing Data Discovery.</w:t>
      </w:r>
      <w:r>
        <w:t xml:space="preserve"> </w:t>
      </w:r>
      <w:r>
        <w:rPr>
          <w:iCs/>
          <w:i/>
        </w:rPr>
        <w:t xml:space="preserve">INTERANTIONAL JOURNAL OF SCIENTIFIC RESEARCH IN ENGINEERING AND MANAGEMENT</w:t>
      </w:r>
      <w:r>
        <w:t xml:space="preserve">. https://doi.org/10.55041/ijsrem41620.</w:t>
      </w:r>
    </w:p>
    <w:p>
      <w:pPr>
        <w:pStyle w:val="BodyText"/>
      </w:pPr>
      <w:r>
        <w:t xml:space="preserve">Kell, Kraeer, &amp; Cain. (2025). Can AI Facilitate a Human-Centric Approach to Writing a Problem of Practice Dissertation?.</w:t>
      </w:r>
      <w:r>
        <w:t xml:space="preserve"> </w:t>
      </w:r>
      <w:r>
        <w:rPr>
          <w:iCs/>
          <w:i/>
        </w:rPr>
        <w:t xml:space="preserve">Impacting Education Journal on Transforming Professional Practice</w:t>
      </w:r>
      <w:r>
        <w:t xml:space="preserve">. https://doi.org/10.5195/ie.2025.482.</w:t>
      </w:r>
    </w:p>
    <w:p>
      <w:pPr>
        <w:pStyle w:val="BodyText"/>
      </w:pPr>
      <w:r>
        <w:t xml:space="preserve">Kim, Yu, Detrick, &amp; Li. (2024). Exploring students’ perspectives on Generative AI-assisted academic writing.</w:t>
      </w:r>
      <w:r>
        <w:t xml:space="preserve"> </w:t>
      </w:r>
      <w:r>
        <w:rPr>
          <w:iCs/>
          <w:i/>
        </w:rPr>
        <w:t xml:space="preserve">Education and Information Technologies : Official Journal of the IFIP technical committee on Education</w:t>
      </w:r>
      <w:r>
        <w:t xml:space="preserve">. https://doi.org/10.1007/s10639-024-12878-7.</w:t>
      </w:r>
    </w:p>
    <w:p>
      <w:pPr>
        <w:pStyle w:val="BodyText"/>
      </w:pPr>
      <w:r>
        <w:t xml:space="preserve">King, &amp; Prasetyo. (2023). Assessing generative A.I. through the lens of the 2023 Gartner Hype Cycle for Emerging Technologies: a collaborative autoethnography.</w:t>
      </w:r>
      <w:r>
        <w:t xml:space="preserve"> </w:t>
      </w:r>
      <w:r>
        <w:rPr>
          <w:iCs/>
          <w:i/>
        </w:rPr>
        <w:t xml:space="preserve">Frontiers in Education</w:t>
      </w:r>
      <w:r>
        <w:t xml:space="preserve">. https://doi.org/10.3389/feduc.2023.1300391.</w:t>
      </w:r>
    </w:p>
    <w:p>
      <w:pPr>
        <w:pStyle w:val="BodyText"/>
      </w:pPr>
      <w:r>
        <w:t xml:space="preserve">Kotsis. (2025). Beyond Human Authorship: AI, Pedagogy, and Ethics in Academic Writing.</w:t>
      </w:r>
      <w:r>
        <w:t xml:space="preserve"> </w:t>
      </w:r>
      <w:r>
        <w:rPr>
          <w:iCs/>
          <w:i/>
        </w:rPr>
        <w:t xml:space="preserve">Journal of Contemporary Philosophical and Anthropological Studies</w:t>
      </w:r>
      <w:r>
        <w:t xml:space="preserve">. https://doi.org/10.59652/jcpas.v3i3.630.</w:t>
      </w:r>
    </w:p>
    <w:p>
      <w:pPr>
        <w:pStyle w:val="BodyText"/>
      </w:pPr>
      <w:r>
        <w:t xml:space="preserve">Madhavi. (2025). Academic Writing in the Age of AI: Opportunities, Challenges, and Best Practices.</w:t>
      </w:r>
      <w:r>
        <w:t xml:space="preserve"> </w:t>
      </w:r>
      <w:r>
        <w:rPr>
          <w:iCs/>
          <w:i/>
        </w:rPr>
        <w:t xml:space="preserve">Trends in Scholarly Publishing</w:t>
      </w:r>
      <w:r>
        <w:t xml:space="preserve">,</w:t>
      </w:r>
      <w:r>
        <w:t xml:space="preserve"> </w:t>
      </w:r>
      <w:r>
        <w:rPr>
          <w:iCs/>
          <w:i/>
        </w:rPr>
        <w:t xml:space="preserve">4</w:t>
      </w:r>
      <w:r>
        <w:t xml:space="preserve">(1), 8-14. https://doi.org/10.21124/tsp.2025.08.14.</w:t>
      </w:r>
    </w:p>
    <w:p>
      <w:pPr>
        <w:pStyle w:val="BodyText"/>
      </w:pPr>
      <w:r>
        <w:t xml:space="preserve">Maecker, Gösling, Heinbach, &amp; Kammler. (2023). Exploring Multi-Agent Systems for Intermodal Freight Fleets: Literature-based Justification of a New Concept.</w:t>
      </w:r>
      <w:r>
        <w:t xml:space="preserve"> </w:t>
      </w:r>
      <w:r>
        <w:rPr>
          <w:iCs/>
          <w:i/>
        </w:rPr>
        <w:t xml:space="preserve">Wirtschaftsinformatik</w:t>
      </w:r>
      <w:r>
        <w:t xml:space="preserve">. https://www.semanticscholar.org/paper/e56bae6feed5dc42d3d928b39e783971c3b3a0b8.</w:t>
      </w:r>
    </w:p>
    <w:p>
      <w:pPr>
        <w:pStyle w:val="BodyText"/>
      </w:pPr>
      <w:r>
        <w:t xml:space="preserve">Merkviladze. (2024). Integration of Automated Feedback Tools in EFL Academic Writing Classes: Teachers’ Perspective.</w:t>
      </w:r>
      <w:r>
        <w:t xml:space="preserve"> </w:t>
      </w:r>
      <w:r>
        <w:rPr>
          <w:iCs/>
          <w:i/>
        </w:rPr>
        <w:t xml:space="preserve">Journal of Education in Black Sea Region</w:t>
      </w:r>
      <w:r>
        <w:t xml:space="preserve">. https://doi.org/10.31578/jebs.v10i1.323.</w:t>
      </w:r>
    </w:p>
    <w:p>
      <w:pPr>
        <w:pStyle w:val="BodyText"/>
      </w:pPr>
      <w:r>
        <w:t xml:space="preserve">Mwangi, Mainye, Ouso, Esoh, Muraya, Mwangi, Naitore, Karega, Kibet-Rono, Musundi, Mutisya, Mwangi, Mgawe, Miruka, &amp; Kibet. (2021). Open Science in Kenya: Where Are We?.</w:t>
      </w:r>
      <w:r>
        <w:t xml:space="preserve"> </w:t>
      </w:r>
      <w:r>
        <w:rPr>
          <w:iCs/>
          <w:i/>
        </w:rPr>
        <w:t xml:space="preserve">Frontiers in Research Metrics and Analytics</w:t>
      </w:r>
      <w:r>
        <w:t xml:space="preserve">. https://doi.org/10.3389/frma.2021.669675.</w:t>
      </w:r>
    </w:p>
    <w:p>
      <w:pPr>
        <w:pStyle w:val="BodyText"/>
      </w:pPr>
      <w:r>
        <w:t xml:space="preserve">Ocampo, Biltz, &amp; Rhea. (2024). Generative AI and the Future of Service Design: The potential to transform the service design practice in dramatic and efficient ways.</w:t>
      </w:r>
      <w:r>
        <w:t xml:space="preserve"> </w:t>
      </w:r>
      <w:r>
        <w:rPr>
          <w:iCs/>
          <w:i/>
        </w:rPr>
        <w:t xml:space="preserve">Touchpoint</w:t>
      </w:r>
      <w:r>
        <w:t xml:space="preserve">. https://doi.org/10.30819/touchpoint.15-2.06.</w:t>
      </w:r>
    </w:p>
    <w:p>
      <w:pPr>
        <w:pStyle w:val="BodyText"/>
      </w:pPr>
      <w:r>
        <w:t xml:space="preserve">Partyko, Smyrnova, &amp; Zhytomyrska. (2024). ACADEMIC INTEGRITY IN THE ERA OF ARTIFICIAL INTELLIGENCE: CHALLENGES AND OPPORTUNITIES FOR STUDENTS.</w:t>
      </w:r>
      <w:r>
        <w:t xml:space="preserve"> </w:t>
      </w:r>
      <w:r>
        <w:rPr>
          <w:iCs/>
          <w:i/>
        </w:rPr>
        <w:t xml:space="preserve">Innovate Pedagogy</w:t>
      </w:r>
      <w:r>
        <w:t xml:space="preserve">. https://doi.org/10.32782/2663-6085/2024/72.53.</w:t>
      </w:r>
    </w:p>
    <w:p>
      <w:pPr>
        <w:pStyle w:val="BodyText"/>
      </w:pPr>
      <w:r>
        <w:t xml:space="preserve">Pawar, &amp; Khose. (2024). Exploring the Role of Artificial Intelligence in Enhancing Equity and Inclusion in Education.</w:t>
      </w:r>
      <w:r>
        <w:t xml:space="preserve"> </w:t>
      </w:r>
      <w:r>
        <w:rPr>
          <w:iCs/>
          <w:i/>
        </w:rPr>
        <w:t xml:space="preserve">International Journal of Innovative Science and Research Technology</w:t>
      </w:r>
      <w:r>
        <w:t xml:space="preserve">. https://doi.org/10.38124/ijisrt/ijisrt24apr1939.</w:t>
      </w:r>
    </w:p>
    <w:p>
      <w:pPr>
        <w:pStyle w:val="BodyText"/>
      </w:pPr>
      <w:r>
        <w:t xml:space="preserve">Peters, Vold, Robinson, &amp; Calvo. (2020). Responsible AI—Two Frameworks for Ethical Design Practice.</w:t>
      </w:r>
      <w:r>
        <w:t xml:space="preserve"> </w:t>
      </w:r>
      <w:r>
        <w:rPr>
          <w:iCs/>
          <w:i/>
        </w:rPr>
        <w:t xml:space="preserve">IEEE Transactions on Technology and Society</w:t>
      </w:r>
      <w:r>
        <w:t xml:space="preserve">. https://doi.org/10.1109/TTS.2020.2974991.</w:t>
      </w:r>
    </w:p>
    <w:p>
      <w:pPr>
        <w:pStyle w:val="BodyText"/>
      </w:pPr>
      <w:r>
        <w:t xml:space="preserve">Polemi, Praça, Kioskli, &amp; Bécue. (2024). Challenges and efforts in managing AI trustworthiness risks: a state of knowledge.</w:t>
      </w:r>
      <w:r>
        <w:t xml:space="preserve"> </w:t>
      </w:r>
      <w:r>
        <w:rPr>
          <w:iCs/>
          <w:i/>
        </w:rPr>
        <w:t xml:space="preserve">Frontiers Big Data</w:t>
      </w:r>
      <w:r>
        <w:t xml:space="preserve">. https://doi.org/10.3389/fdata.2024.1381163.</w:t>
      </w:r>
    </w:p>
    <w:p>
      <w:pPr>
        <w:pStyle w:val="BodyText"/>
      </w:pPr>
      <w:r>
        <w:t xml:space="preserve">Prajapati. (2025). Title: AI-Driven Predictive Maintenance in Smart Agriculture: A Comprehensive Review.</w:t>
      </w:r>
      <w:r>
        <w:t xml:space="preserve"> </w:t>
      </w:r>
      <w:r>
        <w:rPr>
          <w:iCs/>
          <w:i/>
        </w:rPr>
        <w:t xml:space="preserve">International Scientific Journal of Engineering and Management</w:t>
      </w:r>
      <w:r>
        <w:t xml:space="preserve">. https://doi.org/10.55041/isjem03406.</w:t>
      </w:r>
    </w:p>
    <w:p>
      <w:pPr>
        <w:pStyle w:val="BodyText"/>
      </w:pPr>
      <w:r>
        <w:t xml:space="preserve">Radensky, Weld, Chang, Siangliulue, &amp; Bragg. (2024). Papers-to-Posts: Supporting Detailed Long-Document Summarization with an Interactive LLM-Powered Source Outline. **. https://www.semanticscholar.org/paper/fd345f081a344867b0d772fb497b31146a94d04f.</w:t>
      </w:r>
    </w:p>
    <w:p>
      <w:pPr>
        <w:pStyle w:val="BodyText"/>
      </w:pPr>
      <w:r>
        <w:t xml:space="preserve">Ritoré, Jiménez, González, Rejón-Parrilla, Hervás, Toro, Parra-Calderón, Celi, Túnez, &amp; Hoz. (2024). The role of Open Access Data in democratizing healthcare AI: A pathway to research enhancement, patient well-being and treatment equity in Andalusia, Spain.</w:t>
      </w:r>
      <w:r>
        <w:t xml:space="preserve"> </w:t>
      </w:r>
      <w:r>
        <w:rPr>
          <w:iCs/>
          <w:i/>
        </w:rPr>
        <w:t xml:space="preserve">PLOS Digital Health</w:t>
      </w:r>
      <w:r>
        <w:t xml:space="preserve">. https://doi.org/10.1371/journal.pdig.0000599.</w:t>
      </w:r>
    </w:p>
    <w:p>
      <w:pPr>
        <w:pStyle w:val="BodyText"/>
      </w:pPr>
      <w:r>
        <w:t xml:space="preserve">Salman, Ahmad, Ibrahim, &amp; Mahmood. (2025). Systematic analysis of generative AI tools integration in academic research and peer review.</w:t>
      </w:r>
      <w:r>
        <w:t xml:space="preserve"> </w:t>
      </w:r>
      <w:r>
        <w:rPr>
          <w:iCs/>
          <w:i/>
        </w:rPr>
        <w:t xml:space="preserve">Online Journal of Communication and Media Technologies</w:t>
      </w:r>
      <w:r>
        <w:t xml:space="preserve">. https://doi.org/10.30935/ojcmt/15832.</w:t>
      </w:r>
    </w:p>
    <w:p>
      <w:pPr>
        <w:pStyle w:val="BodyText"/>
      </w:pPr>
      <w:r>
        <w:t xml:space="preserve">Sarker, Susarla, Gopal, &amp; Thatcher. (2024). Democratizing Knowledge Creation Through Human-AI Collaboration in Academic Peer Review.</w:t>
      </w:r>
      <w:r>
        <w:t xml:space="preserve"> </w:t>
      </w:r>
      <w:r>
        <w:rPr>
          <w:iCs/>
          <w:i/>
        </w:rPr>
        <w:t xml:space="preserve">Journal of the AIS</w:t>
      </w:r>
      <w:r>
        <w:t xml:space="preserve">. https://doi.org/10.17705/1jais.00872.</w:t>
      </w:r>
    </w:p>
    <w:p>
      <w:pPr>
        <w:pStyle w:val="BodyText"/>
      </w:pPr>
      <w:r>
        <w:t xml:space="preserve">Selim. (2024). The Transformative Impact of AI-Powered Tools on Academic Writing: Perspectives of EFL University Students.</w:t>
      </w:r>
      <w:r>
        <w:t xml:space="preserve"> </w:t>
      </w:r>
      <w:r>
        <w:rPr>
          <w:iCs/>
          <w:i/>
        </w:rPr>
        <w:t xml:space="preserve">International Journal of English Linguistics</w:t>
      </w:r>
      <w:r>
        <w:t xml:space="preserve">. https://doi.org/10.5539/ijel.v14n1p14.</w:t>
      </w:r>
    </w:p>
    <w:p>
      <w:pPr>
        <w:pStyle w:val="BodyText"/>
      </w:pPr>
      <w:r>
        <w:t xml:space="preserve">Shao, Huang, Li, Zhao, Lin, Zhang, Zeng, Chen, Li, Huang, Wu, Liu, Zhao, Zhao, Zhang, Wang, Zhen, Xu, Li, &amp; Liu. (2025). OmniScientist: Toward a Co-evolving Ecosystem of Human and AI Scientists. **. https://www.semanticscholar.org/paper/2810ea2826d3aff2f6dcd6d14fe3c0a42cd6a442.</w:t>
      </w:r>
    </w:p>
    <w:p>
      <w:pPr>
        <w:pStyle w:val="BodyText"/>
      </w:pPr>
      <w:r>
        <w:t xml:space="preserve">Solonytska, Popel, Mardar, &amp; Ganchev. (2024). EVOLUTION OF QUALITY CONTROL SYSTEMS: FROM TAYLOR TO MODERN STANDARDS.</w:t>
      </w:r>
      <w:r>
        <w:t xml:space="preserve"> </w:t>
      </w:r>
      <w:r>
        <w:rPr>
          <w:iCs/>
          <w:i/>
        </w:rPr>
        <w:t xml:space="preserve">Scientific Works</w:t>
      </w:r>
      <w:r>
        <w:t xml:space="preserve">. https://doi.org/10.15673/swonaft.v88i2.3055.</w:t>
      </w:r>
    </w:p>
    <w:p>
      <w:pPr>
        <w:pStyle w:val="BodyText"/>
      </w:pPr>
      <w:r>
        <w:t xml:space="preserve">Somnath, Smith, Laanait, Vasudevan, Ievlev, Belianinov, Lupini, Shankar, Kalinin, &amp; Jesse. (2019). USID and Pycroscopy – Open frameworks for storing and analyzing spectroscopic and imaging data. **. https://www.semanticscholar.org/paper/8461c18071130e1efe83c43ecec7da3a1eaa2a68.</w:t>
      </w:r>
    </w:p>
    <w:p>
      <w:pPr>
        <w:pStyle w:val="BodyText"/>
      </w:pPr>
      <w:r>
        <w:t xml:space="preserve">Tajik. (2025).</w:t>
      </w:r>
      <w:r>
        <w:t xml:space="preserve"> </w:t>
      </w:r>
      <w:r>
        <w:rPr>
          <w:iCs/>
          <w:i/>
        </w:rPr>
        <w:t xml:space="preserve">Exploring the Role of AI-Driven Dynamic Writing Platforms in Improving EFL Learners’ Writing Skills and Fostering Their Motivation</w:t>
      </w:r>
      <w:r>
        <w:t xml:space="preserve">. Springer Science and Business Media LLC. https://doi.org/10.21203/rs.3.rs-5788599/v1</w:t>
      </w:r>
    </w:p>
    <w:p>
      <w:pPr>
        <w:pStyle w:val="BodyText"/>
      </w:pPr>
      <w:r>
        <w:t xml:space="preserve">Tang, Cooper, &amp; Nielsen. (2024). Philosophical, Legal, Ethical, and Practical Considerations in the Emerging Use of Generative AI in Academic Journals: Guidelines for Research in Science Education (RISE).</w:t>
      </w:r>
      <w:r>
        <w:t xml:space="preserve"> </w:t>
      </w:r>
      <w:r>
        <w:rPr>
          <w:iCs/>
          <w:i/>
        </w:rPr>
        <w:t xml:space="preserve">Research in Science Education</w:t>
      </w:r>
      <w:r>
        <w:t xml:space="preserve">. https://doi.org/10.1007/s11165-024-10192-3.</w:t>
      </w:r>
    </w:p>
    <w:p>
      <w:pPr>
        <w:pStyle w:val="BodyText"/>
      </w:pPr>
      <w:r>
        <w:t xml:space="preserve">Teh, &amp; Uwasomba. (2024). Impact of Large Language Models on Scholarly Publication Titles and Abstracts: A Comparative Analysis.</w:t>
      </w:r>
      <w:r>
        <w:t xml:space="preserve"> </w:t>
      </w:r>
      <w:r>
        <w:rPr>
          <w:iCs/>
          <w:i/>
        </w:rPr>
        <w:t xml:space="preserve">Journal of Social Computing</w:t>
      </w:r>
      <w:r>
        <w:t xml:space="preserve">. https://doi.org/10.23919/jsc.2024.0011.</w:t>
      </w:r>
    </w:p>
    <w:p>
      <w:pPr>
        <w:pStyle w:val="BodyText"/>
      </w:pPr>
      <w:r>
        <w:t xml:space="preserve">Tran. (2024). AI Tools in Teaching and Learning English Academic Writing Skills.</w:t>
      </w:r>
      <w:r>
        <w:t xml:space="preserve"> </w:t>
      </w:r>
      <w:r>
        <w:rPr>
          <w:iCs/>
          <w:i/>
        </w:rPr>
        <w:t xml:space="preserve">Proceedings of the AsiaCALL International Conference</w:t>
      </w:r>
      <w:r>
        <w:t xml:space="preserve">. https://doi.org/10.54855/paic.23413.</w:t>
      </w:r>
    </w:p>
    <w:p>
      <w:pPr>
        <w:pStyle w:val="BodyText"/>
      </w:pPr>
      <w:r>
        <w:t xml:space="preserve">Wu, Islam, Poly, &amp; Lin. (2024). Application of AI in Sepsis: Citation Network Analysis and Evidence Synthesis.</w:t>
      </w:r>
      <w:r>
        <w:t xml:space="preserve"> </w:t>
      </w:r>
      <w:r>
        <w:rPr>
          <w:iCs/>
          <w:i/>
        </w:rPr>
        <w:t xml:space="preserve">Interactive Journal of Medical Research</w:t>
      </w:r>
      <w:r>
        <w:t xml:space="preserve">. https://doi.org/10.2196/54490.</w:t>
      </w:r>
    </w:p>
    <w:p>
      <w:pPr>
        <w:pStyle w:val="BodyText"/>
      </w:pPr>
      <w:r>
        <w:t xml:space="preserve">Zimotti, Frances, &amp; Whitaker. (2024). The future of language education: Teachers’ perceptions about the surge of AI writing tools.</w:t>
      </w:r>
      <w:r>
        <w:t xml:space="preserve"> </w:t>
      </w:r>
      <w:r>
        <w:rPr>
          <w:iCs/>
          <w:i/>
        </w:rPr>
        <w:t xml:space="preserve">Technology in Language Teaching &amp; Learning</w:t>
      </w:r>
      <w:r>
        <w:t xml:space="preserve">. https://doi.org/10.29140/tltl.v6n1.1136.</w:t>
      </w:r>
    </w:p>
    <w:bookmarkEnd w:id="131"/>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24" Target="https://aiethicsinstitute.org/" TargetMode="External" /><Relationship Type="http://schemas.openxmlformats.org/officeDocument/2006/relationships/hyperlink" Id="rId121" Target="https://arxiv.org/" TargetMode="External" /><Relationship Type="http://schemas.openxmlformats.org/officeDocument/2006/relationships/hyperlink" Id="rId125" Target="https://facctconference.org/" TargetMode="External" /><Relationship Type="http://schemas.openxmlformats.org/officeDocument/2006/relationships/hyperlink" Id="rId117" Target="https://huggingface.co/" TargetMode="External" /><Relationship Type="http://schemas.openxmlformats.org/officeDocument/2006/relationships/hyperlink" Id="rId120" Target="https://openai.com/" TargetMode="External" /><Relationship Type="http://schemas.openxmlformats.org/officeDocument/2006/relationships/hyperlink" Id="rId119" Target="https://pytorch.org/" TargetMode="External" /><Relationship Type="http://schemas.openxmlformats.org/officeDocument/2006/relationships/hyperlink" Id="rId126" Target="https://www.cos.io/" TargetMode="External" /><Relationship Type="http://schemas.openxmlformats.org/officeDocument/2006/relationships/hyperlink" Id="rId127" Target="https://www.rd-alliance.org/" TargetMode="External" /><Relationship Type="http://schemas.openxmlformats.org/officeDocument/2006/relationships/hyperlink" Id="rId118" Target="https://www.tensorflow.org/" TargetMode="External" /></Relationships>
</file>

<file path=word/_rels/footnotes.xml.rels><?xml version="1.0" encoding="UTF-8"?><Relationships xmlns="http://schemas.openxmlformats.org/package/2006/relationships"><Relationship Type="http://schemas.openxmlformats.org/officeDocument/2006/relationships/hyperlink" Id="rId124" Target="https://aiethicsinstitute.org/" TargetMode="External" /><Relationship Type="http://schemas.openxmlformats.org/officeDocument/2006/relationships/hyperlink" Id="rId121" Target="https://arxiv.org/" TargetMode="External" /><Relationship Type="http://schemas.openxmlformats.org/officeDocument/2006/relationships/hyperlink" Id="rId125" Target="https://facctconference.org/" TargetMode="External" /><Relationship Type="http://schemas.openxmlformats.org/officeDocument/2006/relationships/hyperlink" Id="rId117" Target="https://huggingface.co/" TargetMode="External" /><Relationship Type="http://schemas.openxmlformats.org/officeDocument/2006/relationships/hyperlink" Id="rId120" Target="https://openai.com/" TargetMode="External" /><Relationship Type="http://schemas.openxmlformats.org/officeDocument/2006/relationships/hyperlink" Id="rId119" Target="https://pytorch.org/" TargetMode="External" /><Relationship Type="http://schemas.openxmlformats.org/officeDocument/2006/relationships/hyperlink" Id="rId126" Target="https://www.cos.io/" TargetMode="External" /><Relationship Type="http://schemas.openxmlformats.org/officeDocument/2006/relationships/hyperlink" Id="rId127" Target="https://www.rd-alliance.org/" TargetMode="External" /><Relationship Type="http://schemas.openxmlformats.org/officeDocument/2006/relationships/hyperlink" Id="rId118" Target="https://www.tensorflow.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Academic Thesis AI Saves The World</dc:title>
  <dc:creator>Federico De Ponte</dc:creator>
  <cp:keywords/>
  <dcterms:created xsi:type="dcterms:W3CDTF">2025-12-05T18:39:40Z</dcterms:created>
  <dcterms:modified xsi:type="dcterms:W3CDTF">2025-12-05T18:39:40Z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visor">
    <vt:lpwstr>Prof. Dr. Maria Schmidt</vt:lpwstr>
  </property>
  <property fmtid="{D5CDD505-2E9C-101B-9397-08002B2CF9AE}" pid="3" name="date">
    <vt:lpwstr>December 2025</vt:lpwstr>
  </property>
  <property fmtid="{D5CDD505-2E9C-101B-9397-08002B2CF9AE}" pid="4" name="degree">
    <vt:lpwstr>Master of Science in Computer Science</vt:lpwstr>
  </property>
  <property fmtid="{D5CDD505-2E9C-101B-9397-08002B2CF9AE}" pid="5" name="department">
    <vt:lpwstr>Department of Computer Science</vt:lpwstr>
  </property>
  <property fmtid="{D5CDD505-2E9C-101B-9397-08002B2CF9AE}" pid="6" name="faculty">
    <vt:lpwstr>Faculty of Electrical Engineering and Computer Science</vt:lpwstr>
  </property>
  <property fmtid="{D5CDD505-2E9C-101B-9397-08002B2CF9AE}" pid="7" name="institution">
    <vt:lpwstr>Technical University of Berlin</vt:lpwstr>
  </property>
  <property fmtid="{D5CDD505-2E9C-101B-9397-08002B2CF9AE}" pid="8" name="location">
    <vt:lpwstr>Berlin</vt:lpwstr>
  </property>
  <property fmtid="{D5CDD505-2E9C-101B-9397-08002B2CF9AE}" pid="9" name="project_type">
    <vt:lpwstr>Master Thesis</vt:lpwstr>
  </property>
  <property fmtid="{D5CDD505-2E9C-101B-9397-08002B2CF9AE}" pid="10" name="second_examiner">
    <vt:lpwstr>Prof. Dr. Hans Weber</vt:lpwstr>
  </property>
  <property fmtid="{D5CDD505-2E9C-101B-9397-08002B2CF9AE}" pid="11" name="student_id">
    <vt:lpwstr>123456</vt:lpwstr>
  </property>
  <property fmtid="{D5CDD505-2E9C-101B-9397-08002B2CF9AE}" pid="12" name="subtitle">
    <vt:lpwstr>OpenDraft: Democratizing Academic Research Through Multi-Agent AI Systems</vt:lpwstr>
  </property>
  <property fmtid="{D5CDD505-2E9C-101B-9397-08002B2CF9AE}" pid="13" name="system_credit">
    <vt:lpwstr>Generated with OpenDraft AI</vt:lpwstr>
  </property>
</Properties>
</file>