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smallCaps/>
          <w:sz w:val="28"/>
        </w:rPr>
        <w:t>TECHNICAL UNIVERSITY OF BERLIN</w:t>
      </w:r>
    </w:p>
    <w:p>
      <w:pPr>
        <w:jc w:val="center"/>
      </w:pPr>
      <w:r>
        <w:rPr>
          <w:sz w:val="22"/>
        </w:rPr>
        <w:t>Faculty of Electrical Engineering and Computer Science</w:t>
      </w:r>
    </w:p>
    <w:p>
      <w:pPr>
        <w:jc w:val="center"/>
      </w:pPr>
      <w:r>
        <w:rPr>
          <w:i/>
          <w:sz w:val="22"/>
        </w:rPr>
        <w:t>Department of Computer Science</w:t>
      </w:r>
    </w:p>
    <w:p/>
    <w:p>
      <w:pPr>
        <w:pStyle w:val="Title"/>
        <w:jc w:val="center"/>
      </w:pPr>
      <w:r>
        <w:t xml:space="preserve">Why OpenDraft Will Save The World: Democratizing Academic Research Through AI</w:t>
      </w:r>
    </w:p>
    <w:p>
      <w:pPr>
        <w:pStyle w:val="Author"/>
        <w:jc w:val="center"/>
      </w:pPr>
      <w:r>
        <w:t xml:space="preserve">Federico De Ponte</w:t>
      </w:r>
    </w:p>
    <w:p>
      <w:pPr>
        <w:pStyle w:val="Date"/>
        <w:jc w:val="center"/>
      </w:pPr>
    </w:p>
    <w:p>
      <w:pPr>
        <w:jc w:val="center"/>
      </w:pPr>
    </w:p>
    <w:p>
      <w:pPr>
        <w:jc w:val="center"/>
      </w:pPr>
      <w:r>
        <w:rPr>
          <w:sz w:val="22"/>
          <w:szCs w:val="22"/>
          <w:smallCaps/>
        </w:rPr>
        <w:t>MASTER THESIS</w:t>
      </w:r>
    </w:p>
    <w:p>
      <w:pPr>
        <w:jc w:val="center"/>
      </w:pPr>
    </w:p>
    <w:p>
      <w:pPr>
        <w:jc w:val="center"/>
      </w:pPr>
      <w:r>
        <w:rPr>
          <w:sz w:val="20"/>
          <w:szCs w:val="20"/>
        </w:rPr>
        <w:t>submitted in partial fulfillment of the requirements for the degree of</w:t>
      </w:r>
    </w:p>
    <w:p>
      <w:pPr>
        <w:jc w:val="center"/>
      </w:pPr>
      <w:r>
        <w:rPr>
          <w:sz w:val="24"/>
          <w:szCs w:val="24"/>
          <w:b/>
        </w:rPr>
        <w:t>Master of Science</w:t>
      </w:r>
    </w:p>
    <w:p>
      <w:pPr>
        <w:jc w:val="center"/>
      </w:pPr>
    </w:p>
    <w:p>
      <w:pPr>
        <w:jc w:val="center"/>
      </w:pPr>
      <w:r>
        <w:rPr>
          <w:sz w:val="20"/>
          <w:szCs w:val="20"/>
        </w:rPr>
        <w:t>Matriculation No.: 123456</w:t>
      </w:r>
    </w:p>
    <w:p>
      <w:pPr>
        <w:jc w:val="center"/>
      </w:pPr>
    </w:p>
    <w:p>
      <w:pPr>
        <w:jc w:val="center"/>
      </w:pPr>
      <w:r>
        <w:rPr>
          <w:sz w:val="20"/>
          <w:szCs w:val="20"/>
        </w:rPr>
        <w:t>First Supervisor: Prof. Dr. Maria Schmidt</w:t>
      </w:r>
    </w:p>
    <w:p>
      <w:pPr>
        <w:jc w:val="center"/>
      </w:pPr>
      <w:r>
        <w:rPr>
          <w:sz w:val="20"/>
          <w:szCs w:val="20"/>
        </w:rPr>
        <w:t>Second Examiner: Prof. Dr. Hans Weber</w:t>
      </w:r>
    </w:p>
    <w:p>
      <w:pPr>
        <w:jc w:val="center"/>
      </w:pPr>
    </w:p>
    <w:p>
      <w:pPr>
        <w:jc w:val="center"/>
      </w:pPr>
      <w:r>
        <w:rPr>
          <w:sz w:val="20"/>
          <w:szCs w:val="20"/>
        </w:rPr>
        <w:t>Berlin, December 2025</w:t>
      </w: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br w:type="page"/>
      </w:r>
      <w:r>
        <w:t xml:space="preserve">Abstract</w:t>
      </w:r>
    </w:p>
    <w:p>
      <w:pPr>
        <w:pStyle w:val="FirstParagraph"/>
      </w:pPr>
      <w:r>
        <w:rPr>
          <w:bCs/>
          <w:b/>
        </w:rPr>
        <w:t xml:space="preserve">Research Problem and Approach:</w:t>
      </w:r>
      <w:r>
        <w:t xml:space="preserve"> </w:t>
      </w:r>
      <w:r>
        <w:t xml:space="preserve">The global academic ecosystem faces a profound crisis of representation, where the democratization of knowledge consumption through Open Access has not been matched by an equity in knowledge contribution. Structural barriers, particularly the dominance of English as the scientific</w:t>
      </w:r>
      <w:r>
        <w:t xml:space="preserve"> </w:t>
      </w:r>
      <w:r>
        <w:rPr>
          <w:iCs/>
          <w:i/>
        </w:rPr>
        <w:t xml:space="preserve">lingua franca</w:t>
      </w:r>
      <w:r>
        <w:t xml:space="preserve"> </w:t>
      </w:r>
      <w:r>
        <w:t xml:space="preserve">and resource asymmetries favoring the Global North, continue to marginalize researchers from under-resourced regions. This thesis addresses these systemic inequities by introducing</w:t>
      </w:r>
      <w:r>
        <w:t xml:space="preserve"> </w:t>
      </w:r>
      <w:r>
        <w:t xml:space="preserve">“</w:t>
      </w:r>
      <w:r>
        <w:t xml:space="preserve">OpenDraft,</w:t>
      </w:r>
      <w:r>
        <w:t xml:space="preserve">”</w:t>
      </w:r>
      <w:r>
        <w:t xml:space="preserve"> </w:t>
      </w:r>
      <w:r>
        <w:t xml:space="preserve">a socio-technical framework designed to leverage Generative AI (GenAI) and Large Language Models (LLMs) to decouple the merit of scientific ideas from the linguistic privileges of the author.</w:t>
      </w:r>
    </w:p>
    <w:p>
      <w:pPr>
        <w:pStyle w:val="BodyText"/>
      </w:pPr>
      <w:r>
        <w:rPr>
          <w:bCs/>
          <w:b/>
        </w:rPr>
        <w:t xml:space="preserve">Methodology and Findings:</w:t>
      </w:r>
      <w:r>
        <w:t xml:space="preserve"> </w:t>
      </w:r>
      <w:r>
        <w:t xml:space="preserve">By synthesizing literature on open science, AI ethics, and global publishing disparities, this study analyzes the</w:t>
      </w:r>
      <w:r>
        <w:t xml:space="preserve"> </w:t>
      </w:r>
      <w:r>
        <w:t xml:space="preserve">“</w:t>
      </w:r>
      <w:r>
        <w:t xml:space="preserve">linguistic tax</w:t>
      </w:r>
      <w:r>
        <w:t xml:space="preserve">”</w:t>
      </w:r>
      <w:r>
        <w:t xml:space="preserve"> </w:t>
      </w:r>
      <w:r>
        <w:t xml:space="preserve">and economic hurdles that impede researchers in the Global South. The research develops and validates the OpenDraft framework as a standardized intervention for the drafting phase of research. The analysis reveals that while unregulated AI adoption risks exacerbating the</w:t>
      </w:r>
      <w:r>
        <w:t xml:space="preserve"> </w:t>
      </w:r>
      <w:r>
        <w:t xml:space="preserve">“</w:t>
      </w:r>
      <w:r>
        <w:t xml:space="preserve">paper mill</w:t>
      </w:r>
      <w:r>
        <w:t xml:space="preserve">”</w:t>
      </w:r>
      <w:r>
        <w:t xml:space="preserve"> </w:t>
      </w:r>
      <w:r>
        <w:t xml:space="preserve">crisis, a formalized, ethical integration of LLMs functions as a critical equalizing mechanism that significantly reduces barriers to entry for non-native English speakers without compromising methodological rigor.</w:t>
      </w:r>
    </w:p>
    <w:p>
      <w:pPr>
        <w:pStyle w:val="BodyText"/>
      </w:pPr>
      <w:r>
        <w:rPr>
          <w:bCs/>
          <w:b/>
        </w:rPr>
        <w:t xml:space="preserve">Key Contributions:</w:t>
      </w:r>
      <w:r>
        <w:t xml:space="preserve"> </w:t>
      </w:r>
      <w:r>
        <w:t xml:space="preserve">This thesis makes three primary contributions: (1) The conceptualization of the</w:t>
      </w:r>
      <w:r>
        <w:t xml:space="preserve"> </w:t>
      </w:r>
      <w:r>
        <w:t xml:space="preserve">“</w:t>
      </w:r>
      <w:r>
        <w:t xml:space="preserve">Open Contribution</w:t>
      </w:r>
      <w:r>
        <w:t xml:space="preserve">”</w:t>
      </w:r>
      <w:r>
        <w:t xml:space="preserve"> </w:t>
      </w:r>
      <w:r>
        <w:t xml:space="preserve">paradigm, shifting the discourse beyond mere access to active participation, (2) The development of the OpenDraft framework, offering specific protocols for AI-assisted writing, referencing, and structuring to ensure integrity, and (3) A critical examination of the intersection between</w:t>
      </w:r>
      <w:r>
        <w:t xml:space="preserve"> </w:t>
      </w:r>
      <w:r>
        <w:t xml:space="preserve">“</w:t>
      </w:r>
      <w:r>
        <w:t xml:space="preserve">Citation Equity</w:t>
      </w:r>
      <w:r>
        <w:t xml:space="preserve">”</w:t>
      </w:r>
      <w:r>
        <w:t xml:space="preserve"> </w:t>
      </w:r>
      <w:r>
        <w:t xml:space="preserve">and algorithmic assistance, providing evidence that technology can serve as a bridge for cognitive equity in global science.</w:t>
      </w:r>
    </w:p>
    <w:p>
      <w:pPr>
        <w:pStyle w:val="BodyText"/>
      </w:pPr>
      <w:r>
        <w:rPr>
          <w:bCs/>
          <w:b/>
        </w:rPr>
        <w:t xml:space="preserve">Implications:</w:t>
      </w:r>
      <w:r>
        <w:t xml:space="preserve"> </w:t>
      </w:r>
      <w:r>
        <w:t xml:space="preserve">The findings imply that the strategic integration of AI into academic workflows offers a transformative opportunity to restructure the academic value chain, shifting the focus of peer review from rhetorical flourish to scientific substance. This research provides essential guidance for publishers, policymakers, and academic institutions seeking to harness generative technologies to dismantle historical gatekeeping mechanisms and foster a truly inclusive global scientific community.</w:t>
      </w:r>
    </w:p>
    <w:p>
      <w:pPr>
        <w:pStyle w:val="BodyText"/>
      </w:pPr>
      <w:r>
        <w:rPr>
          <w:bCs/>
          <w:b/>
        </w:rPr>
        <w:t xml:space="preserve">Keywords:</w:t>
      </w:r>
      <w:r>
        <w:t xml:space="preserve"> </w:t>
      </w:r>
      <w:r>
        <w:t xml:space="preserve">OpenDraft, Generative AI, Open Science, Academic Publishing, Linguistic Equity, Global South, Large Language Models, Open Contribution, Cognitive Equity, Scientific Communication, Article Processing Charges, Research Ethics, Knowledge Democratization, Socio-technical Framework, Peer Review</w:t>
      </w:r>
      <w:r>
        <w:br w:type="page"/>
      </w:r>
    </w:p>
    <w:bookmarkEnd w:id="20"/>
    <w:bookmarkStart w:id="38" w:name="introduction"/>
    <w:p>
      <w:pPr>
        <w:pStyle w:val="Heading1"/>
      </w:pPr>
      <w:r>
        <w:t xml:space="preserve">1. Introduction</w:t>
      </w:r>
    </w:p>
    <w:bookmarkStart w:id="23" w:name="background-of-the-study"/>
    <w:p>
      <w:pPr>
        <w:pStyle w:val="Heading2"/>
      </w:pPr>
      <w:r>
        <w:t xml:space="preserve">1.1 Background of the Study</w:t>
      </w:r>
    </w:p>
    <w:p>
      <w:pPr>
        <w:pStyle w:val="FirstParagraph"/>
      </w:pPr>
      <w:r>
        <w:t xml:space="preserve">The global academic ecosystem stands at a precipice of transformation, driven by the convergence of open science initiatives and the rapid maturation of artificial intelligence (AI). For decades, the democratization of knowledge has been framed primarily through the lens of consumption—ensuring that readers worldwide can access research without paywalls. This movement, epitomized by the Open Access (OA) initiatives described by Suber (Suber, 2004), has successfully dismantled many barriers to reading. However, a more insidious barrier remains: the barrier to contribution. While the world can now read science, the ability to</w:t>
      </w:r>
      <w:r>
        <w:t xml:space="preserve"> </w:t>
      </w:r>
      <w:r>
        <w:rPr>
          <w:iCs/>
          <w:i/>
        </w:rPr>
        <w:t xml:space="preserve">write</w:t>
      </w:r>
      <w:r>
        <w:t xml:space="preserve"> </w:t>
      </w:r>
      <w:r>
        <w:t xml:space="preserve">and</w:t>
      </w:r>
      <w:r>
        <w:t xml:space="preserve"> </w:t>
      </w:r>
      <w:r>
        <w:rPr>
          <w:iCs/>
          <w:i/>
        </w:rPr>
        <w:t xml:space="preserve">publish</w:t>
      </w:r>
      <w:r>
        <w:t xml:space="preserve"> </w:t>
      </w:r>
      <w:r>
        <w:t xml:space="preserve">high-impact research remains heavily concentrated in the Global North, protected by gatekeeping mechanisms that favor native English speakers and well-resourced institutions.</w:t>
      </w:r>
    </w:p>
    <w:p>
      <w:pPr>
        <w:pStyle w:val="BodyText"/>
      </w:pPr>
      <w:r>
        <w:t xml:space="preserve">The</w:t>
      </w:r>
      <w:r>
        <w:t xml:space="preserve"> </w:t>
      </w:r>
      <w:r>
        <w:t xml:space="preserve">“</w:t>
      </w:r>
      <w:r>
        <w:t xml:space="preserve">OpenDraft</w:t>
      </w:r>
      <w:r>
        <w:t xml:space="preserve">”</w:t>
      </w:r>
      <w:r>
        <w:t xml:space="preserve"> </w:t>
      </w:r>
      <w:r>
        <w:t xml:space="preserve">model proposed in this thesis represents a paradigm shift from</w:t>
      </w:r>
      <w:r>
        <w:t xml:space="preserve"> </w:t>
      </w:r>
      <w:r>
        <w:t xml:space="preserve">“</w:t>
      </w:r>
      <w:r>
        <w:t xml:space="preserve">Open Access</w:t>
      </w:r>
      <w:r>
        <w:t xml:space="preserve">”</w:t>
      </w:r>
      <w:r>
        <w:t xml:space="preserve"> </w:t>
      </w:r>
      <w:r>
        <w:t xml:space="preserve">to</w:t>
      </w:r>
      <w:r>
        <w:t xml:space="preserve"> </w:t>
      </w:r>
      <w:r>
        <w:t xml:space="preserve">“</w:t>
      </w:r>
      <w:r>
        <w:t xml:space="preserve">Open Contribution.</w:t>
      </w:r>
      <w:r>
        <w:t xml:space="preserve">”</w:t>
      </w:r>
      <w:r>
        <w:t xml:space="preserve"> </w:t>
      </w:r>
      <w:r>
        <w:t xml:space="preserve">It posits that Generative AI (GenAI) and Large Language Models (LLMs) can serve not merely as productivity tools, but as equalizing mechanisms that decouple the merit of scientific ideas from the linguistic and stylistic privileges of the author. Recent reports from UNESCO (UNESCO, 2025) highlight the urgency of this shift, noting that the benefits of scientific progress are still unequally distributed. As AI technologies evolve, as detailed by Melketo and Seiber (Melketo et al., 2023), they offer a unique opportunity to restructure the academic value chain.</w:t>
      </w:r>
    </w:p>
    <w:p>
      <w:pPr>
        <w:pStyle w:val="BodyText"/>
      </w:pPr>
      <w:r>
        <w:t xml:space="preserve">The context of this study is rooted in the systemic inequities of the current publishing landscape. Despite the proliferation of digital platforms, the</w:t>
      </w:r>
      <w:r>
        <w:t xml:space="preserve"> </w:t>
      </w:r>
      <w:r>
        <w:t xml:space="preserve">“</w:t>
      </w:r>
      <w:r>
        <w:t xml:space="preserve">center-periphery</w:t>
      </w:r>
      <w:r>
        <w:t xml:space="preserve">”</w:t>
      </w:r>
      <w:r>
        <w:t xml:space="preserve"> </w:t>
      </w:r>
      <w:r>
        <w:t xml:space="preserve">structure of global science persists. Researchers in the Global South face a dual burden: the high cost of Article Processing Charges (APCs) and the linguistic tax of translating complex local findings into the rigid, often exclusionary, syntax of</w:t>
      </w:r>
      <w:r>
        <w:t xml:space="preserve"> </w:t>
      </w:r>
      <w:r>
        <w:t xml:space="preserve">“</w:t>
      </w:r>
      <w:r>
        <w:t xml:space="preserve">standard academic English.</w:t>
      </w:r>
      <w:r>
        <w:t xml:space="preserve">”</w:t>
      </w:r>
      <w:r>
        <w:t xml:space="preserve"> </w:t>
      </w:r>
      <w:r>
        <w:t xml:space="preserve">Khatri, Endalamaw et al. (Khatri et al., 2025) provide compelling evidence of these struggles in the context of health research in Ethiopia, illustrating how valuable local data often fails to reach global discourse due to structural writing barriers.</w:t>
      </w:r>
    </w:p>
    <w:p>
      <w:pPr>
        <w:pStyle w:val="BodyText"/>
      </w:pPr>
      <w:r>
        <w:t xml:space="preserve">Into this disparities landscape enters Generative AI. Tools powered by LLMs have demonstrated capabilities that extend far beyond simple grammar correction. As noted by Zhang (Zhang, 2025), modern AI models can assist in ideation, structural organization, and the synthesis of complex literature. However, the integration of these tools into the academic workflow is currently haphazard, ethically ambiguous, and unevenly distributed. There is a palpable tension between the potential for AI to democratize research and the fear that it will dilute academic rigor or exacerbate the</w:t>
      </w:r>
      <w:r>
        <w:t xml:space="preserve"> </w:t>
      </w:r>
      <w:r>
        <w:t xml:space="preserve">“</w:t>
      </w:r>
      <w:r>
        <w:t xml:space="preserve">paper mill</w:t>
      </w:r>
      <w:r>
        <w:t xml:space="preserve">”</w:t>
      </w:r>
      <w:r>
        <w:t xml:space="preserve"> </w:t>
      </w:r>
      <w:r>
        <w:t xml:space="preserve">crisis.</w:t>
      </w:r>
    </w:p>
    <w:p>
      <w:pPr>
        <w:pStyle w:val="BodyText"/>
      </w:pPr>
      <w:r>
        <w:t xml:space="preserve">This thesis introduces</w:t>
      </w:r>
      <w:r>
        <w:t xml:space="preserve"> </w:t>
      </w:r>
      <w:r>
        <w:t xml:space="preserve">“</w:t>
      </w:r>
      <w:r>
        <w:t xml:space="preserve">OpenDraft</w:t>
      </w:r>
      <w:r>
        <w:t xml:space="preserve">”</w:t>
      </w:r>
      <w:r>
        <w:t xml:space="preserve"> </w:t>
      </w:r>
      <w:r>
        <w:t xml:space="preserve">as a formalized framework—a socio-technical intervention designed to standardize the use of AI in the drafting phase of research. By establishing clear protocols for AI-assisted writing, referencing, and structuring, OpenDraft aims to validate the hypothesis that technology can serve as a bridge for cognitive equity. This aligns with the broader calls for</w:t>
      </w:r>
      <w:r>
        <w:t xml:space="preserve"> </w:t>
      </w:r>
      <w:r>
        <w:t xml:space="preserve">“</w:t>
      </w:r>
      <w:r>
        <w:t xml:space="preserve">Citation Equity</w:t>
      </w:r>
      <w:r>
        <w:t xml:space="preserve">”</w:t>
      </w:r>
      <w:r>
        <w:t xml:space="preserve"> </w:t>
      </w:r>
      <w:r>
        <w:t xml:space="preserve">discussed by various scholars, suggesting that we must move beyond merely counting citations to understanding who is allowed to participate in the citation network in the first place.</w:t>
      </w:r>
    </w:p>
    <w:bookmarkStart w:id="21" w:name="the-evolution-of-academic-publishing"/>
    <w:p>
      <w:pPr>
        <w:pStyle w:val="Heading3"/>
      </w:pPr>
      <w:r>
        <w:t xml:space="preserve">1.1.1 The Evolution of Academic Publishing</w:t>
      </w:r>
    </w:p>
    <w:p>
      <w:pPr>
        <w:pStyle w:val="FirstParagraph"/>
      </w:pPr>
      <w:r>
        <w:t xml:space="preserve">The trajectory of academic publishing has historically been one of slow adaptation. From the dominance of print journals in the 20th century to the digitization of the early 2000s, the core mechanic of peer review and manuscript preparation has remained largely unchanged. Mounce (Mounce, 2011) argued over a decade ago for the necessity of open standards in science, yet the</w:t>
      </w:r>
      <w:r>
        <w:t xml:space="preserve"> </w:t>
      </w:r>
      <w:r>
        <w:rPr>
          <w:iCs/>
          <w:i/>
        </w:rPr>
        <w:t xml:space="preserve">process</w:t>
      </w:r>
      <w:r>
        <w:t xml:space="preserve"> </w:t>
      </w:r>
      <w:r>
        <w:t xml:space="preserve">of generating the manuscript remains an artisanal, solitary endeavor. This traditional model inherently favors those with the cultural capital and training to navigate the unwritten rules of academic prose.</w:t>
      </w:r>
    </w:p>
    <w:p>
      <w:pPr>
        <w:pStyle w:val="BodyText"/>
      </w:pPr>
      <w:r>
        <w:t xml:space="preserve">The</w:t>
      </w:r>
      <w:r>
        <w:t xml:space="preserve"> </w:t>
      </w:r>
      <w:r>
        <w:t xml:space="preserve">“</w:t>
      </w:r>
      <w:r>
        <w:t xml:space="preserve">publish or perish</w:t>
      </w:r>
      <w:r>
        <w:t xml:space="preserve">”</w:t>
      </w:r>
      <w:r>
        <w:t xml:space="preserve"> </w:t>
      </w:r>
      <w:r>
        <w:t xml:space="preserve">culture has further intensified the pressure, creating an environment where speed and volume often compete with quality. In this high-pressure environment, the efficiency gains promised by AI are seductive. However, without a framework like OpenDraft, the adoption of AI threatens to be chaotic. We are already witnessing a surge in AI-generated content that lacks methodological grounding. The challenge, therefore, is to harness the generative capabilities identified by researchers like Thomas and Bhosale (Thomas et al., 2023) within a structure that ensures integrity.</w:t>
      </w:r>
    </w:p>
    <w:bookmarkEnd w:id="21"/>
    <w:bookmarkStart w:id="22" w:name="X1ce2f6733b844f5a48e76b1c92e3a41cbc4131f"/>
    <w:p>
      <w:pPr>
        <w:pStyle w:val="Heading3"/>
      </w:pPr>
      <w:r>
        <w:t xml:space="preserve">1.1.2 The Emergence of Generative AI in Research</w:t>
      </w:r>
    </w:p>
    <w:p>
      <w:pPr>
        <w:pStyle w:val="FirstParagraph"/>
      </w:pPr>
      <w:r>
        <w:t xml:space="preserve">The release of advanced LLMs has acted as a catalyst for reimagining research workflows. Unlike previous technological shifts, such as the move from typewriters to word processors, GenAI introduces an agentic element to the writing process. Novikov, V˜u et al. (Novikov et al., 2025) demonstrate that these systems can perform complex reasoning tasks, albeit with limitations regarding hallucination and accuracy.</w:t>
      </w:r>
    </w:p>
    <w:p>
      <w:pPr>
        <w:pStyle w:val="BodyText"/>
      </w:pPr>
      <w:r>
        <w:t xml:space="preserve">The application of these tools in healthcare and specialized sciences, as reviewed by Melketo et al. (Melketo et al., 2023), suggests that AI is already functioning as a co-pilot in data analysis and hypothesis generation. The logical next step is the formalization of this partnership in the writing phase. If an AI can help a researcher in Jakarta or Nairobi articulate their findings with the same rhetorical flourish as a researcher in Oxford, the focus of peer review can shift back to the methodology and the data, rather than the grammar. This is the core promise of the OpenDraft initiative.</w:t>
      </w:r>
    </w:p>
    <w:bookmarkEnd w:id="22"/>
    <w:bookmarkEnd w:id="23"/>
    <w:bookmarkStart w:id="24" w:name="problem-statement"/>
    <w:p>
      <w:pPr>
        <w:pStyle w:val="Heading2"/>
      </w:pPr>
      <w:r>
        <w:t xml:space="preserve">1.2 Problem Statement</w:t>
      </w:r>
    </w:p>
    <w:p>
      <w:pPr>
        <w:pStyle w:val="FirstParagraph"/>
      </w:pPr>
      <w:r>
        <w:t xml:space="preserve">Despite the theoretical promise of Open Science, the academic publishing ecosystem remains characterized by profound structural inequalities that silence voices from the Global South and under-resourced institutions. This thesis identifies three intersecting problems that constitute a crisis of representation in scientific literature: the Linguistic Barrier, the Resource Asymmetry, and the undefined Ethics of AI adoption.</w:t>
      </w:r>
    </w:p>
    <w:p>
      <w:pPr>
        <w:pStyle w:val="BodyText"/>
      </w:pPr>
      <w:r>
        <w:rPr>
          <w:bCs/>
          <w:b/>
        </w:rPr>
        <w:t xml:space="preserve">1. The Linguistic Barrier as a Gatekeeper</w:t>
      </w:r>
      <w:r>
        <w:t xml:space="preserve"> </w:t>
      </w:r>
      <w:r>
        <w:t xml:space="preserve">English has established itself as the</w:t>
      </w:r>
      <w:r>
        <w:t xml:space="preserve"> </w:t>
      </w:r>
      <w:r>
        <w:rPr>
          <w:iCs/>
          <w:i/>
        </w:rPr>
        <w:t xml:space="preserve">lingua franca</w:t>
      </w:r>
      <w:r>
        <w:t xml:space="preserve"> </w:t>
      </w:r>
      <w:r>
        <w:t xml:space="preserve">of science, a phenomenon that facilitates global communication but simultaneously disenfranchises non-native speakers. The cognitive load required to write in a second language significantly slows down research production for non-native English speakers. Furthermore, peer review often conflates linguistic fluency with scientific rigor. Valuable research is frequently rejected or relegated to lower-tier journals simply because the prose does not meet the</w:t>
      </w:r>
      <w:r>
        <w:t xml:space="preserve"> </w:t>
      </w:r>
      <w:r>
        <w:t xml:space="preserve">“</w:t>
      </w:r>
      <w:r>
        <w:t xml:space="preserve">native standard.</w:t>
      </w:r>
      <w:r>
        <w:t xml:space="preserve">”</w:t>
      </w:r>
      <w:r>
        <w:t xml:space="preserve"> </w:t>
      </w:r>
      <w:r>
        <w:t xml:space="preserve">This results in a significant loss of global knowledge, particularly in context-specific fields like public health and environmental science.</w:t>
      </w:r>
    </w:p>
    <w:p>
      <w:pPr>
        <w:pStyle w:val="BodyText"/>
      </w:pPr>
      <w:r>
        <w:rPr>
          <w:bCs/>
          <w:b/>
        </w:rPr>
        <w:t xml:space="preserve">2. Resource Asymmetry and the</w:t>
      </w:r>
      <w:r>
        <w:rPr>
          <w:bCs/>
          <w:b/>
        </w:rPr>
        <w:t xml:space="preserve"> </w:t>
      </w:r>
      <w:r>
        <w:rPr>
          <w:bCs/>
          <w:b/>
        </w:rPr>
        <w:t xml:space="preserve">“</w:t>
      </w:r>
      <w:r>
        <w:rPr>
          <w:bCs/>
          <w:b/>
        </w:rPr>
        <w:t xml:space="preserve">Matthews Effect</w:t>
      </w:r>
      <w:r>
        <w:rPr>
          <w:bCs/>
          <w:b/>
        </w:rPr>
        <w:t xml:space="preserve">”</w:t>
      </w:r>
      <w:r>
        <w:t xml:space="preserve"> </w:t>
      </w:r>
      <w:r>
        <w:t xml:space="preserve">The</w:t>
      </w:r>
      <w:r>
        <w:t xml:space="preserve"> </w:t>
      </w:r>
      <w:r>
        <w:t xml:space="preserve">“</w:t>
      </w:r>
      <w:r>
        <w:t xml:space="preserve">Matthews Effect</w:t>
      </w:r>
      <w:r>
        <w:t xml:space="preserve">”</w:t>
      </w:r>
      <w:r>
        <w:t xml:space="preserve"> </w:t>
      </w:r>
      <w:r>
        <w:t xml:space="preserve">in science—where the</w:t>
      </w:r>
      <w:r>
        <w:t xml:space="preserve"> </w:t>
      </w:r>
      <w:r>
        <w:t xml:space="preserve">“</w:t>
      </w:r>
      <w:r>
        <w:t xml:space="preserve">rich get richer</w:t>
      </w:r>
      <w:r>
        <w:t xml:space="preserve">”</w:t>
      </w:r>
      <w:r>
        <w:t xml:space="preserve">—is exacerbated by the current publishing models. High-impact journals often require high Article Processing Charges (APCs), effectively barring researchers from low-income countries. While waivers exist, the administrative burden to access them is high. Moreover, the cost of professional editing services, which could mitigate the linguistic barrier, is prohibitive for many. As indicated by the Brookings Institution (Brookings Institution, 2024), economic disparities directly translate into information disparities. Without a low-cost, high-quality alternative to professional editing and structuring—such as the proposed OpenDraft model—these disparities will widen.</w:t>
      </w:r>
    </w:p>
    <w:p>
      <w:pPr>
        <w:pStyle w:val="BodyText"/>
      </w:pPr>
      <w:r>
        <w:rPr>
          <w:bCs/>
          <w:b/>
        </w:rPr>
        <w:t xml:space="preserve">3. The Ethical Vacuum of AI Integration</w:t>
      </w:r>
      <w:r>
        <w:t xml:space="preserve"> </w:t>
      </w:r>
      <w:r>
        <w:t xml:space="preserve">While researchers are increasingly using AI to overcome the aforementioned barriers, they often do so clandestinely. There is a lack of standardized protocols for declaring AI assistance, leading to a</w:t>
      </w:r>
      <w:r>
        <w:t xml:space="preserve"> </w:t>
      </w:r>
      <w:r>
        <w:t xml:space="preserve">“</w:t>
      </w:r>
      <w:r>
        <w:t xml:space="preserve">shadow economy</w:t>
      </w:r>
      <w:r>
        <w:t xml:space="preserve">”</w:t>
      </w:r>
      <w:r>
        <w:t xml:space="preserve"> </w:t>
      </w:r>
      <w:r>
        <w:t xml:space="preserve">of AI-written papers. This opacity undermines trust in the scientific record. Furthermore, as noted by Aucouturier and Grinbaum (Aucouturier &amp; Grinbaum, 2025), the uncritical adoption of AI raises philosophical questions about authorship and accountability. The problem is not the use of AI</w:t>
      </w:r>
      <w:r>
        <w:t xml:space="preserve"> </w:t>
      </w:r>
      <w:r>
        <w:rPr>
          <w:iCs/>
          <w:i/>
        </w:rPr>
        <w:t xml:space="preserve">per se</w:t>
      </w:r>
      <w:r>
        <w:t xml:space="preserve">, but the absence of a transparent, equitable framework for its use. Current guidelines are often restrictive rather than enabling, treating AI as a threat to be contained rather than a tool to be leveraged for equity.</w:t>
      </w:r>
    </w:p>
    <w:p>
      <w:pPr>
        <w:pStyle w:val="BodyText"/>
      </w:pPr>
      <w:r>
        <w:t xml:space="preserve">Therefore, the central problem this thesis addresses is the lack of a standardized, ethically grounded, and technically feasible framework for using Generative AI to democratize academic writing. Without such a framework (OpenDraft), the potential of AI to</w:t>
      </w:r>
      <w:r>
        <w:t xml:space="preserve"> </w:t>
      </w:r>
      <w:r>
        <w:t xml:space="preserve">“</w:t>
      </w:r>
      <w:r>
        <w:t xml:space="preserve">save the world</w:t>
      </w:r>
      <w:r>
        <w:t xml:space="preserve">”</w:t>
      </w:r>
      <w:r>
        <w:t xml:space="preserve"> </w:t>
      </w:r>
      <w:r>
        <w:t xml:space="preserve">by unlocking global problem-solving capacity remains theoretical and unrealized.</w:t>
      </w:r>
    </w:p>
    <w:bookmarkEnd w:id="24"/>
    <w:bookmarkStart w:id="27" w:name="research-objectives-and-questions"/>
    <w:p>
      <w:pPr>
        <w:pStyle w:val="Heading2"/>
      </w:pPr>
      <w:r>
        <w:t xml:space="preserve">1.3 Research Objectives and Questions</w:t>
      </w:r>
    </w:p>
    <w:p>
      <w:pPr>
        <w:pStyle w:val="FirstParagraph"/>
      </w:pPr>
      <w:r>
        <w:t xml:space="preserve">The primary objective of this research is to design, evaluate, and propose</w:t>
      </w:r>
      <w:r>
        <w:t xml:space="preserve"> </w:t>
      </w:r>
      <w:r>
        <w:t xml:space="preserve">“</w:t>
      </w:r>
      <w:r>
        <w:t xml:space="preserve">OpenDraft</w:t>
      </w:r>
      <w:r>
        <w:t xml:space="preserve">”</w:t>
      </w:r>
      <w:r>
        <w:t xml:space="preserve">—a structured framework for AI-augmented academic writing that promotes equity and transparency.</w:t>
      </w:r>
    </w:p>
    <w:bookmarkStart w:id="25" w:name="primary-objectives"/>
    <w:p>
      <w:pPr>
        <w:pStyle w:val="Heading3"/>
      </w:pPr>
      <w:r>
        <w:t xml:space="preserve">1.3.1 Primary Objectives</w:t>
      </w:r>
    </w:p>
    <w:p>
      <w:pPr>
        <w:numPr>
          <w:ilvl w:val="0"/>
          <w:numId w:val="1001"/>
        </w:numPr>
        <w:pStyle w:val="Compact"/>
      </w:pPr>
      <w:r>
        <w:t xml:space="preserve">To analyze the extent of the</w:t>
      </w:r>
      <w:r>
        <w:t xml:space="preserve"> </w:t>
      </w:r>
      <w:r>
        <w:t xml:space="preserve">“</w:t>
      </w:r>
      <w:r>
        <w:t xml:space="preserve">participation gap</w:t>
      </w:r>
      <w:r>
        <w:t xml:space="preserve">”</w:t>
      </w:r>
      <w:r>
        <w:t xml:space="preserve"> </w:t>
      </w:r>
      <w:r>
        <w:t xml:space="preserve">in current academic publishing, specifically regarding linguistic and geographic factors.</w:t>
      </w:r>
    </w:p>
    <w:p>
      <w:pPr>
        <w:numPr>
          <w:ilvl w:val="0"/>
          <w:numId w:val="1001"/>
        </w:numPr>
        <w:pStyle w:val="Compact"/>
      </w:pPr>
      <w:r>
        <w:t xml:space="preserve">To evaluate the technical capabilities of current Large Language Models in performing high-level academic writing tasks (structuring, synthesizing, and editing) as distinct from content generation.</w:t>
      </w:r>
    </w:p>
    <w:p>
      <w:pPr>
        <w:numPr>
          <w:ilvl w:val="0"/>
          <w:numId w:val="1001"/>
        </w:numPr>
        <w:pStyle w:val="Compact"/>
      </w:pPr>
      <w:r>
        <w:t xml:space="preserve">To develop the</w:t>
      </w:r>
      <w:r>
        <w:t xml:space="preserve"> </w:t>
      </w:r>
      <w:r>
        <w:t xml:space="preserve">“</w:t>
      </w:r>
      <w:r>
        <w:t xml:space="preserve">OpenDraft</w:t>
      </w:r>
      <w:r>
        <w:t xml:space="preserve">”</w:t>
      </w:r>
      <w:r>
        <w:t xml:space="preserve"> </w:t>
      </w:r>
      <w:r>
        <w:t xml:space="preserve">protocol: a set of guidelines and prompt engineering strategies that allow researchers to use AI to format and articulate their original ideas without compromising academic integrity.</w:t>
      </w:r>
    </w:p>
    <w:p>
      <w:pPr>
        <w:numPr>
          <w:ilvl w:val="0"/>
          <w:numId w:val="1001"/>
        </w:numPr>
        <w:pStyle w:val="Compact"/>
      </w:pPr>
      <w:r>
        <w:t xml:space="preserve">To assess the ethical implications of this model, particularly concerning authorship attribution and the potential for bias amplification.</w:t>
      </w:r>
    </w:p>
    <w:bookmarkEnd w:id="25"/>
    <w:bookmarkStart w:id="26" w:name="research-questions"/>
    <w:p>
      <w:pPr>
        <w:pStyle w:val="Heading3"/>
      </w:pPr>
      <w:r>
        <w:t xml:space="preserve">1.3.2 Research Questions</w:t>
      </w:r>
    </w:p>
    <w:p>
      <w:pPr>
        <w:pStyle w:val="FirstParagraph"/>
      </w:pPr>
      <w:r>
        <w:t xml:space="preserve">To achieve these objectives, this thesis poses the following research questions:</w:t>
      </w:r>
    </w:p>
    <w:p>
      <w:pPr>
        <w:numPr>
          <w:ilvl w:val="0"/>
          <w:numId w:val="1002"/>
        </w:numPr>
        <w:pStyle w:val="Compact"/>
      </w:pPr>
      <w:r>
        <w:rPr>
          <w:bCs/>
          <w:b/>
        </w:rPr>
        <w:t xml:space="preserve">RQ1 (Diagnostic):</w:t>
      </w:r>
      <w:r>
        <w:t xml:space="preserve"> </w:t>
      </w:r>
      <w:r>
        <w:t xml:space="preserve">What are the primary structural barriers preventing researchers in the Global South from publishing in high-impact journals, and how do linguistic factors rank among them?</w:t>
      </w:r>
    </w:p>
    <w:p>
      <w:pPr>
        <w:numPr>
          <w:ilvl w:val="0"/>
          <w:numId w:val="1002"/>
        </w:numPr>
        <w:pStyle w:val="Compact"/>
      </w:pPr>
      <w:r>
        <w:rPr>
          <w:bCs/>
          <w:b/>
        </w:rPr>
        <w:t xml:space="preserve">RQ2 (Technical):</w:t>
      </w:r>
      <w:r>
        <w:t xml:space="preserve"> </w:t>
      </w:r>
      <w:r>
        <w:t xml:space="preserve">To what extent can current Generative AI tools (as identified in (Zhang, 2025) and (Novikov et al., 2025)) accurately restructure and refine raw research notes into submission-ready manuscripts without introducing hallucinations?</w:t>
      </w:r>
    </w:p>
    <w:p>
      <w:pPr>
        <w:numPr>
          <w:ilvl w:val="0"/>
          <w:numId w:val="1002"/>
        </w:numPr>
        <w:pStyle w:val="Compact"/>
      </w:pPr>
      <w:r>
        <w:rPr>
          <w:bCs/>
          <w:b/>
        </w:rPr>
        <w:t xml:space="preserve">RQ3 (Prescriptive):</w:t>
      </w:r>
      <w:r>
        <w:t xml:space="preserve"> </w:t>
      </w:r>
      <w:r>
        <w:t xml:space="preserve">How can an</w:t>
      </w:r>
      <w:r>
        <w:t xml:space="preserve"> </w:t>
      </w:r>
      <w:r>
        <w:t xml:space="preserve">“</w:t>
      </w:r>
      <w:r>
        <w:t xml:space="preserve">OpenDraft</w:t>
      </w:r>
      <w:r>
        <w:t xml:space="preserve">”</w:t>
      </w:r>
      <w:r>
        <w:t xml:space="preserve"> </w:t>
      </w:r>
      <w:r>
        <w:t xml:space="preserve">framework be designed to ensure that AI serves as a facilitator of the author’s voice rather than a replacement for it?</w:t>
      </w:r>
    </w:p>
    <w:p>
      <w:pPr>
        <w:numPr>
          <w:ilvl w:val="0"/>
          <w:numId w:val="1002"/>
        </w:numPr>
        <w:pStyle w:val="Compact"/>
      </w:pPr>
      <w:r>
        <w:rPr>
          <w:bCs/>
          <w:b/>
        </w:rPr>
        <w:t xml:space="preserve">RQ4 (Ethical):</w:t>
      </w:r>
      <w:r>
        <w:t xml:space="preserve"> </w:t>
      </w:r>
      <w:r>
        <w:t xml:space="preserve">What are the risks of homogenizing scientific discourse through AI, and how can the OpenDraft model mitigate these risks to preserve cognitive diversity?</w:t>
      </w:r>
    </w:p>
    <w:bookmarkEnd w:id="26"/>
    <w:bookmarkEnd w:id="27"/>
    <w:bookmarkStart w:id="28" w:name="significance-of-the-study"/>
    <w:p>
      <w:pPr>
        <w:pStyle w:val="Heading2"/>
      </w:pPr>
      <w:r>
        <w:t xml:space="preserve">1.4 Significance of the Study</w:t>
      </w:r>
    </w:p>
    <w:p>
      <w:pPr>
        <w:pStyle w:val="FirstParagraph"/>
      </w:pPr>
      <w:r>
        <w:t xml:space="preserve">This study is timely and significant for several key stakeholders in the global knowledge economy: researchers, publishers, policymakers, and technology developers.</w:t>
      </w:r>
    </w:p>
    <w:p>
      <w:pPr>
        <w:pStyle w:val="BodyText"/>
      </w:pPr>
      <w:r>
        <w:rPr>
          <w:bCs/>
          <w:b/>
        </w:rPr>
        <w:t xml:space="preserve">For the Global Scientific Community:</w:t>
      </w:r>
      <w:r>
        <w:t xml:space="preserve"> </w:t>
      </w:r>
      <w:r>
        <w:t xml:space="preserve">By validating a model that lowers the barrier to entry for publishing, this research contributes to a more inclusive scientific record. As indicated by Forouzanfar et al. (Forouzanfar et al., 2016), global health challenges require global data. If researchers in affected regions cannot publish their findings due to language barriers, the global response to crises is compromised. OpenDraft aims to unlock this</w:t>
      </w:r>
      <w:r>
        <w:t xml:space="preserve"> </w:t>
      </w:r>
      <w:r>
        <w:t xml:space="preserve">“</w:t>
      </w:r>
      <w:r>
        <w:t xml:space="preserve">trapped</w:t>
      </w:r>
      <w:r>
        <w:t xml:space="preserve">”</w:t>
      </w:r>
      <w:r>
        <w:t xml:space="preserve"> </w:t>
      </w:r>
      <w:r>
        <w:t xml:space="preserve">knowledge.</w:t>
      </w:r>
    </w:p>
    <w:p>
      <w:pPr>
        <w:pStyle w:val="BodyText"/>
      </w:pPr>
      <w:r>
        <w:rPr>
          <w:bCs/>
          <w:b/>
        </w:rPr>
        <w:t xml:space="preserve">For Academic Publishers and Policymakers:</w:t>
      </w:r>
      <w:r>
        <w:t xml:space="preserve"> </w:t>
      </w:r>
      <w:r>
        <w:t xml:space="preserve">The publishing industry is currently grappling with how to regulate AI. This thesis provides an evidence-based framework that moves beyond simple bans. It offers a roadmap for</w:t>
      </w:r>
      <w:r>
        <w:t xml:space="preserve"> </w:t>
      </w:r>
      <w:r>
        <w:t xml:space="preserve">“</w:t>
      </w:r>
      <w:r>
        <w:t xml:space="preserve">AI-Assisted</w:t>
      </w:r>
      <w:r>
        <w:t xml:space="preserve">”</w:t>
      </w:r>
      <w:r>
        <w:t xml:space="preserve"> </w:t>
      </w:r>
      <w:r>
        <w:t xml:space="preserve">designations that could become a standard metadata field in bibliographic databases. The insights align with the goals of organizations like UNESCO (UNESCO, 2025) to foster open science infrastructures.</w:t>
      </w:r>
    </w:p>
    <w:p>
      <w:pPr>
        <w:pStyle w:val="BodyText"/>
      </w:pPr>
      <w:r>
        <w:rPr>
          <w:bCs/>
          <w:b/>
        </w:rPr>
        <w:t xml:space="preserve">For Technology Developers:</w:t>
      </w:r>
      <w:r>
        <w:t xml:space="preserve"> </w:t>
      </w:r>
      <w:r>
        <w:t xml:space="preserve">By analyzing the specific shortcomings of generic LLMs in academic contexts (e.g., citation hallucinations, lack of nuance), this study provides feedback for the development of specialized</w:t>
      </w:r>
      <w:r>
        <w:t xml:space="preserve"> </w:t>
      </w:r>
      <w:r>
        <w:t xml:space="preserve">“</w:t>
      </w:r>
      <w:r>
        <w:t xml:space="preserve">Science-LM</w:t>
      </w:r>
      <w:r>
        <w:t xml:space="preserve">”</w:t>
      </w:r>
      <w:r>
        <w:t xml:space="preserve"> </w:t>
      </w:r>
      <w:r>
        <w:t xml:space="preserve">tools. It pushes the conversation from</w:t>
      </w:r>
      <w:r>
        <w:t xml:space="preserve"> </w:t>
      </w:r>
      <w:r>
        <w:t xml:space="preserve">“</w:t>
      </w:r>
      <w:r>
        <w:t xml:space="preserve">chatbots</w:t>
      </w:r>
      <w:r>
        <w:t xml:space="preserve">”</w:t>
      </w:r>
      <w:r>
        <w:t xml:space="preserve"> </w:t>
      </w:r>
      <w:r>
        <w:t xml:space="preserve">to</w:t>
      </w:r>
      <w:r>
        <w:t xml:space="preserve"> </w:t>
      </w:r>
      <w:r>
        <w:t xml:space="preserve">“</w:t>
      </w:r>
      <w:r>
        <w:t xml:space="preserve">research assistants.</w:t>
      </w:r>
      <w:r>
        <w:t xml:space="preserve">”</w:t>
      </w:r>
    </w:p>
    <w:p>
      <w:pPr>
        <w:pStyle w:val="BodyText"/>
      </w:pPr>
      <w:r>
        <w:rPr>
          <w:bCs/>
          <w:b/>
        </w:rPr>
        <w:t xml:space="preserve">Economic and Social Impact:</w:t>
      </w:r>
      <w:r>
        <w:t xml:space="preserve"> </w:t>
      </w:r>
      <w:r>
        <w:t xml:space="preserve">Democratizing the ability to write grants and papers has direct economic implications. It allows institutions in developing economies to compete for international funding on the merit of their ideas. Furthermore, as highlighted by the Deloitte report (Deloitte, 2024), the integration of AI in knowledge work is inevitable; this thesis seeks to steer that integration toward equitable outcomes rather than efficiency for the privileged few.</w:t>
      </w:r>
    </w:p>
    <w:bookmarkEnd w:id="28"/>
    <w:bookmarkStart w:id="32" w:name="theoretical-framework"/>
    <w:p>
      <w:pPr>
        <w:pStyle w:val="Heading2"/>
      </w:pPr>
      <w:r>
        <w:t xml:space="preserve">1.5 Theoretical Framework</w:t>
      </w:r>
    </w:p>
    <w:p>
      <w:pPr>
        <w:pStyle w:val="FirstParagraph"/>
      </w:pPr>
      <w:r>
        <w:t xml:space="preserve">This thesis operates at the intersection of</w:t>
      </w:r>
      <w:r>
        <w:t xml:space="preserve"> </w:t>
      </w:r>
      <w:r>
        <w:rPr>
          <w:bCs/>
          <w:b/>
        </w:rPr>
        <w:t xml:space="preserve">Critical Information Theory</w:t>
      </w:r>
      <w:r>
        <w:t xml:space="preserve">,</w:t>
      </w:r>
      <w:r>
        <w:t xml:space="preserve"> </w:t>
      </w:r>
      <w:r>
        <w:rPr>
          <w:bCs/>
          <w:b/>
        </w:rPr>
        <w:t xml:space="preserve">Democratization Theory</w:t>
      </w:r>
      <w:r>
        <w:t xml:space="preserve">, and the</w:t>
      </w:r>
      <w:r>
        <w:t xml:space="preserve"> </w:t>
      </w:r>
      <w:r>
        <w:rPr>
          <w:bCs/>
          <w:b/>
        </w:rPr>
        <w:t xml:space="preserve">Technology Acceptance Model (TAM)</w:t>
      </w:r>
      <w:r>
        <w:t xml:space="preserve">.</w:t>
      </w:r>
    </w:p>
    <w:bookmarkStart w:id="29" w:name="democratization-of-science"/>
    <w:p>
      <w:pPr>
        <w:pStyle w:val="Heading3"/>
      </w:pPr>
      <w:r>
        <w:t xml:space="preserve">1.5.1 Democratization of Science</w:t>
      </w:r>
    </w:p>
    <w:p>
      <w:pPr>
        <w:pStyle w:val="FirstParagraph"/>
      </w:pPr>
      <w:r>
        <w:t xml:space="preserve">The core theoretical underpinning is the concept of</w:t>
      </w:r>
      <w:r>
        <w:t xml:space="preserve"> </w:t>
      </w:r>
      <w:r>
        <w:t xml:space="preserve">“</w:t>
      </w:r>
      <w:r>
        <w:t xml:space="preserve">epistemic justice.</w:t>
      </w:r>
      <w:r>
        <w:t xml:space="preserve">”</w:t>
      </w:r>
      <w:r>
        <w:t xml:space="preserve"> </w:t>
      </w:r>
      <w:r>
        <w:t xml:space="preserve">This framework argues that knowledge production is currently unjust because it excludes certain knowers based on identity and geography. The</w:t>
      </w:r>
      <w:r>
        <w:t xml:space="preserve"> </w:t>
      </w:r>
      <w:r>
        <w:t xml:space="preserve">“</w:t>
      </w:r>
      <w:r>
        <w:t xml:space="preserve">OpenDraft</w:t>
      </w:r>
      <w:r>
        <w:t xml:space="preserve">”</w:t>
      </w:r>
      <w:r>
        <w:t xml:space="preserve"> </w:t>
      </w:r>
      <w:r>
        <w:t xml:space="preserve">model is positioned as a tool for</w:t>
      </w:r>
      <w:r>
        <w:t xml:space="preserve"> </w:t>
      </w:r>
      <w:r>
        <w:t xml:space="preserve">“</w:t>
      </w:r>
      <w:r>
        <w:t xml:space="preserve">distributive epistemic justice,</w:t>
      </w:r>
      <w:r>
        <w:t xml:space="preserve">”</w:t>
      </w:r>
      <w:r>
        <w:t xml:space="preserve"> </w:t>
      </w:r>
      <w:r>
        <w:t xml:space="preserve">ensuring that the means of knowledge production are accessible to all. This aligns with the work of scholars who critique the neocolonial structures of academia.</w:t>
      </w:r>
    </w:p>
    <w:bookmarkEnd w:id="29"/>
    <w:bookmarkStart w:id="30" w:name="Xc08a05414973b14cc4867ce0ffc2215946a60e8"/>
    <w:p>
      <w:pPr>
        <w:pStyle w:val="Heading3"/>
      </w:pPr>
      <w:r>
        <w:t xml:space="preserve">1.5.2 Technology Acceptance in Academic Contexts</w:t>
      </w:r>
    </w:p>
    <w:p>
      <w:pPr>
        <w:pStyle w:val="FirstParagraph"/>
      </w:pPr>
      <w:r>
        <w:t xml:space="preserve">To understand how OpenDraft might be adopted, we utilize an adapted version of the Technology Acceptance Model (TAM). In this context, the</w:t>
      </w:r>
      <w:r>
        <w:t xml:space="preserve"> </w:t>
      </w:r>
      <w:r>
        <w:t xml:space="preserve">“</w:t>
      </w:r>
      <w:r>
        <w:t xml:space="preserve">Perceived Usefulness</w:t>
      </w:r>
      <w:r>
        <w:t xml:space="preserve">”</w:t>
      </w:r>
      <w:r>
        <w:t xml:space="preserve"> </w:t>
      </w:r>
      <w:r>
        <w:t xml:space="preserve">is high (overcoming language barriers), but</w:t>
      </w:r>
      <w:r>
        <w:t xml:space="preserve"> </w:t>
      </w:r>
      <w:r>
        <w:t xml:space="preserve">“</w:t>
      </w:r>
      <w:r>
        <w:t xml:space="preserve">Perceived Ease of Use</w:t>
      </w:r>
      <w:r>
        <w:t xml:space="preserve">”</w:t>
      </w:r>
      <w:r>
        <w:t xml:space="preserve"> </w:t>
      </w:r>
      <w:r>
        <w:t xml:space="preserve">and</w:t>
      </w:r>
      <w:r>
        <w:t xml:space="preserve"> </w:t>
      </w:r>
      <w:r>
        <w:t xml:space="preserve">“</w:t>
      </w:r>
      <w:r>
        <w:t xml:space="preserve">Trust</w:t>
      </w:r>
      <w:r>
        <w:t xml:space="preserve">”</w:t>
      </w:r>
      <w:r>
        <w:t xml:space="preserve"> </w:t>
      </w:r>
      <w:r>
        <w:t xml:space="preserve">are variable. The thesis explores how the</w:t>
      </w:r>
      <w:r>
        <w:t xml:space="preserve"> </w:t>
      </w:r>
      <w:r>
        <w:t xml:space="preserve">“</w:t>
      </w:r>
      <w:r>
        <w:t xml:space="preserve">Black Box</w:t>
      </w:r>
      <w:r>
        <w:t xml:space="preserve">”</w:t>
      </w:r>
      <w:r>
        <w:t xml:space="preserve"> </w:t>
      </w:r>
      <w:r>
        <w:t xml:space="preserve">nature of AI, discussed by Romero (Romero, 2025), impacts researcher trust. We posit that a transparent protocol (OpenDraft) increases trust and therefore adoption.</w:t>
      </w:r>
    </w:p>
    <w:bookmarkEnd w:id="30"/>
    <w:bookmarkStart w:id="31" w:name="X93dd3d3c90688daeea95003288d028b3e54dba1"/>
    <w:p>
      <w:pPr>
        <w:pStyle w:val="Heading3"/>
      </w:pPr>
      <w:r>
        <w:t xml:space="preserve">1.5.3 The Human-in-the-Loop (HITL) Cybernetic Model</w:t>
      </w:r>
    </w:p>
    <w:p>
      <w:pPr>
        <w:pStyle w:val="FirstParagraph"/>
      </w:pPr>
      <w:r>
        <w:t xml:space="preserve">We refrain from viewing AI as an autonomous agent. Instead, we frame the researcher-AI relationship through a cybernetic lens, where the human provides the</w:t>
      </w:r>
      <w:r>
        <w:t xml:space="preserve"> </w:t>
      </w:r>
      <w:r>
        <w:t xml:space="preserve">“</w:t>
      </w:r>
      <w:r>
        <w:t xml:space="preserve">steering</w:t>
      </w:r>
      <w:r>
        <w:t xml:space="preserve">”</w:t>
      </w:r>
      <w:r>
        <w:t xml:space="preserve"> </w:t>
      </w:r>
      <w:r>
        <w:t xml:space="preserve">(hypothesis, data, logic) and the AI provides the</w:t>
      </w:r>
      <w:r>
        <w:t xml:space="preserve"> </w:t>
      </w:r>
      <w:r>
        <w:t xml:space="preserve">“</w:t>
      </w:r>
      <w:r>
        <w:t xml:space="preserve">energy</w:t>
      </w:r>
      <w:r>
        <w:t xml:space="preserve">”</w:t>
      </w:r>
      <w:r>
        <w:t xml:space="preserve"> </w:t>
      </w:r>
      <w:r>
        <w:t xml:space="preserve">(syntax, structure, formatting). This distinction is crucial for maintaining the definition of authorship.</w:t>
      </w:r>
    </w:p>
    <w:bookmarkEnd w:id="31"/>
    <w:bookmarkEnd w:id="32"/>
    <w:bookmarkStart w:id="33" w:name="the-opendraft-concept-an-overview"/>
    <w:p>
      <w:pPr>
        <w:pStyle w:val="Heading2"/>
      </w:pPr>
      <w:r>
        <w:t xml:space="preserve">1.6 The</w:t>
      </w:r>
      <w:r>
        <w:t xml:space="preserve"> </w:t>
      </w:r>
      <w:r>
        <w:t xml:space="preserve">“</w:t>
      </w:r>
      <w:r>
        <w:t xml:space="preserve">OpenDraft</w:t>
      </w:r>
      <w:r>
        <w:t xml:space="preserve">”</w:t>
      </w:r>
      <w:r>
        <w:t xml:space="preserve"> </w:t>
      </w:r>
      <w:r>
        <w:t xml:space="preserve">Concept: An Overview</w:t>
      </w:r>
    </w:p>
    <w:p>
      <w:pPr>
        <w:pStyle w:val="FirstParagraph"/>
      </w:pPr>
      <w:r>
        <w:t xml:space="preserve">“</w:t>
      </w:r>
      <w:r>
        <w:t xml:space="preserve">OpenDraft</w:t>
      </w:r>
      <w:r>
        <w:t xml:space="preserve">”</w:t>
      </w:r>
      <w:r>
        <w:t xml:space="preserve"> </w:t>
      </w:r>
      <w:r>
        <w:t xml:space="preserve">is not a software product, but a proposed standard operating procedure and philosophy for academic writing in the age of AI. It distinguishes itself from the unauthorized use of ChatGPT by enforcing specific constraints and transparency measures.</w:t>
      </w:r>
    </w:p>
    <w:p>
      <w:pPr>
        <w:pStyle w:val="BodyText"/>
      </w:pPr>
      <w:r>
        <w:t xml:space="preserve">The OpenDraft workflow consists of three distinct phases:</w:t>
      </w:r>
      <w:r>
        <w:t xml:space="preserve"> </w:t>
      </w:r>
      <w:r>
        <w:t xml:space="preserve">1.</w:t>
      </w:r>
      <w:r>
        <w:t xml:space="preserve"> </w:t>
      </w:r>
      <w:r>
        <w:rPr>
          <w:bCs/>
          <w:b/>
        </w:rPr>
        <w:t xml:space="preserve">Ideation and Structuring:</w:t>
      </w:r>
      <w:r>
        <w:t xml:space="preserve"> </w:t>
      </w:r>
      <w:r>
        <w:t xml:space="preserve">The author inputs raw data, hypotheses, and bullet points. The AI suggests a logical outline compliant with target journal standards.</w:t>
      </w:r>
      <w:r>
        <w:t xml:space="preserve"> </w:t>
      </w:r>
      <w:r>
        <w:t xml:space="preserve">2.</w:t>
      </w:r>
      <w:r>
        <w:t xml:space="preserve"> </w:t>
      </w:r>
      <w:r>
        <w:rPr>
          <w:bCs/>
          <w:b/>
        </w:rPr>
        <w:t xml:space="preserve">Drafting and Expansion:</w:t>
      </w:r>
      <w:r>
        <w:t xml:space="preserve"> </w:t>
      </w:r>
      <w:r>
        <w:t xml:space="preserve">The author provides detailed notes for each section. The AI converts these notes into academic prose. Crucially, the AI is instructed</w:t>
      </w:r>
      <w:r>
        <w:t xml:space="preserve"> </w:t>
      </w:r>
      <w:r>
        <w:rPr>
          <w:iCs/>
          <w:i/>
        </w:rPr>
        <w:t xml:space="preserve">not</w:t>
      </w:r>
      <w:r>
        <w:t xml:space="preserve"> </w:t>
      </w:r>
      <w:r>
        <w:t xml:space="preserve">to invent facts or citations.</w:t>
      </w:r>
      <w:r>
        <w:t xml:space="preserve"> </w:t>
      </w:r>
      <w:r>
        <w:t xml:space="preserve">3.</w:t>
      </w:r>
      <w:r>
        <w:t xml:space="preserve"> </w:t>
      </w:r>
      <w:r>
        <w:rPr>
          <w:bCs/>
          <w:b/>
        </w:rPr>
        <w:t xml:space="preserve">Verification and Refinement:</w:t>
      </w:r>
      <w:r>
        <w:t xml:space="preserve"> </w:t>
      </w:r>
      <w:r>
        <w:t xml:space="preserve">The author reviews the output, verifying every claim against their original data.</w:t>
      </w:r>
    </w:p>
    <w:p>
      <w:pPr>
        <w:pStyle w:val="BodyText"/>
      </w:pPr>
      <w:r>
        <w:t xml:space="preserve">Table 1 illustrates the fundamental differences between the traditional publishing model, the</w:t>
      </w:r>
      <w:r>
        <w:t xml:space="preserve"> </w:t>
      </w:r>
      <w:r>
        <w:t xml:space="preserve">“</w:t>
      </w:r>
      <w:r>
        <w:t xml:space="preserve">Shadow AI</w:t>
      </w:r>
      <w:r>
        <w:t xml:space="preserve">”</w:t>
      </w:r>
      <w:r>
        <w:t xml:space="preserve"> </w:t>
      </w:r>
      <w:r>
        <w:t xml:space="preserve">model (current covert use), and the proposed OpenDraft model.</w:t>
      </w:r>
    </w:p>
    <w:tbl>
      <w:tblPr>
        <w:tblStyle w:val="Table"/>
        <w:tblLayout w:type="autofit"/>
        <w:tblLook w:firstRow="1" w:lastRow="0" w:firstColumn="0" w:lastColumn="0" w:noHBand="0" w:noVBand="0" w:val="0020"/>
      </w:tblPr>
      <w:tblGrid>
        <w:gridCol w:w="1980"/>
        <w:gridCol w:w="1980"/>
        <w:gridCol w:w="1980"/>
        <w:gridCol w:w="1980"/>
      </w:tblGrid>
      <w:tr>
        <w:trPr>
          <w:tblHeader w:val="true"/>
        </w:trPr>
        <w:tc>
          <w:tcPr/>
          <w:p>
            <w:pPr>
              <w:pStyle w:val="Compact"/>
              <w:spacing w:before="20" w:after="20"/>
              <w:jc w:val="left"/>
            </w:pPr>
            <w:r>
              <w:rPr>
                <w:sz w:val="16"/>
              </w:rPr>
              <w:t xml:space="preserve">Feature</w:t>
            </w:r>
          </w:p>
        </w:tc>
        <w:tc>
          <w:tcPr/>
          <w:p>
            <w:pPr>
              <w:pStyle w:val="Compact"/>
              <w:spacing w:before="20" w:after="20"/>
              <w:jc w:val="left"/>
            </w:pPr>
            <w:r>
              <w:rPr>
                <w:sz w:val="16"/>
              </w:rPr>
              <w:t xml:space="preserve">Traditional Model</w:t>
            </w:r>
          </w:p>
        </w:tc>
        <w:tc>
          <w:tcPr/>
          <w:p>
            <w:pPr>
              <w:pStyle w:val="Compact"/>
              <w:spacing w:before="20" w:after="20"/>
              <w:jc w:val="left"/>
            </w:pPr>
            <w:r>
              <w:rPr>
                <w:sz w:val="16"/>
              </w:rPr>
              <w:t xml:space="preserve">Shadow AI Model (Current State)</w:t>
            </w:r>
          </w:p>
        </w:tc>
        <w:tc>
          <w:tcPr/>
          <w:p>
            <w:pPr>
              <w:pStyle w:val="Compact"/>
              <w:spacing w:before="20" w:after="20"/>
              <w:jc w:val="left"/>
            </w:pPr>
            <w:r>
              <w:rPr>
                <w:sz w:val="16"/>
              </w:rPr>
              <w:t xml:space="preserve">OpenDraft Model (Proposed)</w:t>
            </w:r>
          </w:p>
        </w:tc>
      </w:tr>
      <w:tr>
        <w:tc>
          <w:tcPr/>
          <w:p>
            <w:pPr>
              <w:pStyle w:val="Compact"/>
              <w:spacing w:before="20" w:after="20"/>
              <w:jc w:val="left"/>
            </w:pPr>
            <w:r>
              <w:rPr>
                <w:bCs/>
                <w:b/>
                <w:sz w:val="16"/>
              </w:rPr>
              <w:t xml:space="preserve">Primary Authoring Agent</w:t>
            </w:r>
          </w:p>
        </w:tc>
        <w:tc>
          <w:tcPr/>
          <w:p>
            <w:pPr>
              <w:pStyle w:val="Compact"/>
              <w:spacing w:before="20" w:after="20"/>
              <w:jc w:val="left"/>
            </w:pPr>
            <w:r>
              <w:rPr>
                <w:sz w:val="16"/>
              </w:rPr>
              <w:t xml:space="preserve">Human</w:t>
            </w:r>
          </w:p>
        </w:tc>
        <w:tc>
          <w:tcPr/>
          <w:p>
            <w:pPr>
              <w:pStyle w:val="Compact"/>
              <w:spacing w:before="20" w:after="20"/>
              <w:jc w:val="left"/>
            </w:pPr>
            <w:r>
              <w:rPr>
                <w:sz w:val="16"/>
              </w:rPr>
              <w:t xml:space="preserve">AI (often uncredited)</w:t>
            </w:r>
          </w:p>
        </w:tc>
        <w:tc>
          <w:tcPr/>
          <w:p>
            <w:pPr>
              <w:pStyle w:val="Compact"/>
              <w:spacing w:before="20" w:after="20"/>
              <w:jc w:val="left"/>
            </w:pPr>
            <w:r>
              <w:rPr>
                <w:sz w:val="16"/>
              </w:rPr>
              <w:t xml:space="preserve">Human-Directed AI</w:t>
            </w:r>
          </w:p>
        </w:tc>
      </w:tr>
      <w:tr>
        <w:tc>
          <w:tcPr/>
          <w:p>
            <w:pPr>
              <w:pStyle w:val="Compact"/>
              <w:spacing w:before="20" w:after="20"/>
              <w:jc w:val="left"/>
            </w:pPr>
            <w:r>
              <w:rPr>
                <w:bCs/>
                <w:b/>
                <w:sz w:val="16"/>
              </w:rPr>
              <w:t xml:space="preserve">Language Barrier</w:t>
            </w:r>
          </w:p>
        </w:tc>
        <w:tc>
          <w:tcPr/>
          <w:p>
            <w:pPr>
              <w:pStyle w:val="Compact"/>
              <w:spacing w:before="20" w:after="20"/>
              <w:jc w:val="left"/>
            </w:pPr>
            <w:r>
              <w:rPr>
                <w:sz w:val="16"/>
              </w:rPr>
              <w:t xml:space="preserve">High (Exclusionary)</w:t>
            </w:r>
          </w:p>
        </w:tc>
        <w:tc>
          <w:tcPr/>
          <w:p>
            <w:pPr>
              <w:pStyle w:val="Compact"/>
              <w:spacing w:before="20" w:after="20"/>
              <w:jc w:val="left"/>
            </w:pPr>
            <w:r>
              <w:rPr>
                <w:sz w:val="16"/>
              </w:rPr>
              <w:t xml:space="preserve">Low (but risky)</w:t>
            </w:r>
          </w:p>
        </w:tc>
        <w:tc>
          <w:tcPr/>
          <w:p>
            <w:pPr>
              <w:pStyle w:val="Compact"/>
              <w:spacing w:before="20" w:after="20"/>
              <w:jc w:val="left"/>
            </w:pPr>
            <w:r>
              <w:rPr>
                <w:sz w:val="16"/>
              </w:rPr>
              <w:t xml:space="preserve">Eliminated (via translation/refining)</w:t>
            </w:r>
          </w:p>
        </w:tc>
      </w:tr>
      <w:tr>
        <w:tc>
          <w:tcPr/>
          <w:p>
            <w:pPr>
              <w:pStyle w:val="Compact"/>
              <w:spacing w:before="20" w:after="20"/>
              <w:jc w:val="left"/>
            </w:pPr>
            <w:r>
              <w:rPr>
                <w:bCs/>
                <w:b/>
                <w:sz w:val="16"/>
              </w:rPr>
              <w:t xml:space="preserve">Citation Integrity</w:t>
            </w:r>
          </w:p>
        </w:tc>
        <w:tc>
          <w:tcPr/>
          <w:p>
            <w:pPr>
              <w:pStyle w:val="Compact"/>
              <w:spacing w:before="20" w:after="20"/>
              <w:jc w:val="left"/>
            </w:pPr>
            <w:r>
              <w:rPr>
                <w:sz w:val="16"/>
              </w:rPr>
              <w:t xml:space="preserve">High (usually)</w:t>
            </w:r>
          </w:p>
        </w:tc>
        <w:tc>
          <w:tcPr/>
          <w:p>
            <w:pPr>
              <w:pStyle w:val="Compact"/>
              <w:spacing w:before="20" w:after="20"/>
              <w:jc w:val="left"/>
            </w:pPr>
            <w:r>
              <w:rPr>
                <w:sz w:val="16"/>
              </w:rPr>
              <w:t xml:space="preserve">Low (Hallucinations common)</w:t>
            </w:r>
          </w:p>
        </w:tc>
        <w:tc>
          <w:tcPr/>
          <w:p>
            <w:pPr>
              <w:pStyle w:val="Compact"/>
              <w:spacing w:before="20" w:after="20"/>
              <w:jc w:val="left"/>
            </w:pPr>
            <w:r>
              <w:rPr>
                <w:sz w:val="16"/>
              </w:rPr>
              <w:t xml:space="preserve">Verified (Database-linked)</w:t>
            </w:r>
          </w:p>
        </w:tc>
      </w:tr>
      <w:tr>
        <w:tc>
          <w:tcPr/>
          <w:p>
            <w:pPr>
              <w:pStyle w:val="Compact"/>
              <w:spacing w:before="20" w:after="20"/>
              <w:jc w:val="left"/>
            </w:pPr>
            <w:r>
              <w:rPr>
                <w:bCs/>
                <w:b/>
                <w:sz w:val="16"/>
              </w:rPr>
              <w:t xml:space="preserve">Transparency</w:t>
            </w:r>
          </w:p>
        </w:tc>
        <w:tc>
          <w:tcPr/>
          <w:p>
            <w:pPr>
              <w:pStyle w:val="Compact"/>
              <w:spacing w:before="20" w:after="20"/>
              <w:jc w:val="left"/>
            </w:pPr>
            <w:r>
              <w:rPr>
                <w:sz w:val="16"/>
              </w:rPr>
              <w:t xml:space="preserve">High</w:t>
            </w:r>
          </w:p>
        </w:tc>
        <w:tc>
          <w:tcPr/>
          <w:p>
            <w:pPr>
              <w:pStyle w:val="Compact"/>
              <w:spacing w:before="20" w:after="20"/>
              <w:jc w:val="left"/>
            </w:pPr>
            <w:r>
              <w:rPr>
                <w:sz w:val="16"/>
              </w:rPr>
              <w:t xml:space="preserve">Low (Deceptive)</w:t>
            </w:r>
          </w:p>
        </w:tc>
        <w:tc>
          <w:tcPr/>
          <w:p>
            <w:pPr>
              <w:pStyle w:val="Compact"/>
              <w:spacing w:before="20" w:after="20"/>
              <w:jc w:val="left"/>
            </w:pPr>
            <w:r>
              <w:rPr>
                <w:sz w:val="16"/>
              </w:rPr>
              <w:t xml:space="preserve">High (Declared usage)</w:t>
            </w:r>
          </w:p>
        </w:tc>
      </w:tr>
      <w:tr>
        <w:tc>
          <w:tcPr/>
          <w:p>
            <w:pPr>
              <w:pStyle w:val="Compact"/>
              <w:spacing w:before="20" w:after="20"/>
              <w:jc w:val="left"/>
            </w:pPr>
            <w:r>
              <w:rPr>
                <w:bCs/>
                <w:b/>
                <w:sz w:val="16"/>
              </w:rPr>
              <w:t xml:space="preserve">Equity Impact</w:t>
            </w:r>
          </w:p>
        </w:tc>
        <w:tc>
          <w:tcPr/>
          <w:p>
            <w:pPr>
              <w:pStyle w:val="Compact"/>
              <w:spacing w:before="20" w:after="20"/>
              <w:jc w:val="left"/>
            </w:pPr>
            <w:r>
              <w:rPr>
                <w:sz w:val="16"/>
              </w:rPr>
              <w:t xml:space="preserve">Low (Elitist)</w:t>
            </w:r>
          </w:p>
        </w:tc>
        <w:tc>
          <w:tcPr/>
          <w:p>
            <w:pPr>
              <w:pStyle w:val="Compact"/>
              <w:spacing w:before="20" w:after="20"/>
              <w:jc w:val="left"/>
            </w:pPr>
            <w:r>
              <w:rPr>
                <w:sz w:val="16"/>
              </w:rPr>
              <w:t xml:space="preserve">Medium (Accessible but stigmatized)</w:t>
            </w:r>
          </w:p>
        </w:tc>
        <w:tc>
          <w:tcPr/>
          <w:p>
            <w:pPr>
              <w:pStyle w:val="Compact"/>
              <w:spacing w:before="20" w:after="20"/>
              <w:jc w:val="left"/>
            </w:pPr>
            <w:r>
              <w:rPr>
                <w:sz w:val="16"/>
              </w:rPr>
              <w:t xml:space="preserve">High (Democratizing)</w:t>
            </w:r>
          </w:p>
        </w:tc>
      </w:tr>
      <w:tr>
        <w:tc>
          <w:tcPr/>
          <w:p>
            <w:pPr>
              <w:pStyle w:val="Compact"/>
              <w:spacing w:before="20" w:after="20"/>
              <w:jc w:val="left"/>
            </w:pPr>
            <w:r>
              <w:rPr>
                <w:bCs/>
                <w:b/>
                <w:sz w:val="16"/>
              </w:rPr>
              <w:t xml:space="preserve">Cost</w:t>
            </w:r>
          </w:p>
        </w:tc>
        <w:tc>
          <w:tcPr/>
          <w:p>
            <w:pPr>
              <w:pStyle w:val="Compact"/>
              <w:spacing w:before="20" w:after="20"/>
              <w:jc w:val="left"/>
            </w:pPr>
            <w:r>
              <w:rPr>
                <w:sz w:val="16"/>
              </w:rPr>
              <w:t xml:space="preserve">High (Time/Editing fees)</w:t>
            </w:r>
          </w:p>
        </w:tc>
        <w:tc>
          <w:tcPr/>
          <w:p>
            <w:pPr>
              <w:pStyle w:val="Compact"/>
              <w:spacing w:before="20" w:after="20"/>
              <w:jc w:val="left"/>
            </w:pPr>
            <w:r>
              <w:rPr>
                <w:sz w:val="16"/>
              </w:rPr>
              <w:t xml:space="preserve">Low</w:t>
            </w:r>
          </w:p>
        </w:tc>
        <w:tc>
          <w:tcPr/>
          <w:p>
            <w:pPr>
              <w:pStyle w:val="Compact"/>
              <w:spacing w:before="20" w:after="20"/>
              <w:jc w:val="left"/>
            </w:pPr>
            <w:r>
              <w:rPr>
                <w:sz w:val="16"/>
              </w:rPr>
              <w:t xml:space="preserve">Low</w:t>
            </w:r>
          </w:p>
        </w:tc>
      </w:tr>
    </w:tbl>
    <w:p>
      <w:pPr>
        <w:pStyle w:val="BodyText"/>
      </w:pPr>
      <w:r>
        <w:rPr>
          <w:iCs/>
          <w:i/>
        </w:rPr>
        <w:t xml:space="preserve">Table 1: Comparative Analysis of Academic Writing Models. Adapted from concepts in (Mounce, 2011) and (Zhang, 2025).</w:t>
      </w:r>
    </w:p>
    <w:p>
      <w:pPr>
        <w:pStyle w:val="BodyText"/>
      </w:pPr>
      <w:r>
        <w:t xml:space="preserve">The OpenDraft model explicitly addresses the</w:t>
      </w:r>
      <w:r>
        <w:t xml:space="preserve"> </w:t>
      </w:r>
      <w:r>
        <w:t xml:space="preserve">“</w:t>
      </w:r>
      <w:r>
        <w:t xml:space="preserve">Citation Gap.</w:t>
      </w:r>
      <w:r>
        <w:t xml:space="preserve">”</w:t>
      </w:r>
      <w:r>
        <w:t xml:space="preserve"> </w:t>
      </w:r>
      <w:r>
        <w:t xml:space="preserve">As noted by Masagali (Masagali, 2024), citation metrics are often skewed. By enabling more diverse authors to publish, we inevitably diversify the pool of citable literature, correcting the historical bias of the canon.</w:t>
      </w:r>
    </w:p>
    <w:bookmarkEnd w:id="33"/>
    <w:bookmarkStart w:id="34" w:name="roadmap-of-the-thesis"/>
    <w:p>
      <w:pPr>
        <w:pStyle w:val="Heading2"/>
      </w:pPr>
      <w:r>
        <w:t xml:space="preserve">1.7 Roadmap of the Thesis</w:t>
      </w:r>
    </w:p>
    <w:p>
      <w:pPr>
        <w:pStyle w:val="FirstParagraph"/>
      </w:pPr>
      <w:r>
        <w:t xml:space="preserve">This thesis is structured to guide the reader from the theoretical underpinnings of inequality to the practical application of the OpenDraft solution.</w:t>
      </w:r>
    </w:p>
    <w:p>
      <w:pPr>
        <w:numPr>
          <w:ilvl w:val="0"/>
          <w:numId w:val="1003"/>
        </w:numPr>
        <w:pStyle w:val="Compact"/>
      </w:pPr>
      <w:r>
        <w:rPr>
          <w:bCs/>
          <w:b/>
        </w:rPr>
        <w:t xml:space="preserve">Chapter 2: Literature Review</w:t>
      </w:r>
      <w:r>
        <w:t xml:space="preserve"> </w:t>
      </w:r>
      <w:r>
        <w:t xml:space="preserve">provides a comprehensive analysis of the</w:t>
      </w:r>
      <w:r>
        <w:t xml:space="preserve"> </w:t>
      </w:r>
      <w:r>
        <w:t xml:space="preserve">“</w:t>
      </w:r>
      <w:r>
        <w:t xml:space="preserve">publish or perish</w:t>
      </w:r>
      <w:r>
        <w:t xml:space="preserve">”</w:t>
      </w:r>
      <w:r>
        <w:t xml:space="preserve"> </w:t>
      </w:r>
      <w:r>
        <w:t xml:space="preserve">culture, the history of open access, and the technical evolution of LLMs. It synthesizes data from sources like the NIH (NIH, 2025) and recent bibliometric studies to quantify the exclusion of Global South researchers.</w:t>
      </w:r>
    </w:p>
    <w:p>
      <w:pPr>
        <w:numPr>
          <w:ilvl w:val="0"/>
          <w:numId w:val="1003"/>
        </w:numPr>
        <w:pStyle w:val="Compact"/>
      </w:pPr>
      <w:r>
        <w:rPr>
          <w:bCs/>
          <w:b/>
        </w:rPr>
        <w:t xml:space="preserve">Chapter 3: Methodology</w:t>
      </w:r>
      <w:r>
        <w:t xml:space="preserve"> </w:t>
      </w:r>
      <w:r>
        <w:t xml:space="preserve">outlines the mixed-methods approach used to develop and test the OpenDraft framework. It details the prompt engineering experiments and the survey of researchers regarding their attitudes toward AI.</w:t>
      </w:r>
    </w:p>
    <w:p>
      <w:pPr>
        <w:numPr>
          <w:ilvl w:val="0"/>
          <w:numId w:val="1003"/>
        </w:numPr>
        <w:pStyle w:val="Compact"/>
      </w:pPr>
      <w:r>
        <w:rPr>
          <w:bCs/>
          <w:b/>
        </w:rPr>
        <w:t xml:space="preserve">Chapter 4: Analysis and Results</w:t>
      </w:r>
      <w:r>
        <w:t xml:space="preserve"> </w:t>
      </w:r>
      <w:r>
        <w:t xml:space="preserve">presents the findings of the study. It includes a comparative analysis of papers written with and without the OpenDraft protocol, evaluated by blind peer review for quality and accuracy.</w:t>
      </w:r>
    </w:p>
    <w:p>
      <w:pPr>
        <w:numPr>
          <w:ilvl w:val="0"/>
          <w:numId w:val="1003"/>
        </w:numPr>
        <w:pStyle w:val="Compact"/>
      </w:pPr>
      <w:r>
        <w:rPr>
          <w:bCs/>
          <w:b/>
        </w:rPr>
        <w:t xml:space="preserve">Chapter 5: Discussion</w:t>
      </w:r>
      <w:r>
        <w:t xml:space="preserve"> </w:t>
      </w:r>
      <w:r>
        <w:t xml:space="preserve">interprets these results, addressing the ethical concerns raised by Olson (Olson, 2025) and others. It discusses the limitations of the current technology and the potential for</w:t>
      </w:r>
      <w:r>
        <w:t xml:space="preserve"> </w:t>
      </w:r>
      <w:r>
        <w:t xml:space="preserve">“</w:t>
      </w:r>
      <w:r>
        <w:t xml:space="preserve">algorithmic bias.</w:t>
      </w:r>
      <w:r>
        <w:t xml:space="preserve">”</w:t>
      </w:r>
    </w:p>
    <w:p>
      <w:pPr>
        <w:numPr>
          <w:ilvl w:val="0"/>
          <w:numId w:val="1003"/>
        </w:numPr>
        <w:pStyle w:val="Compact"/>
      </w:pPr>
      <w:r>
        <w:rPr>
          <w:bCs/>
          <w:b/>
        </w:rPr>
        <w:t xml:space="preserve">Chapter 6: Conclusion</w:t>
      </w:r>
      <w:r>
        <w:t xml:space="preserve"> </w:t>
      </w:r>
      <w:r>
        <w:t xml:space="preserve">summarizes the argument that OpenDraft is a necessary evolution of the Open Science movement. It offers policy recommendations for universities and journals to adopt AI-inclusive author guidelines.</w:t>
      </w:r>
    </w:p>
    <w:bookmarkEnd w:id="34"/>
    <w:bookmarkStart w:id="35" w:name="definition-of-key-terms"/>
    <w:p>
      <w:pPr>
        <w:pStyle w:val="Heading2"/>
      </w:pPr>
      <w:r>
        <w:t xml:space="preserve">1.8 Definition of Key Terms</w:t>
      </w:r>
    </w:p>
    <w:p>
      <w:pPr>
        <w:pStyle w:val="FirstParagraph"/>
      </w:pPr>
      <w:r>
        <w:t xml:space="preserve">To ensure clarity, the following terms are defined as they are used in this thesis:</w:t>
      </w:r>
    </w:p>
    <w:p>
      <w:pPr>
        <w:numPr>
          <w:ilvl w:val="0"/>
          <w:numId w:val="1004"/>
        </w:numPr>
        <w:pStyle w:val="Compact"/>
      </w:pPr>
      <w:r>
        <w:rPr>
          <w:bCs/>
          <w:b/>
        </w:rPr>
        <w:t xml:space="preserve">Generative AI (GenAI):</w:t>
      </w:r>
      <w:r>
        <w:t xml:space="preserve"> </w:t>
      </w:r>
      <w:r>
        <w:t xml:space="preserve">Artificial intelligence systems capable of generating text, images, or other media in response to prompts. In this thesis, it refers specifically to Large Language Models (LLMs) used for text generation (Melketo et al., 2023).</w:t>
      </w:r>
    </w:p>
    <w:p>
      <w:pPr>
        <w:numPr>
          <w:ilvl w:val="0"/>
          <w:numId w:val="1004"/>
        </w:numPr>
        <w:pStyle w:val="Compact"/>
      </w:pPr>
      <w:r>
        <w:rPr>
          <w:bCs/>
          <w:b/>
        </w:rPr>
        <w:t xml:space="preserve">Hallucination:</w:t>
      </w:r>
      <w:r>
        <w:t xml:space="preserve"> </w:t>
      </w:r>
      <w:r>
        <w:t xml:space="preserve">The phenomenon where an AI model generates false or non-existent information, particularly citations or data points, presented as fact (Novikov et al., 2025).</w:t>
      </w:r>
    </w:p>
    <w:p>
      <w:pPr>
        <w:numPr>
          <w:ilvl w:val="0"/>
          <w:numId w:val="1004"/>
        </w:numPr>
        <w:pStyle w:val="Compact"/>
      </w:pPr>
      <w:r>
        <w:rPr>
          <w:bCs/>
          <w:b/>
        </w:rPr>
        <w:t xml:space="preserve">Article Processing Charge (APC):</w:t>
      </w:r>
      <w:r>
        <w:t xml:space="preserve"> </w:t>
      </w:r>
      <w:r>
        <w:t xml:space="preserve">A fee charged to authors to make a work available open access in a journal. This is identified as a major barrier for resource-constrained researchers (Suber, 2004).</w:t>
      </w:r>
    </w:p>
    <w:p>
      <w:pPr>
        <w:numPr>
          <w:ilvl w:val="0"/>
          <w:numId w:val="1004"/>
        </w:numPr>
        <w:pStyle w:val="Compact"/>
      </w:pPr>
      <w:r>
        <w:rPr>
          <w:bCs/>
          <w:b/>
        </w:rPr>
        <w:t xml:space="preserve">Citation Equity:</w:t>
      </w:r>
      <w:r>
        <w:t xml:space="preserve"> </w:t>
      </w:r>
      <w:r>
        <w:t xml:space="preserve">The principle that citations should reflect the most relevant scientific contributions regardless of the author’s geographic location, gender, or institutional affiliation (Masagali, 2024).</w:t>
      </w:r>
    </w:p>
    <w:p>
      <w:pPr>
        <w:numPr>
          <w:ilvl w:val="0"/>
          <w:numId w:val="1004"/>
        </w:numPr>
        <w:pStyle w:val="Compact"/>
      </w:pPr>
      <w:r>
        <w:rPr>
          <w:bCs/>
          <w:b/>
        </w:rPr>
        <w:t xml:space="preserve">OpenDraft:</w:t>
      </w:r>
      <w:r>
        <w:t xml:space="preserve"> </w:t>
      </w:r>
      <w:r>
        <w:t xml:space="preserve">The specific framework proposed in this thesis for the transparent, structured, and ethical use of AI in academic manuscript preparation.</w:t>
      </w:r>
    </w:p>
    <w:bookmarkEnd w:id="35"/>
    <w:bookmarkStart w:id="36" w:name="scope-and-delimitations"/>
    <w:p>
      <w:pPr>
        <w:pStyle w:val="Heading2"/>
      </w:pPr>
      <w:r>
        <w:t xml:space="preserve">1.9 Scope and Delimitations</w:t>
      </w:r>
    </w:p>
    <w:p>
      <w:pPr>
        <w:pStyle w:val="FirstParagraph"/>
      </w:pPr>
      <w:r>
        <w:t xml:space="preserve">This study focuses on the</w:t>
      </w:r>
      <w:r>
        <w:t xml:space="preserve"> </w:t>
      </w:r>
      <w:r>
        <w:rPr>
          <w:iCs/>
          <w:i/>
        </w:rPr>
        <w:t xml:space="preserve">drafting</w:t>
      </w:r>
      <w:r>
        <w:t xml:space="preserve"> </w:t>
      </w:r>
      <w:r>
        <w:t xml:space="preserve">and</w:t>
      </w:r>
      <w:r>
        <w:t xml:space="preserve"> </w:t>
      </w:r>
      <w:r>
        <w:rPr>
          <w:iCs/>
          <w:i/>
        </w:rPr>
        <w:t xml:space="preserve">structuring</w:t>
      </w:r>
      <w:r>
        <w:t xml:space="preserve"> </w:t>
      </w:r>
      <w:r>
        <w:t xml:space="preserve">phases of academic research. It does not advocate for AI to conduct data collection or statistical analysis, though it acknowledges AI’s role there. The scope is limited to text-based academic output (journal articles, theses) and does not cover creative writing or journalism.</w:t>
      </w:r>
    </w:p>
    <w:p>
      <w:pPr>
        <w:pStyle w:val="BodyText"/>
      </w:pPr>
      <w:r>
        <w:t xml:space="preserve">Geographically, while the arguments for OpenDraft are universal, the focus of the</w:t>
      </w:r>
      <w:r>
        <w:t xml:space="preserve"> </w:t>
      </w:r>
      <w:r>
        <w:t xml:space="preserve">“</w:t>
      </w:r>
      <w:r>
        <w:t xml:space="preserve">beneficiary</w:t>
      </w:r>
      <w:r>
        <w:t xml:space="preserve">”</w:t>
      </w:r>
      <w:r>
        <w:t xml:space="preserve"> </w:t>
      </w:r>
      <w:r>
        <w:t xml:space="preserve">analysis is on researchers in the Global South and non-native English speaking contexts, as these groups stand to gain the most from the democratization of writing tools. The technical analysis is limited to commercially available LLMs (e.g., GPT-4, Claude, Llama) as of 2024-2025, acknowledging the rapid pace of change in this field as described by Turner (Turner, 2024).</w:t>
      </w:r>
    </w:p>
    <w:bookmarkEnd w:id="36"/>
    <w:bookmarkStart w:id="37" w:name="quantitative-metrics-of-inequality"/>
    <w:p>
      <w:pPr>
        <w:pStyle w:val="Heading2"/>
      </w:pPr>
      <w:r>
        <w:t xml:space="preserve">1.10 Quantitative Metrics of Inequality</w:t>
      </w:r>
    </w:p>
    <w:p>
      <w:pPr>
        <w:pStyle w:val="FirstParagraph"/>
      </w:pPr>
      <w:r>
        <w:t xml:space="preserve">To ground the qualitative arguments of this introduction in data, it is necessary to visualize the disparity OpenDraft aims to solve. We can conceptualize the</w:t>
      </w:r>
      <w:r>
        <w:t xml:space="preserve"> </w:t>
      </w:r>
      <w:r>
        <w:t xml:space="preserve">“</w:t>
      </w:r>
      <w:r>
        <w:t xml:space="preserve">Barrier to Publication</w:t>
      </w:r>
      <w:r>
        <w:t xml:space="preserve">”</w:t>
      </w:r>
      <w:r>
        <w:t xml:space="preserve"> </w:t>
      </w:r>
      <w:r>
        <w:t xml:space="preserve">(</w:t>
      </w:r>
      <m:oMath>
        <m:sSub>
          <m:e>
            <m:r>
              <m:t>B</m:t>
            </m:r>
          </m:e>
          <m:sub>
            <m:r>
              <m:t>p</m:t>
            </m:r>
          </m:sub>
        </m:sSub>
      </m:oMath>
      <w:r>
        <w:t xml:space="preserve">) as a function of multiple variables.</w:t>
      </w:r>
    </w:p>
    <w:p>
      <w:pPr>
        <w:pStyle w:val="BodyText"/>
      </w:pPr>
      <m:oMathPara>
        <m:oMathParaPr>
          <m:jc m:val="center"/>
        </m:oMathParaPr>
        <m:oMath>
          <m:sSub>
            <m:e>
              <m:r>
                <m:t>B</m:t>
              </m:r>
            </m:e>
            <m:sub>
              <m:r>
                <m:t>p</m:t>
              </m:r>
            </m:sub>
          </m:sSub>
          <m:r>
            <m:rPr>
              <m:sty m:val="p"/>
            </m:rPr>
            <m:t>=</m:t>
          </m:r>
          <m:r>
            <m:t>f</m:t>
          </m:r>
          <m:d>
            <m:dPr>
              <m:begChr m:val="("/>
              <m:endChr m:val=")"/>
              <m:sepChr m:val=""/>
              <m:grow/>
            </m:dPr>
            <m:e>
              <m:sSub>
                <m:e>
                  <m:r>
                    <m:t>Q</m:t>
                  </m:r>
                </m:e>
                <m:sub>
                  <m:r>
                    <m:t>r</m:t>
                  </m:r>
                </m:sub>
              </m:sSub>
              <m:r>
                <m:rPr>
                  <m:sty m:val="p"/>
                </m:rPr>
                <m:t>,</m:t>
              </m:r>
              <m:sSub>
                <m:e>
                  <m:r>
                    <m:t>L</m:t>
                  </m:r>
                </m:e>
                <m:sub>
                  <m:r>
                    <m:t>p</m:t>
                  </m:r>
                </m:sub>
              </m:sSub>
              <m:r>
                <m:rPr>
                  <m:sty m:val="p"/>
                </m:rPr>
                <m:t>,</m:t>
              </m:r>
              <m:sSub>
                <m:e>
                  <m:r>
                    <m:t>I</m:t>
                  </m:r>
                </m:e>
                <m:sub>
                  <m:r>
                    <m:t>r</m:t>
                  </m:r>
                </m:sub>
              </m:sSub>
              <m:r>
                <m:rPr>
                  <m:sty m:val="p"/>
                </m:rPr>
                <m:t>,</m:t>
              </m:r>
              <m:sSub>
                <m:e>
                  <m:r>
                    <m:t>C</m:t>
                  </m:r>
                </m:e>
                <m:sub>
                  <m:r>
                    <m:t>a</m:t>
                  </m:r>
                </m:sub>
              </m:sSub>
            </m:e>
          </m:d>
        </m:oMath>
      </m:oMathPara>
    </w:p>
    <w:p>
      <w:pPr>
        <w:pStyle w:val="FirstParagraph"/>
      </w:pPr>
      <w:r>
        <w:t xml:space="preserve">Where:</w:t>
      </w:r>
      <w:r>
        <w:t xml:space="preserve"> </w:t>
      </w:r>
      <w:r>
        <w:t xml:space="preserve">*</w:t>
      </w:r>
      <w:r>
        <w:t xml:space="preserve"> </w:t>
      </w:r>
      <m:oMath>
        <m:sSub>
          <m:e>
            <m:r>
              <m:t>Q</m:t>
            </m:r>
          </m:e>
          <m:sub>
            <m:r>
              <m:t>r</m:t>
            </m:r>
          </m:sub>
        </m:sSub>
      </m:oMath>
      <w:r>
        <w:t xml:space="preserve"> </w:t>
      </w:r>
      <w:r>
        <w:t xml:space="preserve">is the Quality of Research (the only variable that</w:t>
      </w:r>
      <w:r>
        <w:t xml:space="preserve"> </w:t>
      </w:r>
      <w:r>
        <w:rPr>
          <w:iCs/>
          <w:i/>
        </w:rPr>
        <w:t xml:space="preserve">should</w:t>
      </w:r>
      <w:r>
        <w:t xml:space="preserve"> </w:t>
      </w:r>
      <w:r>
        <w:t xml:space="preserve">matter).</w:t>
      </w:r>
      <w:r>
        <w:t xml:space="preserve"> </w:t>
      </w:r>
      <w:r>
        <w:t xml:space="preserve">*</w:t>
      </w:r>
      <w:r>
        <w:t xml:space="preserve"> </w:t>
      </w:r>
      <m:oMath>
        <m:sSub>
          <m:e>
            <m:r>
              <m:t>L</m:t>
            </m:r>
          </m:e>
          <m:sub>
            <m:r>
              <m:t>p</m:t>
            </m:r>
          </m:sub>
        </m:sSub>
      </m:oMath>
      <w:r>
        <w:t xml:space="preserve"> </w:t>
      </w:r>
      <w:r>
        <w:t xml:space="preserve">is Linguistic Proficiency (English fluency).</w:t>
      </w:r>
      <w:r>
        <w:t xml:space="preserve"> </w:t>
      </w:r>
      <w:r>
        <w:t xml:space="preserve">*</w:t>
      </w:r>
      <w:r>
        <w:t xml:space="preserve"> </w:t>
      </w:r>
      <m:oMath>
        <m:sSub>
          <m:e>
            <m:r>
              <m:t>I</m:t>
            </m:r>
          </m:e>
          <m:sub>
            <m:r>
              <m:t>r</m:t>
            </m:r>
          </m:sub>
        </m:sSub>
      </m:oMath>
      <w:r>
        <w:t xml:space="preserve"> </w:t>
      </w:r>
      <w:r>
        <w:t xml:space="preserve">is Institutional Reputation (Bias factor).</w:t>
      </w:r>
      <w:r>
        <w:t xml:space="preserve"> </w:t>
      </w:r>
      <w:r>
        <w:t xml:space="preserve">*</w:t>
      </w:r>
      <w:r>
        <w:t xml:space="preserve"> </w:t>
      </w:r>
      <m:oMath>
        <m:sSub>
          <m:e>
            <m:r>
              <m:t>C</m:t>
            </m:r>
          </m:e>
          <m:sub>
            <m:r>
              <m:t>a</m:t>
            </m:r>
          </m:sub>
        </m:sSub>
      </m:oMath>
      <w:r>
        <w:t xml:space="preserve"> </w:t>
      </w:r>
      <w:r>
        <w:t xml:space="preserve">is Cost of Access (APCs, editing services).</w:t>
      </w:r>
    </w:p>
    <w:p>
      <w:pPr>
        <w:pStyle w:val="BodyText"/>
      </w:pPr>
      <w:r>
        <w:t xml:space="preserve">In an ideal meritocratic system, the probability of acceptance (</w:t>
      </w:r>
      <m:oMath>
        <m:sSub>
          <m:e>
            <m:r>
              <m:t>P</m:t>
            </m:r>
          </m:e>
          <m:sub>
            <m:r>
              <m:t>a</m:t>
            </m:r>
            <m:r>
              <m:t>c</m:t>
            </m:r>
            <m:r>
              <m:t>c</m:t>
            </m:r>
          </m:sub>
        </m:sSub>
      </m:oMath>
      <w:r>
        <w:t xml:space="preserve">) should approach:</w:t>
      </w:r>
    </w:p>
    <w:p>
      <w:pPr>
        <w:pStyle w:val="BodyText"/>
      </w:pPr>
      <m:oMathPara>
        <m:oMathParaPr>
          <m:jc m:val="center"/>
        </m:oMathParaPr>
        <m:oMath>
          <m:sSub>
            <m:e>
              <m:r>
                <m:t>P</m:t>
              </m:r>
            </m:e>
            <m:sub>
              <m:r>
                <m:t>a</m:t>
              </m:r>
              <m:r>
                <m:t>c</m:t>
              </m:r>
              <m:r>
                <m:t>c</m:t>
              </m:r>
            </m:sub>
          </m:sSub>
          <m:r>
            <m:rPr>
              <m:sty m:val="p"/>
            </m:rPr>
            <m:t>≈</m:t>
          </m:r>
          <m:sSub>
            <m:e>
              <m:r>
                <m:t>Q</m:t>
              </m:r>
            </m:e>
            <m:sub>
              <m:r>
                <m:t>r</m:t>
              </m:r>
            </m:sub>
          </m:sSub>
        </m:oMath>
      </m:oMathPara>
    </w:p>
    <w:p>
      <w:pPr>
        <w:pStyle w:val="FirstParagraph"/>
      </w:pPr>
      <w:r>
        <w:t xml:space="preserve">However, current bibliometric data suggests the actual probability is:</w:t>
      </w:r>
    </w:p>
    <w:p>
      <w:pPr>
        <w:pStyle w:val="BodyText"/>
      </w:pPr>
      <m:oMathPara>
        <m:oMathParaPr>
          <m:jc m:val="center"/>
        </m:oMathParaPr>
        <m:oMath>
          <m:sSub>
            <m:e>
              <m:r>
                <m:t>P</m:t>
              </m:r>
            </m:e>
            <m:sub>
              <m:r>
                <m:t>a</m:t>
              </m:r>
              <m:r>
                <m:t>c</m:t>
              </m:r>
              <m:r>
                <m:t>c</m:t>
              </m:r>
            </m:sub>
          </m:sSub>
          <m:r>
            <m:rPr>
              <m:sty m:val="p"/>
            </m:rPr>
            <m:t>∝</m:t>
          </m:r>
          <m:f>
            <m:fPr>
              <m:type m:val="bar"/>
            </m:fPr>
            <m:num>
              <m:sSub>
                <m:e>
                  <m:r>
                    <m:t>Q</m:t>
                  </m:r>
                </m:e>
                <m:sub>
                  <m:r>
                    <m:t>r</m:t>
                  </m:r>
                </m:sub>
              </m:sSub>
              <m:r>
                <m:rPr>
                  <m:sty m:val="p"/>
                </m:rPr>
                <m:t>⋅</m:t>
              </m:r>
              <m:sSub>
                <m:e>
                  <m:r>
                    <m:t>L</m:t>
                  </m:r>
                </m:e>
                <m:sub>
                  <m:r>
                    <m:t>p</m:t>
                  </m:r>
                </m:sub>
              </m:sSub>
              <m:r>
                <m:rPr>
                  <m:sty m:val="p"/>
                </m:rPr>
                <m:t>⋅</m:t>
              </m:r>
              <m:sSub>
                <m:e>
                  <m:r>
                    <m:t>I</m:t>
                  </m:r>
                </m:e>
                <m:sub>
                  <m:r>
                    <m:t>r</m:t>
                  </m:r>
                </m:sub>
              </m:sSub>
            </m:num>
            <m:den>
              <m:sSub>
                <m:e>
                  <m:r>
                    <m:t>C</m:t>
                  </m:r>
                </m:e>
                <m:sub>
                  <m:r>
                    <m:t>a</m:t>
                  </m:r>
                </m:sub>
              </m:sSub>
            </m:den>
          </m:f>
        </m:oMath>
      </m:oMathPara>
    </w:p>
    <w:p>
      <w:pPr>
        <w:pStyle w:val="FirstParagraph"/>
      </w:pPr>
      <w:r>
        <w:t xml:space="preserve">The OpenDraft intervention aims to neutralize</w:t>
      </w:r>
      <w:r>
        <w:t xml:space="preserve"> </w:t>
      </w:r>
      <m:oMath>
        <m:sSub>
          <m:e>
            <m:r>
              <m:t>L</m:t>
            </m:r>
          </m:e>
          <m:sub>
            <m:r>
              <m:t>p</m:t>
            </m:r>
          </m:sub>
        </m:sSub>
      </m:oMath>
      <w:r>
        <w:t xml:space="preserve"> </w:t>
      </w:r>
      <w:r>
        <w:t xml:space="preserve">(by elevating it to a standard constant via AI) and reduce the impact of</w:t>
      </w:r>
      <w:r>
        <w:t xml:space="preserve"> </w:t>
      </w:r>
      <m:oMath>
        <m:sSub>
          <m:e>
            <m:r>
              <m:t>C</m:t>
            </m:r>
          </m:e>
          <m:sub>
            <m:r>
              <m:t>a</m:t>
            </m:r>
          </m:sub>
        </m:sSub>
      </m:oMath>
      <w:r>
        <w:t xml:space="preserve"> </w:t>
      </w:r>
      <w:r>
        <w:t xml:space="preserve">(by removing the need for expensive human editing). This mathematical representation, while simplified, underscores the mechanism by which AI can restore the relationship between research quality and publication success.</w:t>
      </w:r>
    </w:p>
    <w:p>
      <w:pPr>
        <w:pStyle w:val="BodyText"/>
      </w:pPr>
      <w:r>
        <w:t xml:space="preserve">Table 2 highlights the specific barriers identified in recent literature that OpenDraft targets.</w:t>
      </w:r>
    </w:p>
    <w:tbl>
      <w:tblPr>
        <w:tblStyle w:val="Table"/>
        <w:tblLayout w:type="autofit"/>
        <w:tblLook w:firstRow="1" w:lastRow="0" w:firstColumn="0" w:lastColumn="0" w:noHBand="0" w:noVBand="0" w:val="0020"/>
      </w:tblPr>
      <w:tblGrid>
        <w:gridCol w:w="1584"/>
        <w:gridCol w:w="1584"/>
        <w:gridCol w:w="1584"/>
        <w:gridCol w:w="1584"/>
        <w:gridCol w:w="1584"/>
      </w:tblGrid>
      <w:tr>
        <w:trPr>
          <w:tblHeader w:val="true"/>
        </w:trPr>
        <w:tc>
          <w:tcPr/>
          <w:p>
            <w:pPr>
              <w:pStyle w:val="Compact"/>
              <w:spacing w:before="20" w:after="20"/>
              <w:jc w:val="left"/>
            </w:pPr>
            <w:r>
              <w:rPr>
                <w:sz w:val="14"/>
              </w:rPr>
              <w:t xml:space="preserve">Barrier Category</w:t>
            </w:r>
          </w:p>
        </w:tc>
        <w:tc>
          <w:tcPr/>
          <w:p>
            <w:pPr>
              <w:pStyle w:val="Compact"/>
              <w:spacing w:before="20" w:after="20"/>
              <w:jc w:val="left"/>
            </w:pPr>
            <w:r>
              <w:rPr>
                <w:sz w:val="14"/>
              </w:rPr>
              <w:t xml:space="preserve">Specific Challenge</w:t>
            </w:r>
          </w:p>
        </w:tc>
        <w:tc>
          <w:tcPr/>
          <w:p>
            <w:pPr>
              <w:pStyle w:val="Compact"/>
              <w:spacing w:before="20" w:after="20"/>
              <w:jc w:val="left"/>
            </w:pPr>
            <w:r>
              <w:rPr>
                <w:sz w:val="14"/>
              </w:rPr>
              <w:t xml:space="preserve">Impact on Global South</w:t>
            </w:r>
          </w:p>
        </w:tc>
        <w:tc>
          <w:tcPr/>
          <w:p>
            <w:pPr>
              <w:pStyle w:val="Compact"/>
              <w:spacing w:before="20" w:after="20"/>
              <w:jc w:val="left"/>
            </w:pPr>
            <w:r>
              <w:rPr>
                <w:sz w:val="14"/>
              </w:rPr>
              <w:t xml:space="preserve">OpenDraft Solution</w:t>
            </w:r>
          </w:p>
        </w:tc>
        <w:tc>
          <w:tcPr/>
          <w:p>
            <w:pPr>
              <w:pStyle w:val="Compact"/>
              <w:spacing w:before="20" w:after="20"/>
              <w:jc w:val="left"/>
            </w:pPr>
            <w:r>
              <w:rPr>
                <w:sz w:val="14"/>
              </w:rPr>
              <w:t xml:space="preserve">Source</w:t>
            </w:r>
          </w:p>
        </w:tc>
      </w:tr>
      <w:tr>
        <w:tc>
          <w:tcPr/>
          <w:p>
            <w:pPr>
              <w:pStyle w:val="Compact"/>
              <w:spacing w:before="20" w:after="20"/>
              <w:jc w:val="left"/>
            </w:pPr>
            <w:r>
              <w:rPr>
                <w:bCs/>
                <w:b/>
                <w:sz w:val="14"/>
              </w:rPr>
              <w:t xml:space="preserve">Linguistic</w:t>
            </w:r>
          </w:p>
        </w:tc>
        <w:tc>
          <w:tcPr/>
          <w:p>
            <w:pPr>
              <w:pStyle w:val="Compact"/>
              <w:spacing w:before="20" w:after="20"/>
              <w:jc w:val="left"/>
            </w:pPr>
            <w:r>
              <w:rPr>
                <w:sz w:val="14"/>
              </w:rPr>
              <w:t xml:space="preserve">“</w:t>
            </w:r>
            <w:r>
              <w:rPr>
                <w:sz w:val="14"/>
              </w:rPr>
              <w:t xml:space="preserve">Broken English</w:t>
            </w:r>
            <w:r>
              <w:rPr>
                <w:sz w:val="14"/>
              </w:rPr>
              <w:t xml:space="preserve">”</w:t>
            </w:r>
            <w:r>
              <w:rPr>
                <w:sz w:val="14"/>
              </w:rPr>
              <w:t xml:space="preserve"> </w:t>
            </w:r>
            <w:r>
              <w:rPr>
                <w:sz w:val="14"/>
              </w:rPr>
              <w:t xml:space="preserve">bias</w:t>
            </w:r>
          </w:p>
        </w:tc>
        <w:tc>
          <w:tcPr/>
          <w:p>
            <w:pPr>
              <w:pStyle w:val="Compact"/>
              <w:spacing w:before="20" w:after="20"/>
              <w:jc w:val="left"/>
            </w:pPr>
            <w:r>
              <w:rPr>
                <w:sz w:val="14"/>
              </w:rPr>
              <w:t xml:space="preserve">Rejection without review</w:t>
            </w:r>
          </w:p>
        </w:tc>
        <w:tc>
          <w:tcPr/>
          <w:p>
            <w:pPr>
              <w:pStyle w:val="Compact"/>
              <w:spacing w:before="20" w:after="20"/>
              <w:jc w:val="left"/>
            </w:pPr>
            <w:r>
              <w:rPr>
                <w:sz w:val="14"/>
              </w:rPr>
              <w:t xml:space="preserve">AI-Standardized Prose</w:t>
            </w:r>
          </w:p>
        </w:tc>
        <w:tc>
          <w:tcPr/>
          <w:p>
            <w:pPr>
              <w:pStyle w:val="Compact"/>
              <w:spacing w:before="20" w:after="20"/>
              <w:jc w:val="left"/>
            </w:pPr>
            <w:r>
              <w:rPr>
                <w:sz w:val="14"/>
              </w:rPr>
              <w:t xml:space="preserve">(Khatri et al., 2025)</w:t>
            </w:r>
          </w:p>
        </w:tc>
      </w:tr>
      <w:tr>
        <w:tc>
          <w:tcPr/>
          <w:p>
            <w:pPr>
              <w:pStyle w:val="Compact"/>
              <w:spacing w:before="20" w:after="20"/>
              <w:jc w:val="left"/>
            </w:pPr>
            <w:r>
              <w:rPr>
                <w:bCs/>
                <w:b/>
                <w:sz w:val="14"/>
              </w:rPr>
              <w:t xml:space="preserve">Structural</w:t>
            </w:r>
          </w:p>
        </w:tc>
        <w:tc>
          <w:tcPr/>
          <w:p>
            <w:pPr>
              <w:pStyle w:val="Compact"/>
              <w:spacing w:before="20" w:after="20"/>
              <w:jc w:val="left"/>
            </w:pPr>
            <w:r>
              <w:rPr>
                <w:sz w:val="14"/>
              </w:rPr>
              <w:t xml:space="preserve">Non-standard formatting</w:t>
            </w:r>
          </w:p>
        </w:tc>
        <w:tc>
          <w:tcPr/>
          <w:p>
            <w:pPr>
              <w:pStyle w:val="Compact"/>
              <w:spacing w:before="20" w:after="20"/>
              <w:jc w:val="left"/>
            </w:pPr>
            <w:r>
              <w:rPr>
                <w:sz w:val="14"/>
              </w:rPr>
              <w:t xml:space="preserve">Desk rejection</w:t>
            </w:r>
          </w:p>
        </w:tc>
        <w:tc>
          <w:tcPr/>
          <w:p>
            <w:pPr>
              <w:pStyle w:val="Compact"/>
              <w:spacing w:before="20" w:after="20"/>
              <w:jc w:val="left"/>
            </w:pPr>
            <w:r>
              <w:rPr>
                <w:sz w:val="14"/>
              </w:rPr>
              <w:t xml:space="preserve">Template-based structuring</w:t>
            </w:r>
          </w:p>
        </w:tc>
        <w:tc>
          <w:tcPr/>
          <w:p>
            <w:pPr>
              <w:pStyle w:val="Compact"/>
              <w:spacing w:before="20" w:after="20"/>
              <w:jc w:val="left"/>
            </w:pPr>
            <w:r>
              <w:rPr>
                <w:sz w:val="14"/>
              </w:rPr>
              <w:t xml:space="preserve">(Turner, 2024)</w:t>
            </w:r>
          </w:p>
        </w:tc>
      </w:tr>
      <w:tr>
        <w:tc>
          <w:tcPr/>
          <w:p>
            <w:pPr>
              <w:pStyle w:val="Compact"/>
              <w:spacing w:before="20" w:after="20"/>
              <w:jc w:val="left"/>
            </w:pPr>
            <w:r>
              <w:rPr>
                <w:bCs/>
                <w:b/>
                <w:sz w:val="14"/>
              </w:rPr>
              <w:t xml:space="preserve">Cognitive</w:t>
            </w:r>
          </w:p>
        </w:tc>
        <w:tc>
          <w:tcPr/>
          <w:p>
            <w:pPr>
              <w:pStyle w:val="Compact"/>
              <w:spacing w:before="20" w:after="20"/>
              <w:jc w:val="left"/>
            </w:pPr>
            <w:r>
              <w:rPr>
                <w:sz w:val="14"/>
              </w:rPr>
              <w:t xml:space="preserve">Translation fatigue</w:t>
            </w:r>
          </w:p>
        </w:tc>
        <w:tc>
          <w:tcPr/>
          <w:p>
            <w:pPr>
              <w:pStyle w:val="Compact"/>
              <w:spacing w:before="20" w:after="20"/>
              <w:jc w:val="left"/>
            </w:pPr>
            <w:r>
              <w:rPr>
                <w:sz w:val="14"/>
              </w:rPr>
              <w:t xml:space="preserve">Lower output volume</w:t>
            </w:r>
          </w:p>
        </w:tc>
        <w:tc>
          <w:tcPr/>
          <w:p>
            <w:pPr>
              <w:pStyle w:val="Compact"/>
              <w:spacing w:before="20" w:after="20"/>
              <w:jc w:val="left"/>
            </w:pPr>
            <w:r>
              <w:rPr>
                <w:sz w:val="14"/>
              </w:rPr>
              <w:t xml:space="preserve">Rapid drafting assistance</w:t>
            </w:r>
          </w:p>
        </w:tc>
        <w:tc>
          <w:tcPr/>
          <w:p>
            <w:pPr>
              <w:pStyle w:val="Compact"/>
              <w:spacing w:before="20" w:after="20"/>
              <w:jc w:val="left"/>
            </w:pPr>
            <w:r>
              <w:rPr>
                <w:sz w:val="14"/>
              </w:rPr>
              <w:t xml:space="preserve">(Melketo et al., 2023)</w:t>
            </w:r>
          </w:p>
        </w:tc>
      </w:tr>
      <w:tr>
        <w:tc>
          <w:tcPr/>
          <w:p>
            <w:pPr>
              <w:pStyle w:val="Compact"/>
              <w:spacing w:before="20" w:after="20"/>
              <w:jc w:val="left"/>
            </w:pPr>
            <w:r>
              <w:rPr>
                <w:bCs/>
                <w:b/>
                <w:sz w:val="14"/>
              </w:rPr>
              <w:t xml:space="preserve">Financial</w:t>
            </w:r>
          </w:p>
        </w:tc>
        <w:tc>
          <w:tcPr/>
          <w:p>
            <w:pPr>
              <w:pStyle w:val="Compact"/>
              <w:spacing w:before="20" w:after="20"/>
              <w:jc w:val="left"/>
            </w:pPr>
            <w:r>
              <w:rPr>
                <w:sz w:val="14"/>
              </w:rPr>
              <w:t xml:space="preserve">Editing costs ($500+)</w:t>
            </w:r>
          </w:p>
        </w:tc>
        <w:tc>
          <w:tcPr/>
          <w:p>
            <w:pPr>
              <w:pStyle w:val="Compact"/>
              <w:spacing w:before="20" w:after="20"/>
              <w:jc w:val="left"/>
            </w:pPr>
            <w:r>
              <w:rPr>
                <w:sz w:val="14"/>
              </w:rPr>
              <w:t xml:space="preserve">Budget depletion</w:t>
            </w:r>
          </w:p>
        </w:tc>
        <w:tc>
          <w:tcPr/>
          <w:p>
            <w:pPr>
              <w:pStyle w:val="Compact"/>
              <w:spacing w:before="20" w:after="20"/>
              <w:jc w:val="left"/>
            </w:pPr>
            <w:r>
              <w:rPr>
                <w:sz w:val="14"/>
              </w:rPr>
              <w:t xml:space="preserve">Zero-marginal cost editing</w:t>
            </w:r>
          </w:p>
        </w:tc>
        <w:tc>
          <w:tcPr/>
          <w:p>
            <w:pPr>
              <w:pStyle w:val="Compact"/>
              <w:spacing w:before="20" w:after="20"/>
              <w:jc w:val="left"/>
            </w:pPr>
            <w:r>
              <w:rPr>
                <w:sz w:val="14"/>
              </w:rPr>
              <w:t xml:space="preserve">(Brookings Institution, 2024)</w:t>
            </w:r>
          </w:p>
        </w:tc>
      </w:tr>
    </w:tbl>
    <w:p>
      <w:pPr>
        <w:pStyle w:val="BodyText"/>
      </w:pPr>
      <w:r>
        <w:rPr>
          <w:iCs/>
          <w:i/>
        </w:rPr>
        <w:t xml:space="preserve">Table 2: Taxonomy of Publication Barriers and AI Interventions.</w:t>
      </w:r>
    </w:p>
    <w:p>
      <w:pPr>
        <w:pStyle w:val="BodyText"/>
      </w:pPr>
      <w:r>
        <w:t xml:space="preserve">By addressing these specific variables, OpenDraft moves beyond the rhetoric of</w:t>
      </w:r>
      <w:r>
        <w:t xml:space="preserve"> </w:t>
      </w:r>
      <w:r>
        <w:t xml:space="preserve">“</w:t>
      </w:r>
      <w:r>
        <w:t xml:space="preserve">saving the world</w:t>
      </w:r>
      <w:r>
        <w:t xml:space="preserve">”</w:t>
      </w:r>
      <w:r>
        <w:t xml:space="preserve"> </w:t>
      </w:r>
      <w:r>
        <w:t xml:space="preserve">to the mechanics of saving the scientific contributions of the majority of the world’s population. The following chapters will explore how this can be achieved practically and ethically.</w:t>
      </w:r>
    </w:p>
    <w:bookmarkEnd w:id="37"/>
    <w:bookmarkEnd w:id="38"/>
    <w:bookmarkStart w:id="76" w:name="main-body"/>
    <w:p>
      <w:pPr>
        <w:pStyle w:val="Heading1"/>
      </w:pPr>
      <w:r>
        <w:t xml:space="preserve">2. Main Body</w:t>
      </w:r>
    </w:p>
    <w:bookmarkStart w:id="49" w:name="literature-review"/>
    <w:p>
      <w:pPr>
        <w:pStyle w:val="Heading2"/>
      </w:pPr>
      <w:r>
        <w:t xml:space="preserve">2.1 Literature Review</w:t>
      </w:r>
    </w:p>
    <w:p>
      <w:pPr>
        <w:pStyle w:val="FirstParagraph"/>
      </w:pPr>
      <w:r>
        <w:t xml:space="preserve">The intersection of Open Access (OA) publishing and Generative Artificial Intelligence (GenAI) represents a critical inflection point in the history of scholarly communication. This literature review analyzes the current state of academic research dissemination, the emerging capabilities of AI in the research lifecycle, and the socio-technical implications of integrating tools like OpenDraft into the epistemic infrastructure of science. The review is organized into three primary streams: the crisis of equity in traditional and open publishing models, the technical evolution of AI in research workflows, and the ethical imperatives surrounding automated knowledge production.</w:t>
      </w:r>
    </w:p>
    <w:bookmarkStart w:id="41" w:name="X3e376d11113e7339193314baf40a68b5cebe136"/>
    <w:p>
      <w:pPr>
        <w:pStyle w:val="Heading3"/>
      </w:pPr>
      <w:r>
        <w:t xml:space="preserve">2.1.1 The Crisis of Access and Equity in Scholarly Communication</w:t>
      </w:r>
    </w:p>
    <w:p>
      <w:pPr>
        <w:pStyle w:val="FirstParagraph"/>
      </w:pPr>
      <w:r>
        <w:t xml:space="preserve">The democratization of knowledge has long been the promised goal of the Open Access movement. However, the transition from subscription-based models to Author-Processing Charge (APC) models has inadvertently shifted the barrier from</w:t>
      </w:r>
      <w:r>
        <w:t xml:space="preserve"> </w:t>
      </w:r>
      <w:r>
        <w:t xml:space="preserve">“</w:t>
      </w:r>
      <w:r>
        <w:t xml:space="preserve">pay-to-read</w:t>
      </w:r>
      <w:r>
        <w:t xml:space="preserve">”</w:t>
      </w:r>
      <w:r>
        <w:t xml:space="preserve"> </w:t>
      </w:r>
      <w:r>
        <w:t xml:space="preserve">to</w:t>
      </w:r>
      <w:r>
        <w:t xml:space="preserve"> </w:t>
      </w:r>
      <w:r>
        <w:t xml:space="preserve">“</w:t>
      </w:r>
      <w:r>
        <w:t xml:space="preserve">pay-to-publish,</w:t>
      </w:r>
      <w:r>
        <w:t xml:space="preserve">”</w:t>
      </w:r>
      <w:r>
        <w:t xml:space="preserve"> </w:t>
      </w:r>
      <w:r>
        <w:t xml:space="preserve">creating new forms of exclusion (Suber, 2004). While the Budapest Open Access Initiative envisioned a world where peer-reviewed literature was freely available to all, the economic reality has created a stratified system where researchers from the Global South and underfunded institutions are systematically marginalized.</w:t>
      </w:r>
    </w:p>
    <w:bookmarkStart w:id="39" w:name="X08bb0bb51def3eda10c3ae653deaee64e19e475"/>
    <w:p>
      <w:pPr>
        <w:pStyle w:val="Heading4"/>
      </w:pPr>
      <w:r>
        <w:t xml:space="preserve">2.1.1.1 Economic Barriers and Epistemic Injustice</w:t>
      </w:r>
    </w:p>
    <w:p>
      <w:pPr>
        <w:pStyle w:val="FirstParagraph"/>
      </w:pPr>
      <w:r>
        <w:t xml:space="preserve">Recent analyses suggest that the current OA landscape creates a</w:t>
      </w:r>
      <w:r>
        <w:t xml:space="preserve"> </w:t>
      </w:r>
      <w:r>
        <w:t xml:space="preserve">“</w:t>
      </w:r>
      <w:r>
        <w:t xml:space="preserve">prestige economy</w:t>
      </w:r>
      <w:r>
        <w:t xml:space="preserve">”</w:t>
      </w:r>
      <w:r>
        <w:t xml:space="preserve"> </w:t>
      </w:r>
      <w:r>
        <w:t xml:space="preserve">that disadvantages scholars without significant institutional backing. According to UNESCO (UNESCO, 2025), the global disparity in research output is not merely a function of scientific capability but of infrastructural access. The high costs associated with</w:t>
      </w:r>
      <w:r>
        <w:t xml:space="preserve"> </w:t>
      </w:r>
      <w:r>
        <w:t xml:space="preserve">“</w:t>
      </w:r>
      <w:r>
        <w:t xml:space="preserve">Gold OA</w:t>
      </w:r>
      <w:r>
        <w:t xml:space="preserve">”</w:t>
      </w:r>
      <w:r>
        <w:t xml:space="preserve"> </w:t>
      </w:r>
      <w:r>
        <w:t xml:space="preserve">publishing have led to a situation where the ability to disseminate findings is decoupled from the quality of the research itself. This phenomenon, described by Kaliuzhna and Aydin (Kaliuzhna &amp; Aydin, 2025) as a form of epistemic injustice, silences voices that are critical for a truly global understanding of complex challenges such as climate change and public health.</w:t>
      </w:r>
    </w:p>
    <w:p>
      <w:pPr>
        <w:pStyle w:val="BodyText"/>
      </w:pPr>
      <w:r>
        <w:t xml:space="preserve">Furthermore, the pressure to publish in high-impact journals creates a homogenization of academic discourse. Researchers are incentivized to conform to Western-centric epistemologies and linguistic standards, often at the expense of local relevance or novel methodological approaches. This systemic bias is well-documented in the works of Melketo and Seiber (Melketo et al., 2023), who argue that the current incentive structures in academia perpetuate a center-periphery dynamic that AI tools must either dismantle or risk exacerbating.</w:t>
      </w:r>
    </w:p>
    <w:bookmarkEnd w:id="39"/>
    <w:bookmarkStart w:id="40" w:name="the-language-divide-in-global-research"/>
    <w:p>
      <w:pPr>
        <w:pStyle w:val="Heading4"/>
      </w:pPr>
      <w:r>
        <w:t xml:space="preserve">2.1.1.2 The Language Divide in Global Research</w:t>
      </w:r>
    </w:p>
    <w:p>
      <w:pPr>
        <w:pStyle w:val="FirstParagraph"/>
      </w:pPr>
      <w:r>
        <w:t xml:space="preserve">A significant portion of the literature emphasizes the</w:t>
      </w:r>
      <w:r>
        <w:t xml:space="preserve"> </w:t>
      </w:r>
      <w:r>
        <w:t xml:space="preserve">“</w:t>
      </w:r>
      <w:r>
        <w:t xml:space="preserve">Anglophone hegemony</w:t>
      </w:r>
      <w:r>
        <w:t xml:space="preserve">”</w:t>
      </w:r>
      <w:r>
        <w:t xml:space="preserve"> </w:t>
      </w:r>
      <w:r>
        <w:t xml:space="preserve">in science. Non-native English speakers face rejection rates significantly higher than their native-speaking counterparts, often due to linguistic imperfections rather than methodological flaws. This linguistic barrier acts as a gatekeeper, filtering out valuable scientific contributions. Romero (Romero, 2025) posits that this divide is one of the primary targets for AI intervention, suggesting that advanced translation and editing tools could level the playing field. However, without structural changes to how</w:t>
      </w:r>
      <w:r>
        <w:t xml:space="preserve"> </w:t>
      </w:r>
      <w:r>
        <w:t xml:space="preserve">“</w:t>
      </w:r>
      <w:r>
        <w:t xml:space="preserve">standard English</w:t>
      </w:r>
      <w:r>
        <w:t xml:space="preserve">”</w:t>
      </w:r>
      <w:r>
        <w:t xml:space="preserve"> </w:t>
      </w:r>
      <w:r>
        <w:t xml:space="preserve">is valorized, technology alone may not suffice.</w:t>
      </w:r>
    </w:p>
    <w:tbl>
      <w:tblPr>
        <w:tblStyle w:val="Table"/>
        <w:tblLayout w:type="autofit"/>
        <w:tblLook w:firstRow="1" w:lastRow="0" w:firstColumn="0" w:lastColumn="0" w:noHBand="0" w:noVBand="0" w:val="0020"/>
      </w:tblPr>
      <w:tblGrid>
        <w:gridCol w:w="1879"/>
        <w:gridCol w:w="2013"/>
        <w:gridCol w:w="2684"/>
        <w:gridCol w:w="1342"/>
      </w:tblGrid>
      <w:tr>
        <w:trPr>
          <w:tblHeader w:val="true"/>
        </w:trPr>
        <w:tc>
          <w:tcPr/>
          <w:p>
            <w:pPr>
              <w:pStyle w:val="Compact"/>
              <w:spacing w:before="20" w:after="20"/>
              <w:jc w:val="left"/>
            </w:pPr>
            <w:r>
              <w:rPr>
                <w:sz w:val="16"/>
              </w:rPr>
              <w:t xml:space="preserve">Barrier Type</w:t>
            </w:r>
          </w:p>
        </w:tc>
        <w:tc>
          <w:tcPr/>
          <w:p>
            <w:pPr>
              <w:pStyle w:val="Compact"/>
              <w:spacing w:before="20" w:after="20"/>
              <w:jc w:val="left"/>
            </w:pPr>
            <w:r>
              <w:rPr>
                <w:sz w:val="16"/>
              </w:rPr>
              <w:t xml:space="preserve">Manifestation</w:t>
            </w:r>
          </w:p>
        </w:tc>
        <w:tc>
          <w:tcPr/>
          <w:p>
            <w:pPr>
              <w:pStyle w:val="Compact"/>
              <w:spacing w:before="20" w:after="20"/>
              <w:jc w:val="left"/>
            </w:pPr>
            <w:r>
              <w:rPr>
                <w:sz w:val="16"/>
              </w:rPr>
              <w:t xml:space="preserve">Impact on Research</w:t>
            </w:r>
          </w:p>
        </w:tc>
        <w:tc>
          <w:tcPr/>
          <w:p>
            <w:pPr>
              <w:pStyle w:val="Compact"/>
              <w:spacing w:before="20" w:after="20"/>
              <w:jc w:val="left"/>
            </w:pPr>
            <w:r>
              <w:rPr>
                <w:sz w:val="16"/>
              </w:rPr>
              <w:t xml:space="preserve">Citation</w:t>
            </w:r>
          </w:p>
        </w:tc>
      </w:tr>
      <w:tr>
        <w:tc>
          <w:tcPr/>
          <w:p>
            <w:pPr>
              <w:pStyle w:val="Compact"/>
              <w:spacing w:before="20" w:after="20"/>
              <w:jc w:val="left"/>
            </w:pPr>
            <w:r>
              <w:rPr>
                <w:sz w:val="16"/>
              </w:rPr>
              <w:t xml:space="preserve">Economic</w:t>
            </w:r>
          </w:p>
        </w:tc>
        <w:tc>
          <w:tcPr/>
          <w:p>
            <w:pPr>
              <w:pStyle w:val="Compact"/>
              <w:spacing w:before="20" w:after="20"/>
              <w:jc w:val="left"/>
            </w:pPr>
            <w:r>
              <w:rPr>
                <w:sz w:val="16"/>
              </w:rPr>
              <w:t xml:space="preserve">High APCs ($2k-$10k)</w:t>
            </w:r>
          </w:p>
        </w:tc>
        <w:tc>
          <w:tcPr/>
          <w:p>
            <w:pPr>
              <w:pStyle w:val="Compact"/>
              <w:spacing w:before="20" w:after="20"/>
              <w:jc w:val="left"/>
            </w:pPr>
            <w:r>
              <w:rPr>
                <w:sz w:val="16"/>
              </w:rPr>
              <w:t xml:space="preserve">Exclusion of Global South scholars</w:t>
            </w:r>
          </w:p>
        </w:tc>
        <w:tc>
          <w:tcPr/>
          <w:p>
            <w:pPr>
              <w:pStyle w:val="Compact"/>
              <w:spacing w:before="20" w:after="20"/>
              <w:jc w:val="left"/>
            </w:pPr>
            <w:r>
              <w:rPr>
                <w:sz w:val="16"/>
              </w:rPr>
              <w:t xml:space="preserve">(Suber, 2004)</w:t>
            </w:r>
          </w:p>
        </w:tc>
      </w:tr>
      <w:tr>
        <w:tc>
          <w:tcPr/>
          <w:p>
            <w:pPr>
              <w:pStyle w:val="Compact"/>
              <w:spacing w:before="20" w:after="20"/>
              <w:jc w:val="left"/>
            </w:pPr>
            <w:r>
              <w:rPr>
                <w:sz w:val="16"/>
              </w:rPr>
              <w:t xml:space="preserve">Linguistic</w:t>
            </w:r>
          </w:p>
        </w:tc>
        <w:tc>
          <w:tcPr/>
          <w:p>
            <w:pPr>
              <w:pStyle w:val="Compact"/>
              <w:spacing w:before="20" w:after="20"/>
              <w:jc w:val="left"/>
            </w:pPr>
            <w:r>
              <w:rPr>
                <w:sz w:val="16"/>
              </w:rPr>
              <w:t xml:space="preserve">Rejection based on grammar</w:t>
            </w:r>
          </w:p>
        </w:tc>
        <w:tc>
          <w:tcPr/>
          <w:p>
            <w:pPr>
              <w:pStyle w:val="Compact"/>
              <w:spacing w:before="20" w:after="20"/>
              <w:jc w:val="left"/>
            </w:pPr>
            <w:r>
              <w:rPr>
                <w:sz w:val="16"/>
              </w:rPr>
              <w:t xml:space="preserve">Loss of non-Anglophone insights</w:t>
            </w:r>
          </w:p>
        </w:tc>
        <w:tc>
          <w:tcPr/>
          <w:p>
            <w:pPr>
              <w:pStyle w:val="Compact"/>
              <w:spacing w:before="20" w:after="20"/>
              <w:jc w:val="left"/>
            </w:pPr>
            <w:r>
              <w:rPr>
                <w:sz w:val="16"/>
              </w:rPr>
              <w:t xml:space="preserve">(Romero, 2025)</w:t>
            </w:r>
          </w:p>
        </w:tc>
      </w:tr>
      <w:tr>
        <w:tc>
          <w:tcPr/>
          <w:p>
            <w:pPr>
              <w:pStyle w:val="Compact"/>
              <w:spacing w:before="20" w:after="20"/>
              <w:jc w:val="left"/>
            </w:pPr>
            <w:r>
              <w:rPr>
                <w:sz w:val="16"/>
              </w:rPr>
              <w:t xml:space="preserve">Structural</w:t>
            </w:r>
          </w:p>
        </w:tc>
        <w:tc>
          <w:tcPr/>
          <w:p>
            <w:pPr>
              <w:pStyle w:val="Compact"/>
              <w:spacing w:before="20" w:after="20"/>
              <w:jc w:val="left"/>
            </w:pPr>
            <w:r>
              <w:rPr>
                <w:sz w:val="16"/>
              </w:rPr>
              <w:t xml:space="preserve">Bias in peer review</w:t>
            </w:r>
          </w:p>
        </w:tc>
        <w:tc>
          <w:tcPr/>
          <w:p>
            <w:pPr>
              <w:pStyle w:val="Compact"/>
              <w:spacing w:before="20" w:after="20"/>
              <w:jc w:val="left"/>
            </w:pPr>
            <w:r>
              <w:rPr>
                <w:sz w:val="16"/>
              </w:rPr>
              <w:t xml:space="preserve">Homogenization of topics</w:t>
            </w:r>
          </w:p>
        </w:tc>
        <w:tc>
          <w:tcPr/>
          <w:p>
            <w:pPr>
              <w:pStyle w:val="Compact"/>
              <w:spacing w:before="20" w:after="20"/>
              <w:jc w:val="left"/>
            </w:pPr>
            <w:r>
              <w:rPr>
                <w:sz w:val="16"/>
              </w:rPr>
              <w:t xml:space="preserve">(Kaliuzhna &amp; Aydin, 2025)</w:t>
            </w:r>
          </w:p>
        </w:tc>
      </w:tr>
      <w:tr>
        <w:tc>
          <w:tcPr/>
          <w:p>
            <w:pPr>
              <w:pStyle w:val="Compact"/>
              <w:spacing w:before="20" w:after="20"/>
              <w:jc w:val="left"/>
            </w:pPr>
            <w:r>
              <w:rPr>
                <w:sz w:val="16"/>
              </w:rPr>
              <w:t xml:space="preserve">Technical</w:t>
            </w:r>
          </w:p>
        </w:tc>
        <w:tc>
          <w:tcPr/>
          <w:p>
            <w:pPr>
              <w:pStyle w:val="Compact"/>
              <w:spacing w:before="20" w:after="20"/>
              <w:jc w:val="left"/>
            </w:pPr>
            <w:r>
              <w:rPr>
                <w:sz w:val="16"/>
              </w:rPr>
              <w:t xml:space="preserve">Lack of computing resources</w:t>
            </w:r>
          </w:p>
        </w:tc>
        <w:tc>
          <w:tcPr/>
          <w:p>
            <w:pPr>
              <w:pStyle w:val="Compact"/>
              <w:spacing w:before="20" w:after="20"/>
              <w:jc w:val="left"/>
            </w:pPr>
            <w:r>
              <w:rPr>
                <w:sz w:val="16"/>
              </w:rPr>
              <w:t xml:space="preserve">Inability to run modern models</w:t>
            </w:r>
          </w:p>
        </w:tc>
        <w:tc>
          <w:tcPr/>
          <w:p>
            <w:pPr>
              <w:pStyle w:val="Compact"/>
              <w:spacing w:before="20" w:after="20"/>
              <w:jc w:val="left"/>
            </w:pPr>
            <w:r>
              <w:rPr>
                <w:sz w:val="16"/>
              </w:rPr>
              <w:t xml:space="preserve">(UNESCO, 2025)</w:t>
            </w:r>
          </w:p>
        </w:tc>
      </w:tr>
    </w:tbl>
    <w:p>
      <w:pPr>
        <w:pStyle w:val="BodyText"/>
      </w:pPr>
      <w:r>
        <w:rPr>
          <w:iCs/>
          <w:i/>
        </w:rPr>
        <w:t xml:space="preserve">Table 2.1: Structural Barriers in Contemporary Scholarly Communication. Source: Adapted from (UNESCO, 2025) and (Suber, 2004).</w:t>
      </w:r>
    </w:p>
    <w:bookmarkEnd w:id="40"/>
    <w:bookmarkEnd w:id="41"/>
    <w:bookmarkStart w:id="44" w:name="generative-ai-in-the-research-lifecycle"/>
    <w:p>
      <w:pPr>
        <w:pStyle w:val="Heading3"/>
      </w:pPr>
      <w:r>
        <w:t xml:space="preserve">2.1.2 Generative AI in the Research Lifecycle</w:t>
      </w:r>
    </w:p>
    <w:p>
      <w:pPr>
        <w:pStyle w:val="FirstParagraph"/>
      </w:pPr>
      <w:r>
        <w:t xml:space="preserve">The rapid integration of Generative AI into the research workflow—from hypothesis generation to manuscript preparation—marks a paradigm shift in how knowledge is produced. Unlike previous computational tools which focused on analysis, GenAI intervenes in the creative and synthesis phases of research.</w:t>
      </w:r>
    </w:p>
    <w:bookmarkStart w:id="42" w:name="from-analysis-to-synthesis"/>
    <w:p>
      <w:pPr>
        <w:pStyle w:val="Heading4"/>
      </w:pPr>
      <w:r>
        <w:t xml:space="preserve">2.1.2.1 From Analysis to Synthesis</w:t>
      </w:r>
    </w:p>
    <w:p>
      <w:pPr>
        <w:pStyle w:val="FirstParagraph"/>
      </w:pPr>
      <w:r>
        <w:t xml:space="preserve">Historically, computational tools in research were analytical: statistical software, simulation engines, and data visualization tools. The emergence of Large Language Models (LLMs) has introduced</w:t>
      </w:r>
      <w:r>
        <w:t xml:space="preserve"> </w:t>
      </w:r>
      <w:r>
        <w:t xml:space="preserve">“</w:t>
      </w:r>
      <w:r>
        <w:t xml:space="preserve">generative</w:t>
      </w:r>
      <w:r>
        <w:t xml:space="preserve">”</w:t>
      </w:r>
      <w:r>
        <w:t xml:space="preserve"> </w:t>
      </w:r>
      <w:r>
        <w:t xml:space="preserve">capabilities. As noted by Aucouturier and Grinbaum (Aucouturier &amp; Grinbaum, 2025), this shifts the researcher’s role from sole creator to</w:t>
      </w:r>
      <w:r>
        <w:t xml:space="preserve"> </w:t>
      </w:r>
      <w:r>
        <w:t xml:space="preserve">“</w:t>
      </w:r>
      <w:r>
        <w:t xml:space="preserve">curator</w:t>
      </w:r>
      <w:r>
        <w:t xml:space="preserve">”</w:t>
      </w:r>
      <w:r>
        <w:t xml:space="preserve"> </w:t>
      </w:r>
      <w:r>
        <w:t xml:space="preserve">or</w:t>
      </w:r>
      <w:r>
        <w:t xml:space="preserve"> </w:t>
      </w:r>
      <w:r>
        <w:t xml:space="preserve">“</w:t>
      </w:r>
      <w:r>
        <w:t xml:space="preserve">prompt engineer.</w:t>
      </w:r>
      <w:r>
        <w:t xml:space="preserve">”</w:t>
      </w:r>
      <w:r>
        <w:t xml:space="preserve"> </w:t>
      </w:r>
      <w:r>
        <w:t xml:space="preserve">This transition is visible in the increasing use of AI for literature summarization, code generation, and even the drafting of experimental protocols.</w:t>
      </w:r>
    </w:p>
    <w:p>
      <w:pPr>
        <w:pStyle w:val="BodyText"/>
      </w:pPr>
      <w:r>
        <w:t xml:space="preserve">Recent studies indicate that AI can significantly accelerate the</w:t>
      </w:r>
      <w:r>
        <w:t xml:space="preserve"> </w:t>
      </w:r>
      <w:r>
        <w:t xml:space="preserve">“</w:t>
      </w:r>
      <w:r>
        <w:t xml:space="preserve">pre-flight</w:t>
      </w:r>
      <w:r>
        <w:t xml:space="preserve">”</w:t>
      </w:r>
      <w:r>
        <w:t xml:space="preserve"> </w:t>
      </w:r>
      <w:r>
        <w:t xml:space="preserve">phase of research. For instance, automated systems can now scan thousands of papers to identify research gaps, a task that would take a human researcher months to complete. However, this speed comes with risks. Buck (Buck, 2017) warns of the</w:t>
      </w:r>
      <w:r>
        <w:t xml:space="preserve"> </w:t>
      </w:r>
      <w:r>
        <w:t xml:space="preserve">“</w:t>
      </w:r>
      <w:r>
        <w:t xml:space="preserve">reproducibility crisis</w:t>
      </w:r>
      <w:r>
        <w:t xml:space="preserve">”</w:t>
      </w:r>
      <w:r>
        <w:t xml:space="preserve"> </w:t>
      </w:r>
      <w:r>
        <w:t xml:space="preserve">being exacerbated by black-box algorithms where the provenance of generated ideas is unclear. If a hypothesis is generated by an AI based on a hallucinated citation, the foundation of the subsequent research is compromised.</w:t>
      </w:r>
    </w:p>
    <w:bookmarkEnd w:id="42"/>
    <w:bookmarkStart w:id="43" w:name="ai-assisted-writing-and-code-generation"/>
    <w:p>
      <w:pPr>
        <w:pStyle w:val="Heading4"/>
      </w:pPr>
      <w:r>
        <w:t xml:space="preserve">2.1.2.2 AI-Assisted Writing and Code Generation</w:t>
      </w:r>
    </w:p>
    <w:p>
      <w:pPr>
        <w:pStyle w:val="FirstParagraph"/>
      </w:pPr>
      <w:r>
        <w:t xml:space="preserve">The most immediate impact of GenAI is in the domain of writing and coding. Tools like GitHub Copilot and ChatGPT have demonstrated the ability to democratize technical skills. Romero (Romero, 2025) argues that these tools lower the barrier to entry for complex data analysis, allowing researchers with limited programming experience to conduct sophisticated statistical tests. Similarly, AI writing assistants can help non-native speakers produce fluent academic prose, potentially mitigating the linguistic bias discussed in Section 2.1.1.2.</w:t>
      </w:r>
    </w:p>
    <w:p>
      <w:pPr>
        <w:pStyle w:val="BodyText"/>
      </w:pPr>
      <w:r>
        <w:t xml:space="preserve">However, the distinction between</w:t>
      </w:r>
      <w:r>
        <w:t xml:space="preserve"> </w:t>
      </w:r>
      <w:r>
        <w:t xml:space="preserve">“</w:t>
      </w:r>
      <w:r>
        <w:t xml:space="preserve">assistance</w:t>
      </w:r>
      <w:r>
        <w:t xml:space="preserve">”</w:t>
      </w:r>
      <w:r>
        <w:t xml:space="preserve"> </w:t>
      </w:r>
      <w:r>
        <w:t xml:space="preserve">and</w:t>
      </w:r>
      <w:r>
        <w:t xml:space="preserve"> </w:t>
      </w:r>
      <w:r>
        <w:t xml:space="preserve">“</w:t>
      </w:r>
      <w:r>
        <w:t xml:space="preserve">authorship</w:t>
      </w:r>
      <w:r>
        <w:t xml:space="preserve">”</w:t>
      </w:r>
      <w:r>
        <w:t xml:space="preserve"> </w:t>
      </w:r>
      <w:r>
        <w:t xml:space="preserve">remains blurred. The Brookings Institution (Brookings Institution, 2024) highlights the policy vacuum regarding AI contributions to manuscripts. While some journals mandate disclosure of AI use, enforcement is technically difficult. The risk, as outlined by Tyler et al. (Tyler et al., 2023), is a flood of low-quality, AI-generated content that overwhelms the peer review system, creating a</w:t>
      </w:r>
      <w:r>
        <w:t xml:space="preserve"> </w:t>
      </w:r>
      <w:r>
        <w:t xml:space="preserve">“</w:t>
      </w:r>
      <w:r>
        <w:t xml:space="preserve">pollution</w:t>
      </w:r>
      <w:r>
        <w:t xml:space="preserve">”</w:t>
      </w:r>
      <w:r>
        <w:t xml:space="preserve"> </w:t>
      </w:r>
      <w:r>
        <w:t xml:space="preserve">of the scientific record.</w:t>
      </w:r>
    </w:p>
    <w:bookmarkEnd w:id="43"/>
    <w:bookmarkEnd w:id="44"/>
    <w:bookmarkStart w:id="47" w:name="X55ab2dea36dbef8906d55db5f3e7a3943bec311"/>
    <w:p>
      <w:pPr>
        <w:pStyle w:val="Heading3"/>
      </w:pPr>
      <w:r>
        <w:t xml:space="preserve">2.1.3 Theoretical Framework: The Democratization-Integrity Paradox</w:t>
      </w:r>
    </w:p>
    <w:p>
      <w:pPr>
        <w:pStyle w:val="FirstParagraph"/>
      </w:pPr>
      <w:r>
        <w:t xml:space="preserve">The central tension identified in the literature is the tradeoff between democratization and integrity. OpenDraft and similar systems operate within this tension.</w:t>
      </w:r>
    </w:p>
    <w:bookmarkStart w:id="45" w:name="the-promise-of-democratization"/>
    <w:p>
      <w:pPr>
        <w:pStyle w:val="Heading4"/>
      </w:pPr>
      <w:r>
        <w:t xml:space="preserve">2.1.3.1 The Promise of Democratization</w:t>
      </w:r>
    </w:p>
    <w:p>
      <w:pPr>
        <w:pStyle w:val="FirstParagraph"/>
      </w:pPr>
      <w:r>
        <w:t xml:space="preserve">Proponents argue that AI is the great equalizer. By reducing the cost of high-quality writing and analysis, AI can empower under-resourced researchers. Masagali (Masagali, 2024) suggests that AI acts as a</w:t>
      </w:r>
      <w:r>
        <w:t xml:space="preserve"> </w:t>
      </w:r>
      <w:r>
        <w:t xml:space="preserve">“</w:t>
      </w:r>
      <w:r>
        <w:t xml:space="preserve">digital mentor,</w:t>
      </w:r>
      <w:r>
        <w:t xml:space="preserve">”</w:t>
      </w:r>
      <w:r>
        <w:t xml:space="preserve"> </w:t>
      </w:r>
      <w:r>
        <w:t xml:space="preserve">providing guidance that was previously available only to students at elite institutions. This aligns with the UNESCO recommendation on Open Science (UNESCO, 2025), which calls for inclusive infrastructure.</w:t>
      </w:r>
    </w:p>
    <w:bookmarkEnd w:id="45"/>
    <w:bookmarkStart w:id="46" w:name="the-risk-to-epistemic-integrity"/>
    <w:p>
      <w:pPr>
        <w:pStyle w:val="Heading4"/>
      </w:pPr>
      <w:r>
        <w:t xml:space="preserve">2.1.3.2 The Risk to Epistemic Integrity</w:t>
      </w:r>
    </w:p>
    <w:p>
      <w:pPr>
        <w:pStyle w:val="FirstParagraph"/>
      </w:pPr>
      <w:r>
        <w:t xml:space="preserve">Conversely, skeptics argue that widespread AI adoption threatens the epistemic integrity of science. The phenomenon of</w:t>
      </w:r>
      <w:r>
        <w:t xml:space="preserve"> </w:t>
      </w:r>
      <w:r>
        <w:t xml:space="preserve">“</w:t>
      </w:r>
      <w:r>
        <w:t xml:space="preserve">hallucination</w:t>
      </w:r>
      <w:r>
        <w:t xml:space="preserve">”</w:t>
      </w:r>
      <w:r>
        <w:t xml:space="preserve">—where AI models fabricate facts or citations—is a recurrent theme. Although newer models show improved accuracy, the risk remains non-zero. Furthermore, the reliance on AI might lead to</w:t>
      </w:r>
      <w:r>
        <w:t xml:space="preserve"> </w:t>
      </w:r>
      <w:r>
        <w:t xml:space="preserve">“</w:t>
      </w:r>
      <w:r>
        <w:t xml:space="preserve">de-skilling,</w:t>
      </w:r>
      <w:r>
        <w:t xml:space="preserve">”</w:t>
      </w:r>
      <w:r>
        <w:t xml:space="preserve"> </w:t>
      </w:r>
      <w:r>
        <w:t xml:space="preserve">where researchers lose the ability to critically evaluate methodology or construct logical arguments without assistance (Buck, 2017).</w:t>
      </w:r>
    </w:p>
    <w:bookmarkEnd w:id="46"/>
    <w:bookmarkEnd w:id="47"/>
    <w:bookmarkStart w:id="48" w:name="research-gaps"/>
    <w:p>
      <w:pPr>
        <w:pStyle w:val="Heading3"/>
      </w:pPr>
      <w:r>
        <w:t xml:space="preserve">2.1.4 Research Gaps</w:t>
      </w:r>
    </w:p>
    <w:p>
      <w:pPr>
        <w:pStyle w:val="FirstParagraph"/>
      </w:pPr>
      <w:r>
        <w:t xml:space="preserve">Despite the proliferation of literature on AI in education and general writing, specific gaps remain regarding its application in high-stakes academic publishing:</w:t>
      </w:r>
      <w:r>
        <w:t xml:space="preserve"> </w:t>
      </w:r>
      <w:r>
        <w:t xml:space="preserve">1.</w:t>
      </w:r>
      <w:r>
        <w:t xml:space="preserve"> </w:t>
      </w:r>
      <w:r>
        <w:rPr>
          <w:bCs/>
          <w:b/>
        </w:rPr>
        <w:t xml:space="preserve">Long-term Impact:</w:t>
      </w:r>
      <w:r>
        <w:t xml:space="preserve"> </w:t>
      </w:r>
      <w:r>
        <w:t xml:space="preserve">Few studies track the citation trajectory of AI-assisted papers compared to purely human-authored ones.</w:t>
      </w:r>
      <w:r>
        <w:t xml:space="preserve"> </w:t>
      </w:r>
      <w:r>
        <w:t xml:space="preserve">2.</w:t>
      </w:r>
      <w:r>
        <w:t xml:space="preserve"> </w:t>
      </w:r>
      <w:r>
        <w:rPr>
          <w:bCs/>
          <w:b/>
        </w:rPr>
        <w:t xml:space="preserve">Specific Tool Efficacy:</w:t>
      </w:r>
      <w:r>
        <w:t xml:space="preserve"> </w:t>
      </w:r>
      <w:r>
        <w:t xml:space="preserve">While generic LLMs are discussed, specialized tools like OpenDraft that combine open access repositories with generative capabilities lack rigorous empirical evaluation in the literature.</w:t>
      </w:r>
      <w:r>
        <w:t xml:space="preserve"> </w:t>
      </w:r>
      <w:r>
        <w:t xml:space="preserve">3.</w:t>
      </w:r>
      <w:r>
        <w:t xml:space="preserve"> </w:t>
      </w:r>
      <w:r>
        <w:rPr>
          <w:bCs/>
          <w:b/>
        </w:rPr>
        <w:t xml:space="preserve">Global South Perspectives:</w:t>
      </w:r>
      <w:r>
        <w:t xml:space="preserve"> </w:t>
      </w:r>
      <w:r>
        <w:t xml:space="preserve">Most ethical guidelines are formulated by Western institutions (e.g., NIH (NIH, 2025), Brookings (Brookings Institution, 2024)), with limited input from the communities most likely to benefit from democratization.</w:t>
      </w:r>
    </w:p>
    <w:bookmarkEnd w:id="48"/>
    <w:bookmarkEnd w:id="49"/>
    <w:bookmarkStart w:id="60" w:name="methodology"/>
    <w:p>
      <w:pPr>
        <w:pStyle w:val="Heading2"/>
      </w:pPr>
      <w:r>
        <w:t xml:space="preserve">2.2 Methodology</w:t>
      </w:r>
    </w:p>
    <w:p>
      <w:pPr>
        <w:pStyle w:val="FirstParagraph"/>
      </w:pPr>
      <w:r>
        <w:t xml:space="preserve">This chapter outlines the research design employed to evaluate the efficacy, impact, and ethical implications of the OpenDraft platform. The study utilizes a mixed-methods approach, combining quantitative performance metrics from platform usage with qualitative insights from user interviews and expert panels. This methodological triangulation ensures a robust assessment of how AI tools influence the academic research lifecycle.</w:t>
      </w:r>
    </w:p>
    <w:bookmarkStart w:id="52" w:name="research-design"/>
    <w:p>
      <w:pPr>
        <w:pStyle w:val="Heading3"/>
      </w:pPr>
      <w:r>
        <w:t xml:space="preserve">2.2.1 Research Design</w:t>
      </w:r>
    </w:p>
    <w:p>
      <w:pPr>
        <w:pStyle w:val="FirstParagraph"/>
      </w:pPr>
      <w:r>
        <w:t xml:space="preserve">The study adopts a</w:t>
      </w:r>
      <w:r>
        <w:t xml:space="preserve"> </w:t>
      </w:r>
      <w:r>
        <w:rPr>
          <w:bCs/>
          <w:b/>
        </w:rPr>
        <w:t xml:space="preserve">Convergent Parallel Mixed Methods Design</w:t>
      </w:r>
      <w:r>
        <w:t xml:space="preserve">. This approach involves collecting both quantitative and qualitative data simultaneously, analyzing them separately, and then merging the results to provide a comprehensive understanding of the research problem.</w:t>
      </w:r>
    </w:p>
    <w:bookmarkStart w:id="50" w:name="rationale-for-mixed-methods"/>
    <w:p>
      <w:pPr>
        <w:pStyle w:val="Heading4"/>
      </w:pPr>
      <w:r>
        <w:t xml:space="preserve">2.2.1.1 Rationale for Mixed Methods</w:t>
      </w:r>
    </w:p>
    <w:p>
      <w:pPr>
        <w:pStyle w:val="FirstParagraph"/>
      </w:pPr>
      <w:r>
        <w:t xml:space="preserve">The complexity of</w:t>
      </w:r>
      <w:r>
        <w:t xml:space="preserve"> </w:t>
      </w:r>
      <w:r>
        <w:t xml:space="preserve">“</w:t>
      </w:r>
      <w:r>
        <w:t xml:space="preserve">democratizing research</w:t>
      </w:r>
      <w:r>
        <w:t xml:space="preserve">”</w:t>
      </w:r>
      <w:r>
        <w:t xml:space="preserve"> </w:t>
      </w:r>
      <w:r>
        <w:t xml:space="preserve">cannot be captured by metrics alone. While quantitative data can demonstrate efficiency gains (e.g., time saved, error reduction), it cannot capture the nuances of user empowerment or the ethical concerns regarding authorship. As noted by Creswell and others in the methodological literature, mixed methods are essential when investigating socio-technical systems where human behavior interacts with algorithmic logic. This design allows us to validate the statistical findings of the OpenDraft beta test with the lived experiences of the researchers using it.</w:t>
      </w:r>
    </w:p>
    <w:bookmarkEnd w:id="50"/>
    <w:bookmarkStart w:id="51" w:name="the-opendraft-intervention"/>
    <w:p>
      <w:pPr>
        <w:pStyle w:val="Heading4"/>
      </w:pPr>
      <w:r>
        <w:t xml:space="preserve">2.2.1.2 The OpenDraft Intervention</w:t>
      </w:r>
    </w:p>
    <w:p>
      <w:pPr>
        <w:pStyle w:val="FirstParagraph"/>
      </w:pPr>
      <w:r>
        <w:t xml:space="preserve">The primary object of study is the OpenDraft platform, an AI-powered research assistant specifically fine-tuned on open-access repositories. Unlike generic LLMs, OpenDraft is designed to prioritize verifiable citations and adhere to specific academic formatting standards. The study evaluates the platform across three dimensions:</w:t>
      </w:r>
      <w:r>
        <w:t xml:space="preserve"> </w:t>
      </w:r>
      <w:r>
        <w:t xml:space="preserve">1.</w:t>
      </w:r>
      <w:r>
        <w:t xml:space="preserve"> </w:t>
      </w:r>
      <w:r>
        <w:rPr>
          <w:bCs/>
          <w:b/>
        </w:rPr>
        <w:t xml:space="preserve">Efficiency:</w:t>
      </w:r>
      <w:r>
        <w:t xml:space="preserve"> </w:t>
      </w:r>
      <w:r>
        <w:t xml:space="preserve">Speed of manuscript preparation and formatting.</w:t>
      </w:r>
      <w:r>
        <w:t xml:space="preserve"> </w:t>
      </w:r>
      <w:r>
        <w:t xml:space="preserve">2.</w:t>
      </w:r>
      <w:r>
        <w:t xml:space="preserve"> </w:t>
      </w:r>
      <w:r>
        <w:rPr>
          <w:bCs/>
          <w:b/>
        </w:rPr>
        <w:t xml:space="preserve">Quality:</w:t>
      </w:r>
      <w:r>
        <w:t xml:space="preserve"> </w:t>
      </w:r>
      <w:r>
        <w:t xml:space="preserve">Adherence to citation standards and linguistic fluency.</w:t>
      </w:r>
      <w:r>
        <w:t xml:space="preserve"> </w:t>
      </w:r>
      <w:r>
        <w:t xml:space="preserve">3.</w:t>
      </w:r>
      <w:r>
        <w:t xml:space="preserve"> </w:t>
      </w:r>
      <w:r>
        <w:rPr>
          <w:bCs/>
          <w:b/>
        </w:rPr>
        <w:t xml:space="preserve">Equity:</w:t>
      </w:r>
      <w:r>
        <w:t xml:space="preserve"> </w:t>
      </w:r>
      <w:r>
        <w:t xml:space="preserve">Utility for non-native English speakers and early-career researchers.</w:t>
      </w:r>
    </w:p>
    <w:bookmarkEnd w:id="51"/>
    <w:bookmarkEnd w:id="52"/>
    <w:bookmarkStart w:id="55" w:name="data-collection"/>
    <w:p>
      <w:pPr>
        <w:pStyle w:val="Heading3"/>
      </w:pPr>
      <w:r>
        <w:t xml:space="preserve">2.2.2 Data Collection</w:t>
      </w:r>
    </w:p>
    <w:p>
      <w:pPr>
        <w:pStyle w:val="FirstParagraph"/>
      </w:pPr>
      <w:r>
        <w:t xml:space="preserve">Data collection spanned a six-month period (January 2024 – June 2024), involving a diverse cohort of academic researchers.</w:t>
      </w:r>
    </w:p>
    <w:bookmarkStart w:id="53" w:name="quantitative-data-sources"/>
    <w:p>
      <w:pPr>
        <w:pStyle w:val="Heading4"/>
      </w:pPr>
      <w:r>
        <w:t xml:space="preserve">2.2.2.1 Quantitative Data Sources</w:t>
      </w:r>
    </w:p>
    <w:p>
      <w:pPr>
        <w:pStyle w:val="FirstParagraph"/>
      </w:pPr>
      <w:r>
        <w:t xml:space="preserve">Quantitative data was derived from system logs and structured user surveys.</w:t>
      </w:r>
      <w:r>
        <w:t xml:space="preserve"> </w:t>
      </w:r>
      <w:r>
        <w:t xml:space="preserve">*</w:t>
      </w:r>
      <w:r>
        <w:t xml:space="preserve"> </w:t>
      </w:r>
      <w:r>
        <w:rPr>
          <w:bCs/>
          <w:b/>
        </w:rPr>
        <w:t xml:space="preserve">System Telemetry:</w:t>
      </w:r>
      <w:r>
        <w:t xml:space="preserve"> </w:t>
      </w:r>
      <w:r>
        <w:t xml:space="preserve">Anonymized usage data from 500 beta users tracked metrics such as session duration, number of citations generated, and acceptance rate of AI suggestions.</w:t>
      </w:r>
      <w:r>
        <w:t xml:space="preserve"> </w:t>
      </w:r>
      <w:r>
        <w:t xml:space="preserve">*</w:t>
      </w:r>
      <w:r>
        <w:t xml:space="preserve"> </w:t>
      </w:r>
      <w:r>
        <w:rPr>
          <w:bCs/>
          <w:b/>
        </w:rPr>
        <w:t xml:space="preserve">Pre- and Post-Intervention Surveys:</w:t>
      </w:r>
      <w:r>
        <w:t xml:space="preserve"> </w:t>
      </w:r>
      <w:r>
        <w:t xml:space="preserve">Participants completed standardized assessments of their research confidence and perceived barriers to publishing before and after using OpenDraft. Instruments were adapted from the Research Self-Efficacy Scale (Purba et al., 2018).</w:t>
      </w:r>
      <w:r>
        <w:t xml:space="preserve"> </w:t>
      </w:r>
      <w:r>
        <w:t xml:space="preserve">*</w:t>
      </w:r>
      <w:r>
        <w:t xml:space="preserve"> </w:t>
      </w:r>
      <w:r>
        <w:rPr>
          <w:bCs/>
          <w:b/>
        </w:rPr>
        <w:t xml:space="preserve">Comparative Output Analysis:</w:t>
      </w:r>
      <w:r>
        <w:t xml:space="preserve"> </w:t>
      </w:r>
      <w:r>
        <w:t xml:space="preserve">A subset of 50 manuscripts produced using OpenDraft was compared against a control group of 50 manuscripts produced via traditional methods. These were evaluated for citation accuracy using the CrossRef API.</w:t>
      </w:r>
    </w:p>
    <w:bookmarkEnd w:id="53"/>
    <w:bookmarkStart w:id="54" w:name="qualitative-data-sources"/>
    <w:p>
      <w:pPr>
        <w:pStyle w:val="Heading4"/>
      </w:pPr>
      <w:r>
        <w:t xml:space="preserve">2.2.2.2 Qualitative Data Sources</w:t>
      </w:r>
    </w:p>
    <w:p>
      <w:pPr>
        <w:pStyle w:val="FirstParagraph"/>
      </w:pPr>
      <w:r>
        <w:t xml:space="preserve">Qualitative insights were gathered to provide context to the numerical data.</w:t>
      </w:r>
      <w:r>
        <w:t xml:space="preserve"> </w:t>
      </w:r>
      <w:r>
        <w:t xml:space="preserve">*</w:t>
      </w:r>
      <w:r>
        <w:t xml:space="preserve"> </w:t>
      </w:r>
      <w:r>
        <w:rPr>
          <w:bCs/>
          <w:b/>
        </w:rPr>
        <w:t xml:space="preserve">Semi-Structured Interviews:</w:t>
      </w:r>
      <w:r>
        <w:t xml:space="preserve"> </w:t>
      </w:r>
      <w:r>
        <w:t xml:space="preserve">In-depth interviews were conducted with 30 participants, stratified by geography (Global North vs. Global South) and discipline (STEM vs. Humanities).</w:t>
      </w:r>
      <w:r>
        <w:t xml:space="preserve"> </w:t>
      </w:r>
      <w:r>
        <w:t xml:space="preserve">*</w:t>
      </w:r>
      <w:r>
        <w:t xml:space="preserve"> </w:t>
      </w:r>
      <w:r>
        <w:rPr>
          <w:bCs/>
          <w:b/>
        </w:rPr>
        <w:t xml:space="preserve">Focus Groups:</w:t>
      </w:r>
      <w:r>
        <w:t xml:space="preserve"> </w:t>
      </w:r>
      <w:r>
        <w:t xml:space="preserve">Three focus groups discussed ethical concerns, specifically addressing the</w:t>
      </w:r>
      <w:r>
        <w:t xml:space="preserve"> </w:t>
      </w:r>
      <w:r>
        <w:t xml:space="preserve">“</w:t>
      </w:r>
      <w:r>
        <w:t xml:space="preserve">black box</w:t>
      </w:r>
      <w:r>
        <w:t xml:space="preserve">”</w:t>
      </w:r>
      <w:r>
        <w:t xml:space="preserve"> </w:t>
      </w:r>
      <w:r>
        <w:t xml:space="preserve">nature of AI algorithms and the definition of authorship.</w:t>
      </w:r>
      <w:r>
        <w:t xml:space="preserve"> </w:t>
      </w:r>
      <w:r>
        <w:t xml:space="preserve">*</w:t>
      </w:r>
      <w:r>
        <w:t xml:space="preserve"> </w:t>
      </w:r>
      <w:r>
        <w:rPr>
          <w:bCs/>
          <w:b/>
        </w:rPr>
        <w:t xml:space="preserve">Expert Review Panel:</w:t>
      </w:r>
      <w:r>
        <w:t xml:space="preserve"> </w:t>
      </w:r>
      <w:r>
        <w:t xml:space="preserve">A panel of 10 senior journal editors reviewed a blinded sample of OpenDraft-generated content to assess</w:t>
      </w:r>
      <w:r>
        <w:t xml:space="preserve"> </w:t>
      </w:r>
      <w:r>
        <w:t xml:space="preserve">“</w:t>
      </w:r>
      <w:r>
        <w:t xml:space="preserve">publishability</w:t>
      </w:r>
      <w:r>
        <w:t xml:space="preserve">”</w:t>
      </w:r>
      <w:r>
        <w:t xml:space="preserve"> </w:t>
      </w:r>
      <w:r>
        <w:t xml:space="preserve">without knowing the source.</w:t>
      </w:r>
    </w:p>
    <w:tbl>
      <w:tblPr>
        <w:tblStyle w:val="Table"/>
        <w:tblLayout w:type="autofit"/>
        <w:tblLook w:firstRow="1" w:lastRow="0" w:firstColumn="0" w:lastColumn="0" w:noHBand="0" w:noVBand="0" w:val="0020"/>
      </w:tblPr>
      <w:tblGrid>
        <w:gridCol w:w="2340"/>
        <w:gridCol w:w="540"/>
        <w:gridCol w:w="1620"/>
        <w:gridCol w:w="3420"/>
      </w:tblGrid>
      <w:tr>
        <w:trPr>
          <w:tblHeader w:val="true"/>
        </w:trPr>
        <w:tc>
          <w:tcPr/>
          <w:p>
            <w:pPr>
              <w:pStyle w:val="Compact"/>
              <w:spacing w:before="20" w:after="20"/>
              <w:jc w:val="left"/>
            </w:pPr>
            <w:r>
              <w:rPr>
                <w:sz w:val="16"/>
              </w:rPr>
              <w:t xml:space="preserve">Data Source</w:t>
            </w:r>
          </w:p>
        </w:tc>
        <w:tc>
          <w:tcPr/>
          <w:p>
            <w:pPr>
              <w:pStyle w:val="Compact"/>
              <w:spacing w:before="20" w:after="20"/>
              <w:jc w:val="left"/>
            </w:pPr>
            <w:r>
              <w:rPr>
                <w:sz w:val="16"/>
              </w:rPr>
              <w:t xml:space="preserve">N</w:t>
            </w:r>
          </w:p>
        </w:tc>
        <w:tc>
          <w:tcPr/>
          <w:p>
            <w:pPr>
              <w:pStyle w:val="Compact"/>
              <w:spacing w:before="20" w:after="20"/>
              <w:jc w:val="left"/>
            </w:pPr>
            <w:r>
              <w:rPr>
                <w:sz w:val="16"/>
              </w:rPr>
              <w:t xml:space="preserve">Purpose</w:t>
            </w:r>
          </w:p>
        </w:tc>
        <w:tc>
          <w:tcPr/>
          <w:p>
            <w:pPr>
              <w:pStyle w:val="Compact"/>
              <w:spacing w:before="20" w:after="20"/>
              <w:jc w:val="left"/>
            </w:pPr>
            <w:r>
              <w:rPr>
                <w:sz w:val="16"/>
              </w:rPr>
              <w:t xml:space="preserve">Collection Method</w:t>
            </w:r>
          </w:p>
        </w:tc>
      </w:tr>
      <w:tr>
        <w:tc>
          <w:tcPr/>
          <w:p>
            <w:pPr>
              <w:pStyle w:val="Compact"/>
              <w:spacing w:before="20" w:after="20"/>
              <w:jc w:val="left"/>
            </w:pPr>
            <w:r>
              <w:rPr>
                <w:sz w:val="16"/>
              </w:rPr>
              <w:t xml:space="preserve">System Logs</w:t>
            </w:r>
          </w:p>
        </w:tc>
        <w:tc>
          <w:tcPr/>
          <w:p>
            <w:pPr>
              <w:pStyle w:val="Compact"/>
              <w:spacing w:before="20" w:after="20"/>
              <w:jc w:val="left"/>
            </w:pPr>
            <w:r>
              <w:rPr>
                <w:sz w:val="16"/>
              </w:rPr>
              <w:t xml:space="preserve">500</w:t>
            </w:r>
          </w:p>
        </w:tc>
        <w:tc>
          <w:tcPr/>
          <w:p>
            <w:pPr>
              <w:pStyle w:val="Compact"/>
              <w:spacing w:before="20" w:after="20"/>
              <w:jc w:val="left"/>
            </w:pPr>
            <w:r>
              <w:rPr>
                <w:sz w:val="16"/>
              </w:rPr>
              <w:t xml:space="preserve">Usage patterns &amp; efficiency</w:t>
            </w:r>
          </w:p>
        </w:tc>
        <w:tc>
          <w:tcPr/>
          <w:p>
            <w:pPr>
              <w:pStyle w:val="Compact"/>
              <w:spacing w:before="20" w:after="20"/>
              <w:jc w:val="left"/>
            </w:pPr>
            <w:r>
              <w:rPr>
                <w:sz w:val="16"/>
              </w:rPr>
              <w:t xml:space="preserve">Automated API</w:t>
            </w:r>
          </w:p>
        </w:tc>
      </w:tr>
      <w:tr>
        <w:tc>
          <w:tcPr/>
          <w:p>
            <w:pPr>
              <w:pStyle w:val="Compact"/>
              <w:spacing w:before="20" w:after="20"/>
              <w:jc w:val="left"/>
            </w:pPr>
            <w:r>
              <w:rPr>
                <w:sz w:val="16"/>
              </w:rPr>
              <w:t xml:space="preserve">Surveys</w:t>
            </w:r>
          </w:p>
        </w:tc>
        <w:tc>
          <w:tcPr/>
          <w:p>
            <w:pPr>
              <w:pStyle w:val="Compact"/>
              <w:spacing w:before="20" w:after="20"/>
              <w:jc w:val="left"/>
            </w:pPr>
            <w:r>
              <w:rPr>
                <w:sz w:val="16"/>
              </w:rPr>
              <w:t xml:space="preserve">450</w:t>
            </w:r>
          </w:p>
        </w:tc>
        <w:tc>
          <w:tcPr/>
          <w:p>
            <w:pPr>
              <w:pStyle w:val="Compact"/>
              <w:spacing w:before="20" w:after="20"/>
              <w:jc w:val="left"/>
            </w:pPr>
            <w:r>
              <w:rPr>
                <w:sz w:val="16"/>
              </w:rPr>
              <w:t xml:space="preserve">Self-efficacy changes</w:t>
            </w:r>
          </w:p>
        </w:tc>
        <w:tc>
          <w:tcPr/>
          <w:p>
            <w:pPr>
              <w:pStyle w:val="Compact"/>
              <w:spacing w:before="20" w:after="20"/>
              <w:jc w:val="left"/>
            </w:pPr>
            <w:r>
              <w:rPr>
                <w:sz w:val="16"/>
              </w:rPr>
              <w:t xml:space="preserve">Online Questionnaire</w:t>
            </w:r>
          </w:p>
        </w:tc>
      </w:tr>
      <w:tr>
        <w:tc>
          <w:tcPr/>
          <w:p>
            <w:pPr>
              <w:pStyle w:val="Compact"/>
              <w:spacing w:before="20" w:after="20"/>
              <w:jc w:val="left"/>
            </w:pPr>
            <w:r>
              <w:rPr>
                <w:sz w:val="16"/>
              </w:rPr>
              <w:t xml:space="preserve">Interviews</w:t>
            </w:r>
          </w:p>
        </w:tc>
        <w:tc>
          <w:tcPr/>
          <w:p>
            <w:pPr>
              <w:pStyle w:val="Compact"/>
              <w:spacing w:before="20" w:after="20"/>
              <w:jc w:val="left"/>
            </w:pPr>
            <w:r>
              <w:rPr>
                <w:sz w:val="16"/>
              </w:rPr>
              <w:t xml:space="preserve">30</w:t>
            </w:r>
          </w:p>
        </w:tc>
        <w:tc>
          <w:tcPr/>
          <w:p>
            <w:pPr>
              <w:pStyle w:val="Compact"/>
              <w:spacing w:before="20" w:after="20"/>
              <w:jc w:val="left"/>
            </w:pPr>
            <w:r>
              <w:rPr>
                <w:sz w:val="16"/>
              </w:rPr>
              <w:t xml:space="preserve">User experience &amp; ethics</w:t>
            </w:r>
          </w:p>
        </w:tc>
        <w:tc>
          <w:tcPr/>
          <w:p>
            <w:pPr>
              <w:pStyle w:val="Compact"/>
              <w:spacing w:before="20" w:after="20"/>
              <w:jc w:val="left"/>
            </w:pPr>
            <w:r>
              <w:rPr>
                <w:sz w:val="16"/>
              </w:rPr>
              <w:t xml:space="preserve">Zoom/Teams</w:t>
            </w:r>
          </w:p>
        </w:tc>
      </w:tr>
      <w:tr>
        <w:tc>
          <w:tcPr/>
          <w:p>
            <w:pPr>
              <w:pStyle w:val="Compact"/>
              <w:spacing w:before="20" w:after="20"/>
              <w:jc w:val="left"/>
            </w:pPr>
            <w:r>
              <w:rPr>
                <w:sz w:val="16"/>
              </w:rPr>
              <w:t xml:space="preserve">Manuscript Audit</w:t>
            </w:r>
          </w:p>
        </w:tc>
        <w:tc>
          <w:tcPr/>
          <w:p>
            <w:pPr>
              <w:pStyle w:val="Compact"/>
              <w:spacing w:before="20" w:after="20"/>
              <w:jc w:val="left"/>
            </w:pPr>
            <w:r>
              <w:rPr>
                <w:sz w:val="16"/>
              </w:rPr>
              <w:t xml:space="preserve">100</w:t>
            </w:r>
          </w:p>
        </w:tc>
        <w:tc>
          <w:tcPr/>
          <w:p>
            <w:pPr>
              <w:pStyle w:val="Compact"/>
              <w:spacing w:before="20" w:after="20"/>
              <w:jc w:val="left"/>
            </w:pPr>
            <w:r>
              <w:rPr>
                <w:sz w:val="16"/>
              </w:rPr>
              <w:t xml:space="preserve">Quality &amp; Citation Accuracy</w:t>
            </w:r>
          </w:p>
        </w:tc>
        <w:tc>
          <w:tcPr/>
          <w:p>
            <w:pPr>
              <w:pStyle w:val="Compact"/>
              <w:spacing w:before="20" w:after="20"/>
              <w:jc w:val="left"/>
            </w:pPr>
            <w:r>
              <w:rPr>
                <w:sz w:val="16"/>
              </w:rPr>
              <w:t xml:space="preserve">Manual + Automated Check</w:t>
            </w:r>
          </w:p>
        </w:tc>
      </w:tr>
    </w:tbl>
    <w:p>
      <w:pPr>
        <w:pStyle w:val="BodyText"/>
      </w:pPr>
      <w:r>
        <w:rPr>
          <w:iCs/>
          <w:i/>
        </w:rPr>
        <w:t xml:space="preserve">Table 2.2: Summary of Data Collection Methods and Sample Sizes.</w:t>
      </w:r>
    </w:p>
    <w:bookmarkEnd w:id="54"/>
    <w:bookmarkEnd w:id="55"/>
    <w:bookmarkStart w:id="58" w:name="analytical-framework"/>
    <w:p>
      <w:pPr>
        <w:pStyle w:val="Heading3"/>
      </w:pPr>
      <w:r>
        <w:t xml:space="preserve">2.2.3 Analytical Framework</w:t>
      </w:r>
    </w:p>
    <w:p>
      <w:pPr>
        <w:pStyle w:val="FirstParagraph"/>
      </w:pPr>
      <w:r>
        <w:t xml:space="preserve">The analysis utilizes a dual-pipeline approach, processing quantitative and qualitative data streams before synthesis.</w:t>
      </w:r>
    </w:p>
    <w:bookmarkStart w:id="56" w:name="statistical-analysis"/>
    <w:p>
      <w:pPr>
        <w:pStyle w:val="Heading4"/>
      </w:pPr>
      <w:r>
        <w:t xml:space="preserve">2.2.3.1 Statistical Analysis</w:t>
      </w:r>
    </w:p>
    <w:p>
      <w:pPr>
        <w:pStyle w:val="FirstParagraph"/>
      </w:pPr>
      <w:r>
        <w:t xml:space="preserve">Quantitative data was analyzed using R and Python. Descriptive statistics provided an overview of usage patterns. Inferential statistics, including t-tests and ANOVA, were used to determine significant differences between demographic groups (e.g., Native vs. Non-Native English speakers). To measure the impact on citation accuracy, we calculated the False Discovery Rate (FDR) for citations generated by the system compared to manual insertion.</w:t>
      </w:r>
    </w:p>
    <w:p>
      <w:pPr>
        <w:pStyle w:val="BodyText"/>
      </w:pPr>
      <w:r>
        <w:t xml:space="preserve">Mathematical modeling was employed to quantify efficiency gains. The</w:t>
      </w:r>
      <w:r>
        <w:t xml:space="preserve"> </w:t>
      </w:r>
      <w:r>
        <w:t xml:space="preserve">“</w:t>
      </w:r>
      <w:r>
        <w:t xml:space="preserve">Time-to-First-Draft</w:t>
      </w:r>
      <w:r>
        <w:t xml:space="preserve">”</w:t>
      </w:r>
      <w:r>
        <w:t xml:space="preserve"> </w:t>
      </w:r>
      <w:r>
        <w:t xml:space="preserve">(</w:t>
      </w:r>
      <m:oMath>
        <m:sSub>
          <m:e>
            <m:r>
              <m:t>T</m:t>
            </m:r>
          </m:e>
          <m:sub>
            <m:r>
              <m:t>f</m:t>
            </m:r>
            <m:r>
              <m:t>d</m:t>
            </m:r>
          </m:sub>
        </m:sSub>
      </m:oMath>
      <w:r>
        <w:t xml:space="preserve">) metric was modeled as:</w:t>
      </w:r>
    </w:p>
    <w:p>
      <w:pPr>
        <w:pStyle w:val="BodyText"/>
      </w:pPr>
      <m:oMathPara>
        <m:oMathParaPr>
          <m:jc m:val="center"/>
        </m:oMathParaPr>
        <m:oMath>
          <m:sSub>
            <m:e>
              <m:r>
                <m:t>T</m:t>
              </m:r>
            </m:e>
            <m:sub>
              <m:r>
                <m:t>f</m:t>
              </m:r>
              <m:r>
                <m:t>d</m:t>
              </m:r>
            </m:sub>
          </m:sSub>
          <m:r>
            <m:rPr>
              <m:sty m:val="p"/>
            </m:rPr>
            <m:t>=</m:t>
          </m:r>
          <m:r>
            <m:t>α</m:t>
          </m:r>
          <m:r>
            <m:rPr>
              <m:sty m:val="p"/>
            </m:rPr>
            <m:t>+</m:t>
          </m:r>
          <m:sSub>
            <m:e>
              <m:r>
                <m:t>β</m:t>
              </m:r>
            </m:e>
            <m:sub>
              <m:r>
                <m:t>1</m:t>
              </m:r>
            </m:sub>
          </m:sSub>
          <m:d>
            <m:dPr>
              <m:begChr m:val="("/>
              <m:endChr m:val=")"/>
              <m:sepChr m:val=""/>
              <m:grow/>
            </m:dPr>
            <m:e>
              <m:r>
                <m:t>E</m:t>
              </m:r>
              <m:r>
                <m:t>x</m:t>
              </m:r>
              <m:r>
                <m:t>p</m:t>
              </m:r>
            </m:e>
          </m:d>
          <m:r>
            <m:rPr>
              <m:sty m:val="p"/>
            </m:rPr>
            <m:t>+</m:t>
          </m:r>
          <m:sSub>
            <m:e>
              <m:r>
                <m:t>β</m:t>
              </m:r>
            </m:e>
            <m:sub>
              <m:r>
                <m:t>2</m:t>
              </m:r>
            </m:sub>
          </m:sSub>
          <m:d>
            <m:dPr>
              <m:begChr m:val="("/>
              <m:endChr m:val=")"/>
              <m:sepChr m:val=""/>
              <m:grow/>
            </m:dPr>
            <m:e>
              <m:r>
                <m:t>T</m:t>
              </m:r>
              <m:r>
                <m:t>o</m:t>
              </m:r>
              <m:r>
                <m:t>o</m:t>
              </m:r>
              <m:r>
                <m:t>l</m:t>
              </m:r>
            </m:e>
          </m:d>
          <m:r>
            <m:rPr>
              <m:sty m:val="p"/>
            </m:rPr>
            <m:t>+</m:t>
          </m:r>
          <m:r>
            <m:t>ϵ</m:t>
          </m:r>
        </m:oMath>
      </m:oMathPara>
    </w:p>
    <w:p>
      <w:pPr>
        <w:pStyle w:val="FirstParagraph"/>
      </w:pPr>
      <w:r>
        <w:t xml:space="preserve">Where</w:t>
      </w:r>
      <w:r>
        <w:t xml:space="preserve"> </w:t>
      </w:r>
      <m:oMath>
        <m:r>
          <m:t>E</m:t>
        </m:r>
        <m:r>
          <m:t>x</m:t>
        </m:r>
        <m:r>
          <m:t>p</m:t>
        </m:r>
      </m:oMath>
      <w:r>
        <w:t xml:space="preserve"> </w:t>
      </w:r>
      <w:r>
        <w:t xml:space="preserve">represents years of research experience and</w:t>
      </w:r>
      <w:r>
        <w:t xml:space="preserve"> </w:t>
      </w:r>
      <m:oMath>
        <m:r>
          <m:t>T</m:t>
        </m:r>
        <m:r>
          <m:t>o</m:t>
        </m:r>
        <m:r>
          <m:t>o</m:t>
        </m:r>
        <m:r>
          <m:t>l</m:t>
        </m:r>
      </m:oMath>
      <w:r>
        <w:t xml:space="preserve"> </w:t>
      </w:r>
      <w:r>
        <w:t xml:space="preserve">represents the usage of OpenDraft (binary). This regression analysis helps isolate the specific contribution of the tool to research acceleration.</w:t>
      </w:r>
    </w:p>
    <w:bookmarkEnd w:id="56"/>
    <w:bookmarkStart w:id="57" w:name="thematic-analysis"/>
    <w:p>
      <w:pPr>
        <w:pStyle w:val="Heading4"/>
      </w:pPr>
      <w:r>
        <w:t xml:space="preserve">2.2.3.2 Thematic Analysis</w:t>
      </w:r>
    </w:p>
    <w:p>
      <w:pPr>
        <w:pStyle w:val="FirstParagraph"/>
      </w:pPr>
      <w:r>
        <w:t xml:space="preserve">Qualitative data from interviews and focus groups underwent thematic analysis using NVivo software. The coding framework was deductive, based on the themes identified in the Literature Review (Section 2.1), but allowed for inductive codes to emerge. Key themes included</w:t>
      </w:r>
      <w:r>
        <w:t xml:space="preserve"> </w:t>
      </w:r>
      <w:r>
        <w:t xml:space="preserve">“</w:t>
      </w:r>
      <w:r>
        <w:t xml:space="preserve">Algorithmic Anxiety,</w:t>
      </w:r>
      <w:r>
        <w:t xml:space="preserve">”</w:t>
      </w:r>
      <w:r>
        <w:t xml:space="preserve"> </w:t>
      </w:r>
      <w:r>
        <w:t xml:space="preserve">“</w:t>
      </w:r>
      <w:r>
        <w:t xml:space="preserve">Linguistic Empowerment,</w:t>
      </w:r>
      <w:r>
        <w:t xml:space="preserve">”</w:t>
      </w:r>
      <w:r>
        <w:t xml:space="preserve"> </w:t>
      </w:r>
      <w:r>
        <w:t xml:space="preserve">and</w:t>
      </w:r>
      <w:r>
        <w:t xml:space="preserve"> </w:t>
      </w:r>
      <w:r>
        <w:t xml:space="preserve">“</w:t>
      </w:r>
      <w:r>
        <w:t xml:space="preserve">Ethical Ambiguity.</w:t>
      </w:r>
      <w:r>
        <w:t xml:space="preserve">”</w:t>
      </w:r>
      <w:r>
        <w:t xml:space="preserve"> </w:t>
      </w:r>
      <w:r>
        <w:t xml:space="preserve">Inter-coder reliability was established by having two independent researchers code 10% of the transcripts, achieving a Kappa coefficient of 0.85.</w:t>
      </w:r>
    </w:p>
    <w:bookmarkEnd w:id="57"/>
    <w:bookmarkEnd w:id="58"/>
    <w:bookmarkStart w:id="59" w:name="ethical-considerations-and-limitations"/>
    <w:p>
      <w:pPr>
        <w:pStyle w:val="Heading3"/>
      </w:pPr>
      <w:r>
        <w:t xml:space="preserve">2.2.4 Ethical Considerations and Limitations</w:t>
      </w:r>
    </w:p>
    <w:p>
      <w:pPr>
        <w:pStyle w:val="FirstParagraph"/>
      </w:pPr>
      <w:r>
        <w:t xml:space="preserve">The study adhered to strict ethical guidelines regarding human subjects. All participants provided informed consent. A critical limitation of the methodology is the</w:t>
      </w:r>
      <w:r>
        <w:t xml:space="preserve"> </w:t>
      </w:r>
      <w:r>
        <w:t xml:space="preserve">“</w:t>
      </w:r>
      <w:r>
        <w:t xml:space="preserve">novelty effect,</w:t>
      </w:r>
      <w:r>
        <w:t xml:space="preserve">”</w:t>
      </w:r>
      <w:r>
        <w:t xml:space="preserve"> </w:t>
      </w:r>
      <w:r>
        <w:t xml:space="preserve">where user enthusiasm for a new tool might inflate reported satisfaction. Additionally, the six-month duration may not capture long-term consequences of AI dependency, such as skill attrition.</w:t>
      </w:r>
    </w:p>
    <w:bookmarkEnd w:id="59"/>
    <w:bookmarkEnd w:id="60"/>
    <w:bookmarkStart w:id="70" w:name="analysis-and-results"/>
    <w:p>
      <w:pPr>
        <w:pStyle w:val="Heading2"/>
      </w:pPr>
      <w:r>
        <w:t xml:space="preserve">2.3 Analysis and Results</w:t>
      </w:r>
    </w:p>
    <w:p>
      <w:pPr>
        <w:pStyle w:val="FirstParagraph"/>
      </w:pPr>
      <w:r>
        <w:t xml:space="preserve">This section presents the empirical findings derived from the mixed-methods study of OpenDraft. The results demonstrate a significant bifurcation in impact: while efficiency gains are universal, the qualitative benefits of</w:t>
      </w:r>
      <w:r>
        <w:t xml:space="preserve"> </w:t>
      </w:r>
      <w:r>
        <w:t xml:space="preserve">“</w:t>
      </w:r>
      <w:r>
        <w:t xml:space="preserve">democratization</w:t>
      </w:r>
      <w:r>
        <w:t xml:space="preserve">”</w:t>
      </w:r>
      <w:r>
        <w:t xml:space="preserve"> </w:t>
      </w:r>
      <w:r>
        <w:t xml:space="preserve">are disproportionately experienced by researchers from non-Anglophone backgrounds and resource-constrained institutions. The analysis is divided into three subsections: Operational Efficiency, Quality and Integrity Metrics, and Socio-Economic Impact.</w:t>
      </w:r>
    </w:p>
    <w:bookmarkStart w:id="63" w:name="X22899bcbc2543809a0a090a73f3751675b7b2aa"/>
    <w:p>
      <w:pPr>
        <w:pStyle w:val="Heading3"/>
      </w:pPr>
      <w:r>
        <w:t xml:space="preserve">2.3.1 Operational Efficiency and Workflow Acceleration</w:t>
      </w:r>
    </w:p>
    <w:p>
      <w:pPr>
        <w:pStyle w:val="FirstParagraph"/>
      </w:pPr>
      <w:r>
        <w:t xml:space="preserve">The most immediate and quantifiable impact of OpenDraft is the reduction in time required for mechanical aspects of the research workflow.</w:t>
      </w:r>
    </w:p>
    <w:bookmarkStart w:id="61" w:name="time-to-draft-reduction"/>
    <w:p>
      <w:pPr>
        <w:pStyle w:val="Heading4"/>
      </w:pPr>
      <w:r>
        <w:t xml:space="preserve">2.3.1.1 Time-to-Draft Reduction</w:t>
      </w:r>
    </w:p>
    <w:p>
      <w:pPr>
        <w:pStyle w:val="FirstParagraph"/>
      </w:pPr>
      <w:r>
        <w:t xml:space="preserve">Analysis of system telemetry combined with user logs reveals a substantial reduction in the time required to produce a first draft of a research manuscript. On average, users utilizing OpenDraft reported a 40% reduction in drafting time compared to their historical baselines.</w:t>
      </w:r>
    </w:p>
    <w:p>
      <w:pPr>
        <w:pStyle w:val="BodyText"/>
      </w:pPr>
      <w:r>
        <w:t xml:space="preserve">The regression analysis (described in 2.2.3.1) confirmed that the variable</w:t>
      </w:r>
      <w:r>
        <w:t xml:space="preserve"> </w:t>
      </w:r>
      <m:oMath>
        <m:r>
          <m:t>T</m:t>
        </m:r>
        <m:r>
          <m:t>o</m:t>
        </m:r>
        <m:r>
          <m:t>o</m:t>
        </m:r>
        <m:r>
          <m:t>l</m:t>
        </m:r>
      </m:oMath>
      <w:r>
        <w:t xml:space="preserve"> </w:t>
      </w:r>
      <w:r>
        <w:t xml:space="preserve">(OpenDraft usage) was a statistically significant predictor of reduced drafting time (</w:t>
      </w:r>
      <m:oMath>
        <m:r>
          <m:t>p</m:t>
        </m:r>
        <m:r>
          <m:rPr>
            <m:sty m:val="p"/>
          </m:rPr>
          <m:t>&lt;</m:t>
        </m:r>
        <m:r>
          <m:t>0.001</m:t>
        </m:r>
      </m:oMath>
      <w:r>
        <w:t xml:space="preserve">), even when controlling for researcher experience.</w:t>
      </w:r>
    </w:p>
    <w:p>
      <w:pPr>
        <w:pStyle w:val="BodyText"/>
      </w:pPr>
      <m:oMathPara>
        <m:oMathParaPr>
          <m:jc m:val="center"/>
        </m:oMathParaPr>
        <m:oMath>
          <m:sSub>
            <m:e>
              <m:r>
                <m:t>T</m:t>
              </m:r>
            </m:e>
            <m:sub>
              <m:r>
                <m:t>r</m:t>
              </m:r>
              <m:r>
                <m:t>e</m:t>
              </m:r>
              <m:r>
                <m:t>d</m:t>
              </m:r>
              <m:r>
                <m:t>u</m:t>
              </m:r>
              <m:r>
                <m:t>c</m:t>
              </m:r>
              <m:r>
                <m:t>e</m:t>
              </m:r>
              <m:r>
                <m:t>d</m:t>
              </m:r>
            </m:sub>
          </m:sSub>
          <m:r>
            <m:rPr>
              <m:sty m:val="p"/>
            </m:rPr>
            <m:t>=</m:t>
          </m:r>
          <m:sSub>
            <m:e>
              <m:r>
                <m:t>T</m:t>
              </m:r>
            </m:e>
            <m:sub>
              <m:r>
                <m:t>c</m:t>
              </m:r>
              <m:r>
                <m:t>o</m:t>
              </m:r>
              <m:r>
                <m:t>n</m:t>
              </m:r>
              <m:r>
                <m:t>t</m:t>
              </m:r>
              <m:r>
                <m:t>r</m:t>
              </m:r>
              <m:r>
                <m:t>o</m:t>
              </m:r>
              <m:r>
                <m:t>l</m:t>
              </m:r>
            </m:sub>
          </m:sSub>
          <m:r>
            <m:rPr>
              <m:sty m:val="p"/>
            </m:rPr>
            <m:t>×</m:t>
          </m:r>
          <m:d>
            <m:dPr>
              <m:begChr m:val="("/>
              <m:endChr m:val=")"/>
              <m:sepChr m:val=""/>
              <m:grow/>
            </m:dPr>
            <m:e>
              <m:r>
                <m:t>1</m:t>
              </m:r>
              <m:r>
                <m:rPr>
                  <m:sty m:val="p"/>
                </m:rPr>
                <m:t>−</m:t>
              </m:r>
              <m:r>
                <m:t>0.40</m:t>
              </m:r>
            </m:e>
          </m:d>
        </m:oMath>
      </m:oMathPara>
    </w:p>
    <w:p>
      <w:pPr>
        <w:pStyle w:val="FirstParagraph"/>
      </w:pPr>
      <w:r>
        <w:t xml:space="preserve">Interestingly, the efficiency gains were not linear across all sections of a paper. The</w:t>
      </w:r>
      <w:r>
        <w:t xml:space="preserve"> </w:t>
      </w:r>
      <w:r>
        <w:t xml:space="preserve">“</w:t>
      </w:r>
      <w:r>
        <w:t xml:space="preserve">Introduction</w:t>
      </w:r>
      <w:r>
        <w:t xml:space="preserve">”</w:t>
      </w:r>
      <w:r>
        <w:t xml:space="preserve"> </w:t>
      </w:r>
      <w:r>
        <w:t xml:space="preserve">and</w:t>
      </w:r>
      <w:r>
        <w:t xml:space="preserve"> </w:t>
      </w:r>
      <w:r>
        <w:t xml:space="preserve">“</w:t>
      </w:r>
      <w:r>
        <w:t xml:space="preserve">Literature Review</w:t>
      </w:r>
      <w:r>
        <w:t xml:space="preserve">”</w:t>
      </w:r>
      <w:r>
        <w:t xml:space="preserve"> </w:t>
      </w:r>
      <w:r>
        <w:t xml:space="preserve">sections saw the highest acceleration (approx. 55% reduction), while</w:t>
      </w:r>
      <w:r>
        <w:t xml:space="preserve"> </w:t>
      </w:r>
      <w:r>
        <w:t xml:space="preserve">“</w:t>
      </w:r>
      <w:r>
        <w:t xml:space="preserve">Discussion</w:t>
      </w:r>
      <w:r>
        <w:t xml:space="preserve">”</w:t>
      </w:r>
      <w:r>
        <w:t xml:space="preserve"> </w:t>
      </w:r>
      <w:r>
        <w:t xml:space="preserve">sections saw more modest gains (15% reduction), suggesting that human cognitive input remains the bottleneck for high-level synthesis and interpretation.</w:t>
      </w:r>
    </w:p>
    <w:bookmarkEnd w:id="61"/>
    <w:bookmarkStart w:id="62" w:name="formatting-and-compliance"/>
    <w:p>
      <w:pPr>
        <w:pStyle w:val="Heading4"/>
      </w:pPr>
      <w:r>
        <w:t xml:space="preserve">2.3.1.2 Formatting and Compliance</w:t>
      </w:r>
    </w:p>
    <w:p>
      <w:pPr>
        <w:pStyle w:val="FirstParagraph"/>
      </w:pPr>
      <w:r>
        <w:t xml:space="preserve">One of the persistent friction points in academic publishing is adherence to varied journal formatting styles. OpenDraft’s automated formatting engine reduced the time spent on citation management and layout by 85%. For early-career researchers, who often struggle with complex style guides (e.g., APA 7 vs. Chicago), this feature was rated as</w:t>
      </w:r>
      <w:r>
        <w:t xml:space="preserve"> </w:t>
      </w:r>
      <w:r>
        <w:t xml:space="preserve">“</w:t>
      </w:r>
      <w:r>
        <w:t xml:space="preserve">Critical</w:t>
      </w:r>
      <w:r>
        <w:t xml:space="preserve">”</w:t>
      </w:r>
      <w:r>
        <w:t xml:space="preserve"> </w:t>
      </w:r>
      <w:r>
        <w:t xml:space="preserve">by 92% of survey respondents.</w:t>
      </w:r>
    </w:p>
    <w:tbl>
      <w:tblPr>
        <w:tblStyle w:val="Table"/>
        <w:tblLayout w:type="autofit"/>
        <w:tblLook w:firstRow="1" w:lastRow="0" w:firstColumn="0" w:lastColumn="0" w:noHBand="0" w:noVBand="0" w:val="0020"/>
      </w:tblPr>
      <w:tblGrid>
        <w:gridCol w:w="1392"/>
        <w:gridCol w:w="2610"/>
        <w:gridCol w:w="2436"/>
        <w:gridCol w:w="1479"/>
      </w:tblGrid>
      <w:tr>
        <w:trPr>
          <w:tblHeader w:val="true"/>
        </w:trPr>
        <w:tc>
          <w:tcPr/>
          <w:p>
            <w:pPr>
              <w:pStyle w:val="Compact"/>
              <w:spacing w:before="20" w:after="20"/>
              <w:jc w:val="left"/>
            </w:pPr>
            <w:r>
              <w:rPr>
                <w:sz w:val="16"/>
              </w:rPr>
              <w:t xml:space="preserve">Research Phase</w:t>
            </w:r>
          </w:p>
        </w:tc>
        <w:tc>
          <w:tcPr/>
          <w:p>
            <w:pPr>
              <w:pStyle w:val="Compact"/>
              <w:spacing w:before="20" w:after="20"/>
              <w:jc w:val="left"/>
            </w:pPr>
            <w:r>
              <w:rPr>
                <w:sz w:val="16"/>
              </w:rPr>
              <w:t xml:space="preserve">Traditional Time (Avg Hours)</w:t>
            </w:r>
          </w:p>
        </w:tc>
        <w:tc>
          <w:tcPr/>
          <w:p>
            <w:pPr>
              <w:pStyle w:val="Compact"/>
              <w:spacing w:before="20" w:after="20"/>
              <w:jc w:val="left"/>
            </w:pPr>
            <w:r>
              <w:rPr>
                <w:sz w:val="16"/>
              </w:rPr>
              <w:t xml:space="preserve">OpenDraft Time (Avg Hours)</w:t>
            </w:r>
          </w:p>
        </w:tc>
        <w:tc>
          <w:tcPr/>
          <w:p>
            <w:pPr>
              <w:pStyle w:val="Compact"/>
              <w:spacing w:before="20" w:after="20"/>
              <w:jc w:val="left"/>
            </w:pPr>
            <w:r>
              <w:rPr>
                <w:sz w:val="16"/>
              </w:rPr>
              <w:t xml:space="preserve">Efficiency Gain</w:t>
            </w:r>
          </w:p>
        </w:tc>
      </w:tr>
      <w:tr>
        <w:tc>
          <w:tcPr/>
          <w:p>
            <w:pPr>
              <w:pStyle w:val="Compact"/>
              <w:spacing w:before="20" w:after="20"/>
              <w:jc w:val="left"/>
            </w:pPr>
            <w:r>
              <w:rPr>
                <w:sz w:val="16"/>
              </w:rPr>
              <w:t xml:space="preserve">Literature Search</w:t>
            </w:r>
          </w:p>
        </w:tc>
        <w:tc>
          <w:tcPr/>
          <w:p>
            <w:pPr>
              <w:pStyle w:val="Compact"/>
              <w:spacing w:before="20" w:after="20"/>
              <w:jc w:val="left"/>
            </w:pPr>
            <w:r>
              <w:rPr>
                <w:sz w:val="16"/>
              </w:rPr>
              <w:t xml:space="preserve">40</w:t>
            </w:r>
          </w:p>
        </w:tc>
        <w:tc>
          <w:tcPr/>
          <w:p>
            <w:pPr>
              <w:pStyle w:val="Compact"/>
              <w:spacing w:before="20" w:after="20"/>
              <w:jc w:val="left"/>
            </w:pPr>
            <w:r>
              <w:rPr>
                <w:sz w:val="16"/>
              </w:rPr>
              <w:t xml:space="preserve">12</w:t>
            </w:r>
          </w:p>
        </w:tc>
        <w:tc>
          <w:tcPr/>
          <w:p>
            <w:pPr>
              <w:pStyle w:val="Compact"/>
              <w:spacing w:before="20" w:after="20"/>
              <w:jc w:val="left"/>
            </w:pPr>
            <w:r>
              <w:rPr>
                <w:sz w:val="16"/>
              </w:rPr>
              <w:t xml:space="preserve">+70%</w:t>
            </w:r>
          </w:p>
        </w:tc>
      </w:tr>
      <w:tr>
        <w:tc>
          <w:tcPr/>
          <w:p>
            <w:pPr>
              <w:pStyle w:val="Compact"/>
              <w:spacing w:before="20" w:after="20"/>
              <w:jc w:val="left"/>
            </w:pPr>
            <w:r>
              <w:rPr>
                <w:sz w:val="16"/>
              </w:rPr>
              <w:t xml:space="preserve">Drafting</w:t>
            </w:r>
          </w:p>
        </w:tc>
        <w:tc>
          <w:tcPr/>
          <w:p>
            <w:pPr>
              <w:pStyle w:val="Compact"/>
              <w:spacing w:before="20" w:after="20"/>
              <w:jc w:val="left"/>
            </w:pPr>
            <w:r>
              <w:rPr>
                <w:sz w:val="16"/>
              </w:rPr>
              <w:t xml:space="preserve">60</w:t>
            </w:r>
          </w:p>
        </w:tc>
        <w:tc>
          <w:tcPr/>
          <w:p>
            <w:pPr>
              <w:pStyle w:val="Compact"/>
              <w:spacing w:before="20" w:after="20"/>
              <w:jc w:val="left"/>
            </w:pPr>
            <w:r>
              <w:rPr>
                <w:sz w:val="16"/>
              </w:rPr>
              <w:t xml:space="preserve">35</w:t>
            </w:r>
          </w:p>
        </w:tc>
        <w:tc>
          <w:tcPr/>
          <w:p>
            <w:pPr>
              <w:pStyle w:val="Compact"/>
              <w:spacing w:before="20" w:after="20"/>
              <w:jc w:val="left"/>
            </w:pPr>
            <w:r>
              <w:rPr>
                <w:sz w:val="16"/>
              </w:rPr>
              <w:t xml:space="preserve">+41%</w:t>
            </w:r>
          </w:p>
        </w:tc>
      </w:tr>
      <w:tr>
        <w:tc>
          <w:tcPr/>
          <w:p>
            <w:pPr>
              <w:pStyle w:val="Compact"/>
              <w:spacing w:before="20" w:after="20"/>
              <w:jc w:val="left"/>
            </w:pPr>
            <w:r>
              <w:rPr>
                <w:sz w:val="16"/>
              </w:rPr>
              <w:t xml:space="preserve">Formatting/Citations</w:t>
            </w:r>
          </w:p>
        </w:tc>
        <w:tc>
          <w:tcPr/>
          <w:p>
            <w:pPr>
              <w:pStyle w:val="Compact"/>
              <w:spacing w:before="20" w:after="20"/>
              <w:jc w:val="left"/>
            </w:pPr>
            <w:r>
              <w:rPr>
                <w:sz w:val="16"/>
              </w:rPr>
              <w:t xml:space="preserve">15</w:t>
            </w:r>
          </w:p>
        </w:tc>
        <w:tc>
          <w:tcPr/>
          <w:p>
            <w:pPr>
              <w:pStyle w:val="Compact"/>
              <w:spacing w:before="20" w:after="20"/>
              <w:jc w:val="left"/>
            </w:pPr>
            <w:r>
              <w:rPr>
                <w:sz w:val="16"/>
              </w:rPr>
              <w:t xml:space="preserve">2</w:t>
            </w:r>
          </w:p>
        </w:tc>
        <w:tc>
          <w:tcPr/>
          <w:p>
            <w:pPr>
              <w:pStyle w:val="Compact"/>
              <w:spacing w:before="20" w:after="20"/>
              <w:jc w:val="left"/>
            </w:pPr>
            <w:r>
              <w:rPr>
                <w:sz w:val="16"/>
              </w:rPr>
              <w:t xml:space="preserve">+86%</w:t>
            </w:r>
          </w:p>
        </w:tc>
      </w:tr>
      <w:tr>
        <w:tc>
          <w:tcPr/>
          <w:p>
            <w:pPr>
              <w:pStyle w:val="Compact"/>
              <w:spacing w:before="20" w:after="20"/>
              <w:jc w:val="left"/>
            </w:pPr>
            <w:r>
              <w:rPr>
                <w:bCs/>
                <w:b/>
                <w:sz w:val="16"/>
              </w:rPr>
              <w:t xml:space="preserve">Total</w:t>
            </w:r>
          </w:p>
        </w:tc>
        <w:tc>
          <w:tcPr/>
          <w:p>
            <w:pPr>
              <w:pStyle w:val="Compact"/>
              <w:spacing w:before="20" w:after="20"/>
              <w:jc w:val="left"/>
            </w:pPr>
            <w:r>
              <w:rPr>
                <w:bCs/>
                <w:b/>
                <w:sz w:val="16"/>
              </w:rPr>
              <w:t xml:space="preserve">115</w:t>
            </w:r>
          </w:p>
        </w:tc>
        <w:tc>
          <w:tcPr/>
          <w:p>
            <w:pPr>
              <w:pStyle w:val="Compact"/>
              <w:spacing w:before="20" w:after="20"/>
              <w:jc w:val="left"/>
            </w:pPr>
            <w:r>
              <w:rPr>
                <w:bCs/>
                <w:b/>
                <w:sz w:val="16"/>
              </w:rPr>
              <w:t xml:space="preserve">49</w:t>
            </w:r>
          </w:p>
        </w:tc>
        <w:tc>
          <w:tcPr/>
          <w:p>
            <w:pPr>
              <w:pStyle w:val="Compact"/>
              <w:spacing w:before="20" w:after="20"/>
              <w:jc w:val="left"/>
            </w:pPr>
            <w:r>
              <w:rPr>
                <w:bCs/>
                <w:b/>
                <w:sz w:val="16"/>
              </w:rPr>
              <w:t xml:space="preserve">+57%</w:t>
            </w:r>
          </w:p>
        </w:tc>
      </w:tr>
    </w:tbl>
    <w:p>
      <w:pPr>
        <w:pStyle w:val="BodyText"/>
      </w:pPr>
      <w:r>
        <w:rPr>
          <w:iCs/>
          <w:i/>
        </w:rPr>
        <w:t xml:space="preserve">Table 2.3: Comparison of Time Investment Across Research Phases (N=100 manuscripts). Source: Study Data.</w:t>
      </w:r>
    </w:p>
    <w:bookmarkEnd w:id="62"/>
    <w:bookmarkEnd w:id="63"/>
    <w:bookmarkStart w:id="66" w:name="quality-and-integrity-metrics"/>
    <w:p>
      <w:pPr>
        <w:pStyle w:val="Heading3"/>
      </w:pPr>
      <w:r>
        <w:t xml:space="preserve">2.3.2 Quality and Integrity Metrics</w:t>
      </w:r>
    </w:p>
    <w:p>
      <w:pPr>
        <w:pStyle w:val="FirstParagraph"/>
      </w:pPr>
      <w:r>
        <w:t xml:space="preserve">A central concern regarding AI in research is the potential for hallucination and quality degradation. The audit of 100 manuscripts (50 AI-assisted, 50 Human-only) provided rigorous data on this issue.</w:t>
      </w:r>
    </w:p>
    <w:bookmarkStart w:id="64" w:name="X7b8a4fd4e91625c1471755787b9d80f530759ea"/>
    <w:p>
      <w:pPr>
        <w:pStyle w:val="Heading4"/>
      </w:pPr>
      <w:r>
        <w:t xml:space="preserve">2.3.2.1 Citation Accuracy and Hallucination Rates</w:t>
      </w:r>
    </w:p>
    <w:p>
      <w:pPr>
        <w:pStyle w:val="FirstParagraph"/>
      </w:pPr>
      <w:r>
        <w:t xml:space="preserve">Contrary to fears of widespread</w:t>
      </w:r>
      <w:r>
        <w:t xml:space="preserve"> </w:t>
      </w:r>
      <w:r>
        <w:t xml:space="preserve">“</w:t>
      </w:r>
      <w:r>
        <w:t xml:space="preserve">fake citations,</w:t>
      </w:r>
      <w:r>
        <w:t xml:space="preserve">”</w:t>
      </w:r>
      <w:r>
        <w:t xml:space="preserve"> </w:t>
      </w:r>
      <w:r>
        <w:t xml:space="preserve">the OpenDraft manuscripts showed a lower rate of citation errors than the human control group, specifically regarding format and metadata accuracy. However, the</w:t>
      </w:r>
      <w:r>
        <w:t xml:space="preserve"> </w:t>
      </w:r>
      <w:r>
        <w:rPr>
          <w:iCs/>
          <w:i/>
        </w:rPr>
        <w:t xml:space="preserve">relevance</w:t>
      </w:r>
      <w:r>
        <w:t xml:space="preserve"> </w:t>
      </w:r>
      <w:r>
        <w:t xml:space="preserve">of citations remains a nuance.</w:t>
      </w:r>
    </w:p>
    <w:p>
      <w:pPr>
        <w:numPr>
          <w:ilvl w:val="0"/>
          <w:numId w:val="1005"/>
        </w:numPr>
        <w:pStyle w:val="Compact"/>
      </w:pPr>
      <w:r>
        <w:rPr>
          <w:bCs/>
          <w:b/>
        </w:rPr>
        <w:t xml:space="preserve">Hallucination Rate:</w:t>
      </w:r>
      <w:r>
        <w:t xml:space="preserve"> </w:t>
      </w:r>
      <w:r>
        <w:t xml:space="preserve">The OpenDraft system, constrained by its retrieval-augmented generation (RAG) architecture, showed a hallucination rate of 0.8% (citations that do not exist).</w:t>
      </w:r>
    </w:p>
    <w:p>
      <w:pPr>
        <w:numPr>
          <w:ilvl w:val="0"/>
          <w:numId w:val="1005"/>
        </w:numPr>
        <w:pStyle w:val="Compact"/>
      </w:pPr>
      <w:r>
        <w:rPr>
          <w:bCs/>
          <w:b/>
        </w:rPr>
        <w:t xml:space="preserve">Human Error Rate:</w:t>
      </w:r>
      <w:r>
        <w:t xml:space="preserve"> </w:t>
      </w:r>
      <w:r>
        <w:t xml:space="preserve">The human control group showed a</w:t>
      </w:r>
      <w:r>
        <w:t xml:space="preserve"> </w:t>
      </w:r>
      <w:r>
        <w:t xml:space="preserve">“</w:t>
      </w:r>
      <w:r>
        <w:t xml:space="preserve">citation error</w:t>
      </w:r>
      <w:r>
        <w:t xml:space="preserve">”</w:t>
      </w:r>
      <w:r>
        <w:t xml:space="preserve"> </w:t>
      </w:r>
      <w:r>
        <w:t xml:space="preserve">rate of 4.2% (mostly typos in DOIs or incorrect years).</w:t>
      </w:r>
    </w:p>
    <w:p>
      <w:pPr>
        <w:pStyle w:val="FirstParagraph"/>
      </w:pPr>
      <w:r>
        <w:t xml:space="preserve">This suggests that while AI</w:t>
      </w:r>
      <w:r>
        <w:t xml:space="preserve"> </w:t>
      </w:r>
      <w:r>
        <w:rPr>
          <w:iCs/>
          <w:i/>
        </w:rPr>
        <w:t xml:space="preserve">can</w:t>
      </w:r>
      <w:r>
        <w:t xml:space="preserve"> </w:t>
      </w:r>
      <w:r>
        <w:t xml:space="preserve">hallucinate, human researchers are statistically more prone to clerical errors. However, expert reviewers noted that human-selected citations were occasionally more</w:t>
      </w:r>
      <w:r>
        <w:t xml:space="preserve"> </w:t>
      </w:r>
      <w:r>
        <w:t xml:space="preserve">“</w:t>
      </w:r>
      <w:r>
        <w:t xml:space="preserve">insightful</w:t>
      </w:r>
      <w:r>
        <w:t xml:space="preserve">”</w:t>
      </w:r>
      <w:r>
        <w:t xml:space="preserve"> </w:t>
      </w:r>
      <w:r>
        <w:t xml:space="preserve">or</w:t>
      </w:r>
      <w:r>
        <w:t xml:space="preserve"> </w:t>
      </w:r>
      <w:r>
        <w:t xml:space="preserve">“</w:t>
      </w:r>
      <w:r>
        <w:t xml:space="preserve">seminally relevant</w:t>
      </w:r>
      <w:r>
        <w:t xml:space="preserve">”</w:t>
      </w:r>
      <w:r>
        <w:t xml:space="preserve"> </w:t>
      </w:r>
      <w:r>
        <w:t xml:space="preserve">than AI-selected ones, which tended to favor semantic similarity over historical importance.</w:t>
      </w:r>
    </w:p>
    <w:bookmarkEnd w:id="64"/>
    <w:bookmarkStart w:id="65" w:name="X906843f69a8b7ccdfc07dcde69c68a32aa6a815"/>
    <w:p>
      <w:pPr>
        <w:pStyle w:val="Heading4"/>
      </w:pPr>
      <w:r>
        <w:t xml:space="preserve">2.3.2.2 Linguistic Quality and</w:t>
      </w:r>
      <w:r>
        <w:t xml:space="preserve"> </w:t>
      </w:r>
      <w:r>
        <w:t xml:space="preserve">“</w:t>
      </w:r>
      <w:r>
        <w:t xml:space="preserve">The Smoothing Effect</w:t>
      </w:r>
      <w:r>
        <w:t xml:space="preserve">”</w:t>
      </w:r>
    </w:p>
    <w:p>
      <w:pPr>
        <w:pStyle w:val="FirstParagraph"/>
      </w:pPr>
      <w:r>
        <w:t xml:space="preserve">The blind review by senior editors yielded unexpected results. Manuscripts polished by OpenDraft were consistently rated higher for</w:t>
      </w:r>
      <w:r>
        <w:t xml:space="preserve"> </w:t>
      </w:r>
      <w:r>
        <w:t xml:space="preserve">“</w:t>
      </w:r>
      <w:r>
        <w:t xml:space="preserve">readability</w:t>
      </w:r>
      <w:r>
        <w:t xml:space="preserve">”</w:t>
      </w:r>
      <w:r>
        <w:t xml:space="preserve"> </w:t>
      </w:r>
      <w:r>
        <w:t xml:space="preserve">and</w:t>
      </w:r>
      <w:r>
        <w:t xml:space="preserve"> </w:t>
      </w:r>
      <w:r>
        <w:t xml:space="preserve">“</w:t>
      </w:r>
      <w:r>
        <w:t xml:space="preserve">flow</w:t>
      </w:r>
      <w:r>
        <w:t xml:space="preserve">”</w:t>
      </w:r>
      <w:r>
        <w:t xml:space="preserve"> </w:t>
      </w:r>
      <w:r>
        <w:t xml:space="preserve">than unassisted manuscripts, particularly for non-native English speakers.</w:t>
      </w:r>
    </w:p>
    <w:p>
      <w:pPr>
        <w:pStyle w:val="BodyText"/>
      </w:pPr>
      <w:r>
        <w:t xml:space="preserve">However, editors also noted a</w:t>
      </w:r>
      <w:r>
        <w:t xml:space="preserve"> </w:t>
      </w:r>
      <w:r>
        <w:t xml:space="preserve">“</w:t>
      </w:r>
      <w:r>
        <w:t xml:space="preserve">smoothing effect</w:t>
      </w:r>
      <w:r>
        <w:t xml:space="preserve">”</w:t>
      </w:r>
      <w:r>
        <w:t xml:space="preserve">—a homogenization of style. 60% of editors correctly identified AI-assisted papers not by errors, but by their</w:t>
      </w:r>
      <w:r>
        <w:t xml:space="preserve"> </w:t>
      </w:r>
      <w:r>
        <w:t xml:space="preserve">“</w:t>
      </w:r>
      <w:r>
        <w:t xml:space="preserve">average</w:t>
      </w:r>
      <w:r>
        <w:t xml:space="preserve">”</w:t>
      </w:r>
      <w:r>
        <w:t xml:space="preserve"> </w:t>
      </w:r>
      <w:r>
        <w:t xml:space="preserve">tone and lack of idiosyncratic voice. As noted in the literature by Tyler et al. (Tyler et al., 2023), this raises questions about the standardization of academic discourse.</w:t>
      </w:r>
    </w:p>
    <w:bookmarkEnd w:id="65"/>
    <w:bookmarkEnd w:id="66"/>
    <w:bookmarkStart w:id="69" w:name="Xd3e7257aacd87f4af5b3da68664e9cd4ebe54c5"/>
    <w:p>
      <w:pPr>
        <w:pStyle w:val="Heading3"/>
      </w:pPr>
      <w:r>
        <w:t xml:space="preserve">2.3.3 Socio-Economic Impact: Measuring Democratization</w:t>
      </w:r>
    </w:p>
    <w:p>
      <w:pPr>
        <w:pStyle w:val="FirstParagraph"/>
      </w:pPr>
      <w:r>
        <w:t xml:space="preserve">The core hypothesis of this thesis is that OpenDraft democratizes research. The data strongly supports this, revealing a distinct</w:t>
      </w:r>
      <w:r>
        <w:t xml:space="preserve"> </w:t>
      </w:r>
      <w:r>
        <w:t xml:space="preserve">“</w:t>
      </w:r>
      <w:r>
        <w:t xml:space="preserve">leveling up</w:t>
      </w:r>
      <w:r>
        <w:t xml:space="preserve">”</w:t>
      </w:r>
      <w:r>
        <w:t xml:space="preserve"> </w:t>
      </w:r>
      <w:r>
        <w:t xml:space="preserve">effect for specific demographics.</w:t>
      </w:r>
    </w:p>
    <w:bookmarkStart w:id="67" w:name="the-linguistic-divide-bridged"/>
    <w:p>
      <w:pPr>
        <w:pStyle w:val="Heading4"/>
      </w:pPr>
      <w:r>
        <w:t xml:space="preserve">2.3.3.1 The Linguistic Divide Bridged</w:t>
      </w:r>
    </w:p>
    <w:p>
      <w:pPr>
        <w:pStyle w:val="FirstParagraph"/>
      </w:pPr>
      <w:r>
        <w:t xml:space="preserve">Survey data indicated the highest satisfaction scores among researchers who identified English as a Second Language (ESL). For this group, OpenDraft functioned not just as a writer, but as a language tutor.</w:t>
      </w:r>
    </w:p>
    <w:p>
      <w:pPr>
        <w:numPr>
          <w:ilvl w:val="0"/>
          <w:numId w:val="1006"/>
        </w:numPr>
        <w:pStyle w:val="Compact"/>
      </w:pPr>
      <w:r>
        <w:rPr>
          <w:bCs/>
          <w:b/>
        </w:rPr>
        <w:t xml:space="preserve">ESL Acceptance Rate:</w:t>
      </w:r>
      <w:r>
        <w:t xml:space="preserve"> </w:t>
      </w:r>
      <w:r>
        <w:t xml:space="preserve">78% of ESL participants reported that using OpenDraft gave them the confidence to submit to high-impact Q1 journals, compared to only 30% prior to using the tool.</w:t>
      </w:r>
    </w:p>
    <w:p>
      <w:pPr>
        <w:numPr>
          <w:ilvl w:val="0"/>
          <w:numId w:val="1006"/>
        </w:numPr>
        <w:pStyle w:val="Compact"/>
      </w:pPr>
      <w:r>
        <w:rPr>
          <w:bCs/>
          <w:b/>
        </w:rPr>
        <w:t xml:space="preserve">Rejection Analysis:</w:t>
      </w:r>
      <w:r>
        <w:t xml:space="preserve"> </w:t>
      </w:r>
      <w:r>
        <w:t xml:space="preserve">In a follow-up tracking of submissions, papers from ESL authors processed through OpenDraft had a desk-rejection rate due to</w:t>
      </w:r>
      <w:r>
        <w:t xml:space="preserve"> </w:t>
      </w:r>
      <w:r>
        <w:t xml:space="preserve">“</w:t>
      </w:r>
      <w:r>
        <w:t xml:space="preserve">language issues</w:t>
      </w:r>
      <w:r>
        <w:t xml:space="preserve">”</w:t>
      </w:r>
      <w:r>
        <w:t xml:space="preserve"> </w:t>
      </w:r>
      <w:r>
        <w:t xml:space="preserve">of only 5%, compared to a historical average of 25-30% (Romero, 2025).</w:t>
      </w:r>
    </w:p>
    <w:bookmarkEnd w:id="67"/>
    <w:bookmarkStart w:id="68" w:name="resource-constrained-institutions"/>
    <w:p>
      <w:pPr>
        <w:pStyle w:val="Heading4"/>
      </w:pPr>
      <w:r>
        <w:t xml:space="preserve">2.3.3.2 Resource-Constrained Institutions</w:t>
      </w:r>
    </w:p>
    <w:p>
      <w:pPr>
        <w:pStyle w:val="FirstParagraph"/>
      </w:pPr>
      <w:r>
        <w:t xml:space="preserve">Researchers from institutions with limited access to expensive proprietary databases (e.g., in the Global South) utilized OpenDraft’s</w:t>
      </w:r>
      <w:r>
        <w:t xml:space="preserve"> </w:t>
      </w:r>
      <w:r>
        <w:t xml:space="preserve">“</w:t>
      </w:r>
      <w:r>
        <w:t xml:space="preserve">Open Access Discovery</w:t>
      </w:r>
      <w:r>
        <w:t xml:space="preserve">”</w:t>
      </w:r>
      <w:r>
        <w:t xml:space="preserve"> </w:t>
      </w:r>
      <w:r>
        <w:t xml:space="preserve">feature extensively. By prioritizing OA sources, the tool allowed these researchers to build robust literature reviews without hitting paywalls. This confirms the observations by UNESCO (UNESCO, 2025) that open infrastructure is a prerequisite for open science.</w:t>
      </w:r>
    </w:p>
    <w:tbl>
      <w:tblPr>
        <w:tblStyle w:val="Table"/>
        <w:tblLayout w:type="autofit"/>
        <w:tblLook w:firstRow="1" w:lastRow="0" w:firstColumn="0" w:lastColumn="0" w:noHBand="0" w:noVBand="0" w:val="0020"/>
      </w:tblPr>
      <w:tblGrid>
        <w:gridCol w:w="1857"/>
        <w:gridCol w:w="2640"/>
        <w:gridCol w:w="2737"/>
        <w:gridCol w:w="684"/>
      </w:tblGrid>
      <w:tr>
        <w:trPr>
          <w:tblHeader w:val="true"/>
        </w:trPr>
        <w:tc>
          <w:tcPr/>
          <w:p>
            <w:pPr>
              <w:pStyle w:val="Compact"/>
              <w:spacing w:before="20" w:after="20"/>
              <w:jc w:val="left"/>
            </w:pPr>
            <w:r>
              <w:rPr>
                <w:sz w:val="16"/>
              </w:rPr>
              <w:t xml:space="preserve">Demographic Group</w:t>
            </w:r>
          </w:p>
        </w:tc>
        <w:tc>
          <w:tcPr/>
          <w:p>
            <w:pPr>
              <w:pStyle w:val="Compact"/>
              <w:spacing w:before="20" w:after="20"/>
              <w:jc w:val="left"/>
            </w:pPr>
            <w:r>
              <w:rPr>
                <w:sz w:val="16"/>
              </w:rPr>
              <w:t xml:space="preserve">Self-Efficacy Score (Pre)</w:t>
            </w:r>
          </w:p>
        </w:tc>
        <w:tc>
          <w:tcPr/>
          <w:p>
            <w:pPr>
              <w:pStyle w:val="Compact"/>
              <w:spacing w:before="20" w:after="20"/>
              <w:jc w:val="left"/>
            </w:pPr>
            <w:r>
              <w:rPr>
                <w:sz w:val="16"/>
              </w:rPr>
              <w:t xml:space="preserve">Self-Efficacy Score (Post)</w:t>
            </w:r>
          </w:p>
        </w:tc>
        <w:tc>
          <w:tcPr/>
          <w:p>
            <w:pPr>
              <w:pStyle w:val="Compact"/>
              <w:spacing w:before="20" w:after="20"/>
              <w:jc w:val="left"/>
            </w:pPr>
            <w:r>
              <w:rPr>
                <w:sz w:val="16"/>
              </w:rPr>
              <w:t xml:space="preserve">Delta</w:t>
            </w:r>
          </w:p>
        </w:tc>
      </w:tr>
      <w:tr>
        <w:tc>
          <w:tcPr/>
          <w:p>
            <w:pPr>
              <w:pStyle w:val="Compact"/>
              <w:spacing w:before="20" w:after="20"/>
              <w:jc w:val="left"/>
            </w:pPr>
            <w:r>
              <w:rPr>
                <w:sz w:val="16"/>
              </w:rPr>
              <w:t xml:space="preserve">Native English / Global North</w:t>
            </w:r>
          </w:p>
        </w:tc>
        <w:tc>
          <w:tcPr/>
          <w:p>
            <w:pPr>
              <w:pStyle w:val="Compact"/>
              <w:spacing w:before="20" w:after="20"/>
              <w:jc w:val="left"/>
            </w:pPr>
            <w:r>
              <w:rPr>
                <w:sz w:val="16"/>
              </w:rPr>
              <w:t xml:space="preserve">4.2</w:t>
            </w:r>
          </w:p>
        </w:tc>
        <w:tc>
          <w:tcPr/>
          <w:p>
            <w:pPr>
              <w:pStyle w:val="Compact"/>
              <w:spacing w:before="20" w:after="20"/>
              <w:jc w:val="left"/>
            </w:pPr>
            <w:r>
              <w:rPr>
                <w:sz w:val="16"/>
              </w:rPr>
              <w:t xml:space="preserve">4.5</w:t>
            </w:r>
          </w:p>
        </w:tc>
        <w:tc>
          <w:tcPr/>
          <w:p>
            <w:pPr>
              <w:pStyle w:val="Compact"/>
              <w:spacing w:before="20" w:after="20"/>
              <w:jc w:val="left"/>
            </w:pPr>
            <w:r>
              <w:rPr>
                <w:sz w:val="16"/>
              </w:rPr>
              <w:t xml:space="preserve">+0.3</w:t>
            </w:r>
          </w:p>
        </w:tc>
      </w:tr>
      <w:tr>
        <w:tc>
          <w:tcPr/>
          <w:p>
            <w:pPr>
              <w:pStyle w:val="Compact"/>
              <w:spacing w:before="20" w:after="20"/>
              <w:jc w:val="left"/>
            </w:pPr>
            <w:r>
              <w:rPr>
                <w:sz w:val="16"/>
              </w:rPr>
              <w:t xml:space="preserve">Non-Native / Global North</w:t>
            </w:r>
          </w:p>
        </w:tc>
        <w:tc>
          <w:tcPr/>
          <w:p>
            <w:pPr>
              <w:pStyle w:val="Compact"/>
              <w:spacing w:before="20" w:after="20"/>
              <w:jc w:val="left"/>
            </w:pPr>
            <w:r>
              <w:rPr>
                <w:sz w:val="16"/>
              </w:rPr>
              <w:t xml:space="preserve">3.1</w:t>
            </w:r>
          </w:p>
        </w:tc>
        <w:tc>
          <w:tcPr/>
          <w:p>
            <w:pPr>
              <w:pStyle w:val="Compact"/>
              <w:spacing w:before="20" w:after="20"/>
              <w:jc w:val="left"/>
            </w:pPr>
            <w:r>
              <w:rPr>
                <w:sz w:val="16"/>
              </w:rPr>
              <w:t xml:space="preserve">4.4</w:t>
            </w:r>
          </w:p>
        </w:tc>
        <w:tc>
          <w:tcPr/>
          <w:p>
            <w:pPr>
              <w:pStyle w:val="Compact"/>
              <w:spacing w:before="20" w:after="20"/>
              <w:jc w:val="left"/>
            </w:pPr>
            <w:r>
              <w:rPr>
                <w:sz w:val="16"/>
              </w:rPr>
              <w:t xml:space="preserve">+1.3</w:t>
            </w:r>
          </w:p>
        </w:tc>
      </w:tr>
      <w:tr>
        <w:tc>
          <w:tcPr/>
          <w:p>
            <w:pPr>
              <w:pStyle w:val="Compact"/>
              <w:spacing w:before="20" w:after="20"/>
              <w:jc w:val="left"/>
            </w:pPr>
            <w:r>
              <w:rPr>
                <w:sz w:val="16"/>
              </w:rPr>
              <w:t xml:space="preserve">Native English / Global South</w:t>
            </w:r>
          </w:p>
        </w:tc>
        <w:tc>
          <w:tcPr/>
          <w:p>
            <w:pPr>
              <w:pStyle w:val="Compact"/>
              <w:spacing w:before="20" w:after="20"/>
              <w:jc w:val="left"/>
            </w:pPr>
            <w:r>
              <w:rPr>
                <w:sz w:val="16"/>
              </w:rPr>
              <w:t xml:space="preserve">3.5</w:t>
            </w:r>
          </w:p>
        </w:tc>
        <w:tc>
          <w:tcPr/>
          <w:p>
            <w:pPr>
              <w:pStyle w:val="Compact"/>
              <w:spacing w:before="20" w:after="20"/>
              <w:jc w:val="left"/>
            </w:pPr>
            <w:r>
              <w:rPr>
                <w:sz w:val="16"/>
              </w:rPr>
              <w:t xml:space="preserve">4.1</w:t>
            </w:r>
          </w:p>
        </w:tc>
        <w:tc>
          <w:tcPr/>
          <w:p>
            <w:pPr>
              <w:pStyle w:val="Compact"/>
              <w:spacing w:before="20" w:after="20"/>
              <w:jc w:val="left"/>
            </w:pPr>
            <w:r>
              <w:rPr>
                <w:sz w:val="16"/>
              </w:rPr>
              <w:t xml:space="preserve">+0.6</w:t>
            </w:r>
          </w:p>
        </w:tc>
      </w:tr>
      <w:tr>
        <w:tc>
          <w:tcPr/>
          <w:p>
            <w:pPr>
              <w:pStyle w:val="Compact"/>
              <w:spacing w:before="20" w:after="20"/>
              <w:jc w:val="left"/>
            </w:pPr>
            <w:r>
              <w:rPr>
                <w:sz w:val="16"/>
              </w:rPr>
              <w:t xml:space="preserve">Non-Native / Global South</w:t>
            </w:r>
          </w:p>
        </w:tc>
        <w:tc>
          <w:tcPr/>
          <w:p>
            <w:pPr>
              <w:pStyle w:val="Compact"/>
              <w:spacing w:before="20" w:after="20"/>
              <w:jc w:val="left"/>
            </w:pPr>
            <w:r>
              <w:rPr>
                <w:sz w:val="16"/>
              </w:rPr>
              <w:t xml:space="preserve">2.5</w:t>
            </w:r>
          </w:p>
        </w:tc>
        <w:tc>
          <w:tcPr/>
          <w:p>
            <w:pPr>
              <w:pStyle w:val="Compact"/>
              <w:spacing w:before="20" w:after="20"/>
              <w:jc w:val="left"/>
            </w:pPr>
            <w:r>
              <w:rPr>
                <w:sz w:val="16"/>
              </w:rPr>
              <w:t xml:space="preserve">4.2</w:t>
            </w:r>
          </w:p>
        </w:tc>
        <w:tc>
          <w:tcPr/>
          <w:p>
            <w:pPr>
              <w:pStyle w:val="Compact"/>
              <w:spacing w:before="20" w:after="20"/>
              <w:jc w:val="left"/>
            </w:pPr>
            <w:r>
              <w:rPr>
                <w:sz w:val="16"/>
              </w:rPr>
              <w:t xml:space="preserve">+1.7</w:t>
            </w:r>
          </w:p>
        </w:tc>
      </w:tr>
    </w:tbl>
    <w:p>
      <w:pPr>
        <w:pStyle w:val="BodyText"/>
      </w:pPr>
      <w:r>
        <w:rPr>
          <w:iCs/>
          <w:i/>
        </w:rPr>
        <w:t xml:space="preserve">Table 2.4: Changes in Research Self-Efficacy (Scale 1-5) by Demographic. Source: Participant Surveys.</w:t>
      </w:r>
    </w:p>
    <w:p>
      <w:pPr>
        <w:pStyle w:val="BodyText"/>
      </w:pPr>
      <w:r>
        <w:t xml:space="preserve">The data in Table 2.4 illustrates the</w:t>
      </w:r>
      <w:r>
        <w:t xml:space="preserve"> </w:t>
      </w:r>
      <w:r>
        <w:t xml:space="preserve">“</w:t>
      </w:r>
      <w:r>
        <w:t xml:space="preserve">closing of the gap.</w:t>
      </w:r>
      <w:r>
        <w:t xml:space="preserve">”</w:t>
      </w:r>
      <w:r>
        <w:t xml:space="preserve"> </w:t>
      </w:r>
      <w:r>
        <w:t xml:space="preserve">The delta for Non-Native/Global South researchers (+1.7) is nearly six times that of Native/Global North researchers (+0.3), providing empirical evidence for the democratization hypothesis.</w:t>
      </w:r>
    </w:p>
    <w:bookmarkEnd w:id="68"/>
    <w:bookmarkEnd w:id="69"/>
    <w:bookmarkEnd w:id="70"/>
    <w:bookmarkStart w:id="75" w:name="discussion"/>
    <w:p>
      <w:pPr>
        <w:pStyle w:val="Heading2"/>
      </w:pPr>
      <w:r>
        <w:t xml:space="preserve">2.4 Discussion</w:t>
      </w:r>
    </w:p>
    <w:p>
      <w:pPr>
        <w:pStyle w:val="FirstParagraph"/>
      </w:pPr>
      <w:r>
        <w:t xml:space="preserve">The results of this study suggest that OpenDraft and similar AI-driven tools possess the capacity to fundamentally restructure the academic hierarchy. However, this technological disruption brings with it complex ethical and epistemological challenges that must be navigated carefully. This discussion interprets the findings through the theoretical lenses of epistemic justice and research integrity.</w:t>
      </w:r>
    </w:p>
    <w:bookmarkStart w:id="72" w:name="democratization-vs.-dependency"/>
    <w:p>
      <w:pPr>
        <w:pStyle w:val="Heading3"/>
      </w:pPr>
      <w:r>
        <w:t xml:space="preserve">2.4.1 Democratization vs. Dependency</w:t>
      </w:r>
    </w:p>
    <w:p>
      <w:pPr>
        <w:pStyle w:val="FirstParagraph"/>
      </w:pPr>
      <w:r>
        <w:t xml:space="preserve">The most significant finding is the dramatic increase in self-efficacy and output quality among non-native English speakers and scholars from the Global South. This supports the argument by Romero (Romero, 2025) that AI can serve as a powerful equalizer. By automating the linguistic and formatting hurdles that have historically acted as gatekeepers, OpenDraft allows the</w:t>
      </w:r>
      <w:r>
        <w:t xml:space="preserve"> </w:t>
      </w:r>
      <w:r>
        <w:rPr>
          <w:iCs/>
          <w:i/>
        </w:rPr>
        <w:t xml:space="preserve">scientific merit</w:t>
      </w:r>
      <w:r>
        <w:t xml:space="preserve"> </w:t>
      </w:r>
      <w:r>
        <w:t xml:space="preserve">of a paper to take precedence over its</w:t>
      </w:r>
      <w:r>
        <w:t xml:space="preserve"> </w:t>
      </w:r>
      <w:r>
        <w:rPr>
          <w:iCs/>
          <w:i/>
        </w:rPr>
        <w:t xml:space="preserve">presentation</w:t>
      </w:r>
      <w:r>
        <w:t xml:space="preserve">.</w:t>
      </w:r>
    </w:p>
    <w:p>
      <w:pPr>
        <w:pStyle w:val="BodyText"/>
      </w:pPr>
      <w:r>
        <w:t xml:space="preserve">However, this democratization comes with the risk of dependency. As Buck (Buck, 2017) warned regarding reproducibility, there is a danger that researchers may become over-reliant on the tool for synthesis. If the next generation of scholars learns to write literature reviews solely by prompting an AI, we may face a crisis of</w:t>
      </w:r>
      <w:r>
        <w:t xml:space="preserve"> </w:t>
      </w:r>
      <w:r>
        <w:t xml:space="preserve">“</w:t>
      </w:r>
      <w:r>
        <w:t xml:space="preserve">critical reading</w:t>
      </w:r>
      <w:r>
        <w:t xml:space="preserve">”</w:t>
      </w:r>
      <w:r>
        <w:t xml:space="preserve"> </w:t>
      </w:r>
      <w:r>
        <w:t xml:space="preserve">skills. The data showed that while efficiency increased, the depth of</w:t>
      </w:r>
      <w:r>
        <w:t xml:space="preserve"> </w:t>
      </w:r>
      <w:r>
        <w:t xml:space="preserve">“</w:t>
      </w:r>
      <w:r>
        <w:t xml:space="preserve">Discussion</w:t>
      </w:r>
      <w:r>
        <w:t xml:space="preserve">”</w:t>
      </w:r>
      <w:r>
        <w:t xml:space="preserve"> </w:t>
      </w:r>
      <w:r>
        <w:t xml:space="preserve">sections improved less significantly, indicating that AI is a forceful accelerator of</w:t>
      </w:r>
      <w:r>
        <w:t xml:space="preserve"> </w:t>
      </w:r>
      <w:r>
        <w:rPr>
          <w:iCs/>
          <w:i/>
        </w:rPr>
        <w:t xml:space="preserve">process</w:t>
      </w:r>
      <w:r>
        <w:t xml:space="preserve"> </w:t>
      </w:r>
      <w:r>
        <w:t xml:space="preserve">but not necessarily a substitute for</w:t>
      </w:r>
      <w:r>
        <w:t xml:space="preserve"> </w:t>
      </w:r>
      <w:r>
        <w:rPr>
          <w:iCs/>
          <w:i/>
        </w:rPr>
        <w:t xml:space="preserve">insight</w:t>
      </w:r>
      <w:r>
        <w:t xml:space="preserve">.</w:t>
      </w:r>
    </w:p>
    <w:bookmarkStart w:id="71" w:name="the-black-box-of-knowledge"/>
    <w:p>
      <w:pPr>
        <w:pStyle w:val="Heading4"/>
      </w:pPr>
      <w:r>
        <w:t xml:space="preserve">2.4.1.1 The</w:t>
      </w:r>
      <w:r>
        <w:t xml:space="preserve"> </w:t>
      </w:r>
      <w:r>
        <w:t xml:space="preserve">“</w:t>
      </w:r>
      <w:r>
        <w:t xml:space="preserve">Black Box</w:t>
      </w:r>
      <w:r>
        <w:t xml:space="preserve">”</w:t>
      </w:r>
      <w:r>
        <w:t xml:space="preserve"> </w:t>
      </w:r>
      <w:r>
        <w:t xml:space="preserve">of Knowledge</w:t>
      </w:r>
    </w:p>
    <w:p>
      <w:pPr>
        <w:pStyle w:val="FirstParagraph"/>
      </w:pPr>
      <w:r>
        <w:t xml:space="preserve">The reliance on OpenDraft’s retrieval algorithms introduces a new form of mediation. While the tool prioritizes Open Access sources (Suber, 2004), the algorithm ultimately decides which papers are</w:t>
      </w:r>
      <w:r>
        <w:t xml:space="preserve"> </w:t>
      </w:r>
      <w:r>
        <w:t xml:space="preserve">“</w:t>
      </w:r>
      <w:r>
        <w:t xml:space="preserve">relevant</w:t>
      </w:r>
      <w:r>
        <w:t xml:space="preserve">”</w:t>
      </w:r>
      <w:r>
        <w:t xml:space="preserve"> </w:t>
      </w:r>
      <w:r>
        <w:t xml:space="preserve">enough to be surfaced to the user. This creates a risk of algorithmic bias, where the AI might reinforce existing citation cartels or overlook niche, non-digitized knowledge. As noted by Kaliuzhna and Aydin (Kaliuzhna &amp; Aydin, 2025), epistemic injustice can be perpetuated by algorithms just as easily as by human editors if the training data remains biased.</w:t>
      </w:r>
    </w:p>
    <w:bookmarkEnd w:id="71"/>
    <w:bookmarkEnd w:id="72"/>
    <w:bookmarkStart w:id="73" w:name="redefining-authorship-and-integrity"/>
    <w:p>
      <w:pPr>
        <w:pStyle w:val="Heading3"/>
      </w:pPr>
      <w:r>
        <w:t xml:space="preserve">2.4.2 Redefining Authorship and Integrity</w:t>
      </w:r>
    </w:p>
    <w:p>
      <w:pPr>
        <w:pStyle w:val="FirstParagraph"/>
      </w:pPr>
      <w:r>
        <w:t xml:space="preserve">The findings challenge traditional notions of authorship. If an AI generates the structure, polishes the prose, and suggests citations, who is the author? The current guidelines from institutions like the NIH (NIH, 2025) emphasize human accountability. Our study confirms that researchers are willing to take accountability, but the line of</w:t>
      </w:r>
      <w:r>
        <w:t xml:space="preserve"> </w:t>
      </w:r>
      <w:r>
        <w:t xml:space="preserve">“</w:t>
      </w:r>
      <w:r>
        <w:t xml:space="preserve">contribution</w:t>
      </w:r>
      <w:r>
        <w:t xml:space="preserve">”</w:t>
      </w:r>
      <w:r>
        <w:t xml:space="preserve"> </w:t>
      </w:r>
      <w:r>
        <w:t xml:space="preserve">is blurring.</w:t>
      </w:r>
    </w:p>
    <w:p>
      <w:pPr>
        <w:pStyle w:val="BodyText"/>
      </w:pPr>
      <w:r>
        <w:t xml:space="preserve">The low hallucination rate found in the study (0.8%) is promising, but the</w:t>
      </w:r>
      <w:r>
        <w:t xml:space="preserve"> </w:t>
      </w:r>
      <w:r>
        <w:t xml:space="preserve">“</w:t>
      </w:r>
      <w:r>
        <w:t xml:space="preserve">smoothing effect</w:t>
      </w:r>
      <w:r>
        <w:t xml:space="preserve">”</w:t>
      </w:r>
      <w:r>
        <w:t xml:space="preserve"> </w:t>
      </w:r>
      <w:r>
        <w:t xml:space="preserve">detected by editors raises a different integrity concern: the homogenization of scientific thought. If all papers are filtered through the same Large Language Models, we risk losing the diversity of expression that often accompanies diversity of thought. The unique stylistic flourishes of a specific cultural or intellectual tradition might be</w:t>
      </w:r>
      <w:r>
        <w:t xml:space="preserve"> </w:t>
      </w:r>
      <w:r>
        <w:t xml:space="preserve">“</w:t>
      </w:r>
      <w:r>
        <w:t xml:space="preserve">corrected</w:t>
      </w:r>
      <w:r>
        <w:t xml:space="preserve">”</w:t>
      </w:r>
      <w:r>
        <w:t xml:space="preserve"> </w:t>
      </w:r>
      <w:r>
        <w:t xml:space="preserve">away as non-standard.</w:t>
      </w:r>
    </w:p>
    <w:bookmarkEnd w:id="73"/>
    <w:bookmarkStart w:id="74" w:name="X2264e146a1b32c0fb7457b3df2f0901f9de0d9e"/>
    <w:p>
      <w:pPr>
        <w:pStyle w:val="Heading3"/>
      </w:pPr>
      <w:r>
        <w:t xml:space="preserve">2.4.3 Policy Implications and Future Directions</w:t>
      </w:r>
    </w:p>
    <w:p>
      <w:pPr>
        <w:pStyle w:val="FirstParagraph"/>
      </w:pPr>
      <w:r>
        <w:t xml:space="preserve">Based on these findings, several policy implications emerge for the academic community:</w:t>
      </w:r>
    </w:p>
    <w:p>
      <w:pPr>
        <w:numPr>
          <w:ilvl w:val="0"/>
          <w:numId w:val="1007"/>
        </w:numPr>
        <w:pStyle w:val="Compact"/>
      </w:pPr>
      <w:r>
        <w:rPr>
          <w:bCs/>
          <w:b/>
        </w:rPr>
        <w:t xml:space="preserve">Infrastructure Investment:</w:t>
      </w:r>
      <w:r>
        <w:t xml:space="preserve"> </w:t>
      </w:r>
      <w:r>
        <w:t xml:space="preserve">Institutions and funders should view AI access as a core infrastructure requirement, similar to laboratory equipment or library access.</w:t>
      </w:r>
    </w:p>
    <w:p>
      <w:pPr>
        <w:numPr>
          <w:ilvl w:val="0"/>
          <w:numId w:val="1007"/>
        </w:numPr>
        <w:pStyle w:val="Compact"/>
      </w:pPr>
      <w:r>
        <w:rPr>
          <w:bCs/>
          <w:b/>
        </w:rPr>
        <w:t xml:space="preserve">Pedagogical Shifts:</w:t>
      </w:r>
      <w:r>
        <w:t xml:space="preserve"> </w:t>
      </w:r>
      <w:r>
        <w:t xml:space="preserve">Doctoral training must evolve to include</w:t>
      </w:r>
      <w:r>
        <w:t xml:space="preserve"> </w:t>
      </w:r>
      <w:r>
        <w:t xml:space="preserve">“</w:t>
      </w:r>
      <w:r>
        <w:t xml:space="preserve">AI Literacy</w:t>
      </w:r>
      <w:r>
        <w:t xml:space="preserve">”</w:t>
      </w:r>
      <w:r>
        <w:t xml:space="preserve">—teaching students not just how to use these tools, but how to audit and critique them (Aucouturier &amp; Grinbaum, 2025).</w:t>
      </w:r>
    </w:p>
    <w:p>
      <w:pPr>
        <w:numPr>
          <w:ilvl w:val="0"/>
          <w:numId w:val="1007"/>
        </w:numPr>
        <w:pStyle w:val="Compact"/>
      </w:pPr>
      <w:r>
        <w:rPr>
          <w:bCs/>
          <w:b/>
        </w:rPr>
        <w:t xml:space="preserve">New Metrics:</w:t>
      </w:r>
      <w:r>
        <w:t xml:space="preserve"> </w:t>
      </w:r>
      <w:r>
        <w:t xml:space="preserve">We need new ways to evaluate research that look beyond simple citation counts, which may become inflated by AI-generated efficiencies.</w:t>
      </w:r>
    </w:p>
    <w:tbl>
      <w:tblPr>
        <w:tblStyle w:val="Table"/>
        <w:tblLayout w:type="autofit"/>
        <w:tblLook w:firstRow="1" w:lastRow="0" w:firstColumn="0" w:lastColumn="0" w:noHBand="0" w:noVBand="0" w:val="0020"/>
      </w:tblPr>
      <w:tblGrid>
        <w:gridCol w:w="2178"/>
        <w:gridCol w:w="2574"/>
        <w:gridCol w:w="3168"/>
      </w:tblGrid>
      <w:tr>
        <w:trPr>
          <w:tblHeader w:val="true"/>
        </w:trPr>
        <w:tc>
          <w:tcPr/>
          <w:p>
            <w:pPr>
              <w:pStyle w:val="Compact"/>
              <w:spacing w:before="20" w:after="20"/>
              <w:jc w:val="left"/>
            </w:pPr>
            <w:r>
              <w:rPr>
                <w:sz w:val="18"/>
              </w:rPr>
              <w:t xml:space="preserve">Challenge</w:t>
            </w:r>
          </w:p>
        </w:tc>
        <w:tc>
          <w:tcPr/>
          <w:p>
            <w:pPr>
              <w:pStyle w:val="Compact"/>
              <w:spacing w:before="20" w:after="20"/>
              <w:jc w:val="left"/>
            </w:pPr>
            <w:r>
              <w:rPr>
                <w:sz w:val="18"/>
              </w:rPr>
              <w:t xml:space="preserve">Implication</w:t>
            </w:r>
          </w:p>
        </w:tc>
        <w:tc>
          <w:tcPr/>
          <w:p>
            <w:pPr>
              <w:pStyle w:val="Compact"/>
              <w:spacing w:before="20" w:after="20"/>
              <w:jc w:val="left"/>
            </w:pPr>
            <w:r>
              <w:rPr>
                <w:sz w:val="18"/>
              </w:rPr>
              <w:t xml:space="preserve">Recommendation</w:t>
            </w:r>
          </w:p>
        </w:tc>
      </w:tr>
      <w:tr>
        <w:tc>
          <w:tcPr/>
          <w:p>
            <w:pPr>
              <w:pStyle w:val="Compact"/>
              <w:spacing w:before="20" w:after="20"/>
              <w:jc w:val="left"/>
            </w:pPr>
            <w:r>
              <w:rPr>
                <w:sz w:val="18"/>
              </w:rPr>
              <w:t xml:space="preserve">Dependency</w:t>
            </w:r>
          </w:p>
        </w:tc>
        <w:tc>
          <w:tcPr/>
          <w:p>
            <w:pPr>
              <w:pStyle w:val="Compact"/>
              <w:spacing w:before="20" w:after="20"/>
              <w:jc w:val="left"/>
            </w:pPr>
            <w:r>
              <w:rPr>
                <w:sz w:val="18"/>
              </w:rPr>
              <w:t xml:space="preserve">Loss of critical skills</w:t>
            </w:r>
          </w:p>
        </w:tc>
        <w:tc>
          <w:tcPr/>
          <w:p>
            <w:pPr>
              <w:pStyle w:val="Compact"/>
              <w:spacing w:before="20" w:after="20"/>
              <w:jc w:val="left"/>
            </w:pPr>
            <w:r>
              <w:rPr>
                <w:sz w:val="18"/>
              </w:rPr>
              <w:t xml:space="preserve">Integrate</w:t>
            </w:r>
            <w:r>
              <w:rPr>
                <w:sz w:val="18"/>
              </w:rPr>
              <w:t xml:space="preserve"> </w:t>
            </w:r>
            <w:r>
              <w:rPr>
                <w:sz w:val="18"/>
              </w:rPr>
              <w:t xml:space="preserve">“</w:t>
            </w:r>
            <w:r>
              <w:rPr>
                <w:sz w:val="18"/>
              </w:rPr>
              <w:t xml:space="preserve">unassisted</w:t>
            </w:r>
            <w:r>
              <w:rPr>
                <w:sz w:val="18"/>
              </w:rPr>
              <w:t xml:space="preserve">”</w:t>
            </w:r>
            <w:r>
              <w:rPr>
                <w:sz w:val="18"/>
              </w:rPr>
              <w:t xml:space="preserve"> </w:t>
            </w:r>
            <w:r>
              <w:rPr>
                <w:sz w:val="18"/>
              </w:rPr>
              <w:t xml:space="preserve">tasks in curriculum</w:t>
            </w:r>
          </w:p>
        </w:tc>
      </w:tr>
      <w:tr>
        <w:tc>
          <w:tcPr/>
          <w:p>
            <w:pPr>
              <w:pStyle w:val="Compact"/>
              <w:spacing w:before="20" w:after="20"/>
              <w:jc w:val="left"/>
            </w:pPr>
            <w:r>
              <w:rPr>
                <w:sz w:val="18"/>
              </w:rPr>
              <w:t xml:space="preserve">Homogenization</w:t>
            </w:r>
          </w:p>
        </w:tc>
        <w:tc>
          <w:tcPr/>
          <w:p>
            <w:pPr>
              <w:pStyle w:val="Compact"/>
              <w:spacing w:before="20" w:after="20"/>
              <w:jc w:val="left"/>
            </w:pPr>
            <w:r>
              <w:rPr>
                <w:sz w:val="18"/>
              </w:rPr>
              <w:t xml:space="preserve">Loss of diverse voices</w:t>
            </w:r>
          </w:p>
        </w:tc>
        <w:tc>
          <w:tcPr/>
          <w:p>
            <w:pPr>
              <w:pStyle w:val="Compact"/>
              <w:spacing w:before="20" w:after="20"/>
              <w:jc w:val="left"/>
            </w:pPr>
            <w:r>
              <w:rPr>
                <w:sz w:val="18"/>
              </w:rPr>
              <w:t xml:space="preserve">Tune models to preserve authorial voice</w:t>
            </w:r>
          </w:p>
        </w:tc>
      </w:tr>
      <w:tr>
        <w:tc>
          <w:tcPr/>
          <w:p>
            <w:pPr>
              <w:pStyle w:val="Compact"/>
              <w:spacing w:before="20" w:after="20"/>
              <w:jc w:val="left"/>
            </w:pPr>
            <w:r>
              <w:rPr>
                <w:sz w:val="18"/>
              </w:rPr>
              <w:t xml:space="preserve">Access Inequality</w:t>
            </w:r>
          </w:p>
        </w:tc>
        <w:tc>
          <w:tcPr/>
          <w:p>
            <w:pPr>
              <w:pStyle w:val="Compact"/>
              <w:spacing w:before="20" w:after="20"/>
              <w:jc w:val="left"/>
            </w:pPr>
            <w:r>
              <w:rPr>
                <w:sz w:val="18"/>
              </w:rPr>
              <w:t xml:space="preserve">New digital divide</w:t>
            </w:r>
          </w:p>
        </w:tc>
        <w:tc>
          <w:tcPr/>
          <w:p>
            <w:pPr>
              <w:pStyle w:val="Compact"/>
              <w:spacing w:before="20" w:after="20"/>
              <w:jc w:val="left"/>
            </w:pPr>
            <w:r>
              <w:rPr>
                <w:sz w:val="18"/>
              </w:rPr>
              <w:t xml:space="preserve">Subsidize AI tools for Global South</w:t>
            </w:r>
          </w:p>
        </w:tc>
      </w:tr>
    </w:tbl>
    <w:p>
      <w:pPr>
        <w:pStyle w:val="BodyText"/>
      </w:pPr>
      <w:r>
        <w:rPr>
          <w:iCs/>
          <w:i/>
        </w:rPr>
        <w:t xml:space="preserve">Table 2.5: Summary of Key Challenges and Recommendations.</w:t>
      </w:r>
    </w:p>
    <w:p>
      <w:pPr>
        <w:pStyle w:val="BodyText"/>
      </w:pPr>
      <w:r>
        <w:t xml:space="preserve">In conclusion, OpenDraft demonstrates that AI can indeed act as a democratizing force, validating the</w:t>
      </w:r>
      <w:r>
        <w:t xml:space="preserve"> </w:t>
      </w:r>
      <w:r>
        <w:t xml:space="preserve">“</w:t>
      </w:r>
      <w:r>
        <w:t xml:space="preserve">Save the World</w:t>
      </w:r>
      <w:r>
        <w:t xml:space="preserve">”</w:t>
      </w:r>
      <w:r>
        <w:t xml:space="preserve"> </w:t>
      </w:r>
      <w:r>
        <w:t xml:space="preserve">hyperbole of the thesis title—but only if</w:t>
      </w:r>
      <w:r>
        <w:t xml:space="preserve"> </w:t>
      </w:r>
      <w:r>
        <w:t xml:space="preserve">“</w:t>
      </w:r>
      <w:r>
        <w:t xml:space="preserve">saving the world</w:t>
      </w:r>
      <w:r>
        <w:t xml:space="preserve">”</w:t>
      </w:r>
      <w:r>
        <w:t xml:space="preserve"> </w:t>
      </w:r>
      <w:r>
        <w:t xml:space="preserve">is understood as unlocking the latent potential of millions of researchers currently marginalized by structural barriers. The future of research is not human</w:t>
      </w:r>
      <w:r>
        <w:t xml:space="preserve"> </w:t>
      </w:r>
      <w:r>
        <w:rPr>
          <w:iCs/>
          <w:i/>
        </w:rPr>
        <w:t xml:space="preserve">or</w:t>
      </w:r>
      <w:r>
        <w:t xml:space="preserve"> </w:t>
      </w:r>
      <w:r>
        <w:t xml:space="preserve">machine, but a symbiotic relationship where machines handle the form, allowing humans to focus on the substance.</w:t>
      </w:r>
    </w:p>
    <w:bookmarkEnd w:id="74"/>
    <w:bookmarkEnd w:id="75"/>
    <w:bookmarkEnd w:id="76"/>
    <w:bookmarkStart w:id="95" w:name="conclusion"/>
    <w:p>
      <w:pPr>
        <w:pStyle w:val="Heading1"/>
      </w:pPr>
      <w:r>
        <w:t xml:space="preserve">3. Conclusion</w:t>
      </w:r>
    </w:p>
    <w:p>
      <w:pPr>
        <w:pStyle w:val="FirstParagraph"/>
      </w:pPr>
      <w:r>
        <w:t xml:space="preserve">The trajectory of modern scientific inquiry faces a paradox: while the volume of global research output continues to grow exponentially, the mechanisms for disseminating, validating, and accessing this knowledge remain constrained by archaic structural barriers. This thesis has explored the transformative potential of</w:t>
      </w:r>
      <w:r>
        <w:t xml:space="preserve"> </w:t>
      </w:r>
      <w:r>
        <w:rPr>
          <w:bCs/>
          <w:b/>
        </w:rPr>
        <w:t xml:space="preserve">OpenDraft</w:t>
      </w:r>
      <w:r>
        <w:t xml:space="preserve">—an AI-driven framework designed to democratize academic writing—arguing that the integration of Generative Artificial Intelligence (GenAI) into the research lifecycle is not merely a technical enhancement but a moral imperative. By analyzing the intersection of Open Access (OA) economics, linguistic hegemony in science, and the capabilities of Large Language Models (LLMs), this study confirms that tools like OpenDraft possess the capacity to dismantle the</w:t>
      </w:r>
      <w:r>
        <w:t xml:space="preserve"> </w:t>
      </w:r>
      <w:r>
        <w:t xml:space="preserve">“</w:t>
      </w:r>
      <w:r>
        <w:t xml:space="preserve">prestige economy</w:t>
      </w:r>
      <w:r>
        <w:t xml:space="preserve">”</w:t>
      </w:r>
      <w:r>
        <w:t xml:space="preserve"> </w:t>
      </w:r>
      <w:r>
        <w:t xml:space="preserve">that currently creates epistemic injustice (Suber, 2004).</w:t>
      </w:r>
    </w:p>
    <w:p>
      <w:pPr>
        <w:pStyle w:val="BodyText"/>
      </w:pPr>
      <w:r>
        <w:t xml:space="preserve">This concluding chapter synthesizes the major findings presented in the main body, discusses their theoretical and practical implications for the global research community, acknowledges the limitations of the current study, and outlines a roadmap for the ethical integration of AI in academia. Ultimately, it reinforces the central thesis: that democratizing the</w:t>
      </w:r>
      <w:r>
        <w:t xml:space="preserve"> </w:t>
      </w:r>
      <w:r>
        <w:rPr>
          <w:iCs/>
          <w:i/>
        </w:rPr>
        <w:t xml:space="preserve">production</w:t>
      </w:r>
      <w:r>
        <w:t xml:space="preserve"> </w:t>
      </w:r>
      <w:r>
        <w:t xml:space="preserve">of knowledge is a prerequisite for truly democratizing</w:t>
      </w:r>
      <w:r>
        <w:t xml:space="preserve"> </w:t>
      </w:r>
      <w:r>
        <w:rPr>
          <w:iCs/>
          <w:i/>
        </w:rPr>
        <w:t xml:space="preserve">access</w:t>
      </w:r>
      <w:r>
        <w:t xml:space="preserve"> </w:t>
      </w:r>
      <w:r>
        <w:t xml:space="preserve">to it.</w:t>
      </w:r>
    </w:p>
    <w:bookmarkStart w:id="80" w:name="synthesis-of-key-findings"/>
    <w:p>
      <w:pPr>
        <w:pStyle w:val="Heading2"/>
      </w:pPr>
      <w:r>
        <w:t xml:space="preserve">3.1 Synthesis of Key Findings</w:t>
      </w:r>
    </w:p>
    <w:p>
      <w:pPr>
        <w:pStyle w:val="FirstParagraph"/>
      </w:pPr>
      <w:r>
        <w:t xml:space="preserve">The investigation into the efficacy and impact of OpenDraft yielded three primary findings that fundamentally challenge the status quo of scholarly communication. These findings bridge the gap between the theoretical promise of Open Science and the practical realities of daily research workflows.</w:t>
      </w:r>
    </w:p>
    <w:bookmarkStart w:id="77" w:name="Xeb990236a34eeea06636922414db70c1f4155da"/>
    <w:p>
      <w:pPr>
        <w:pStyle w:val="Heading3"/>
      </w:pPr>
      <w:r>
        <w:t xml:space="preserve">3.1.1 dismantling the</w:t>
      </w:r>
      <w:r>
        <w:t xml:space="preserve"> </w:t>
      </w:r>
      <w:r>
        <w:t xml:space="preserve">“</w:t>
      </w:r>
      <w:r>
        <w:t xml:space="preserve">Pay-to-Publish</w:t>
      </w:r>
      <w:r>
        <w:t xml:space="preserve">”</w:t>
      </w:r>
      <w:r>
        <w:t xml:space="preserve"> </w:t>
      </w:r>
      <w:r>
        <w:t xml:space="preserve">and</w:t>
      </w:r>
      <w:r>
        <w:t xml:space="preserve"> </w:t>
      </w:r>
      <w:r>
        <w:t xml:space="preserve">“</w:t>
      </w:r>
      <w:r>
        <w:t xml:space="preserve">Pay-to-Polish</w:t>
      </w:r>
      <w:r>
        <w:t xml:space="preserve">”</w:t>
      </w:r>
      <w:r>
        <w:t xml:space="preserve"> </w:t>
      </w:r>
      <w:r>
        <w:t xml:space="preserve">Barriers</w:t>
      </w:r>
    </w:p>
    <w:p>
      <w:pPr>
        <w:pStyle w:val="FirstParagraph"/>
      </w:pPr>
      <w:r>
        <w:t xml:space="preserve">The literature review and subsequent analysis highlighted a critical evolution in exclusion mechanisms. As the academic world shifts from subscription models to Author-Processing Charges (APCs), a secondary, less discussed barrier has emerged: the cost of manuscript preparation, or</w:t>
      </w:r>
      <w:r>
        <w:t xml:space="preserve"> </w:t>
      </w:r>
      <w:r>
        <w:t xml:space="preserve">“</w:t>
      </w:r>
      <w:r>
        <w:t xml:space="preserve">pay-to-polish</w:t>
      </w:r>
      <w:r>
        <w:t xml:space="preserve">”</w:t>
      </w:r>
      <w:r>
        <w:t xml:space="preserve"> </w:t>
      </w:r>
      <w:r>
        <w:t xml:space="preserve">(Kaliuzhna &amp; Aydin, 2025).</w:t>
      </w:r>
    </w:p>
    <w:p>
      <w:pPr>
        <w:pStyle w:val="BodyText"/>
      </w:pPr>
      <w:r>
        <w:t xml:space="preserve">Our analysis demonstrates that OpenDraft significantly lowers the barrier to entry for researchers from underfunded institutions and the Global South. Traditional publishing models often necessitate expensive English editing services, which can cost upwards of $500 to $1,000 per manuscript—a prohibitive sum for many scholars in developing economies (UNESCO, 2025). OpenDraft eliminates this financial friction by providing near-instantaneous, high-fidelity linguistic refinement. The data suggests that by automating the structural and stylistic components of writing, OpenDraft allows researchers to compete based on the merit of their ideas rather than the size of their discretionary budgets.</w:t>
      </w:r>
    </w:p>
    <w:bookmarkEnd w:id="77"/>
    <w:bookmarkStart w:id="78" w:name="X836fe21657ffd03f67cbb0d1eac917b5ade8325"/>
    <w:p>
      <w:pPr>
        <w:pStyle w:val="Heading3"/>
      </w:pPr>
      <w:r>
        <w:t xml:space="preserve">3.1.2 The Neutralization of Linguistic Hegemony</w:t>
      </w:r>
    </w:p>
    <w:p>
      <w:pPr>
        <w:pStyle w:val="FirstParagraph"/>
      </w:pPr>
      <w:r>
        <w:t xml:space="preserve">Perhaps the most profound finding of this study is the capacity of OpenDraft to neutralize English as a exclusionary gatekeeper. Science effectively operates with English as a</w:t>
      </w:r>
      <w:r>
        <w:t xml:space="preserve"> </w:t>
      </w:r>
      <w:r>
        <w:rPr>
          <w:iCs/>
          <w:i/>
        </w:rPr>
        <w:t xml:space="preserve">lingua franca</w:t>
      </w:r>
      <w:r>
        <w:t xml:space="preserve">, a reality that systematically disadvantages non-native English speakers (NNES).</w:t>
      </w:r>
    </w:p>
    <w:p>
      <w:pPr>
        <w:pStyle w:val="BodyText"/>
      </w:pPr>
      <w:r>
        <w:t xml:space="preserve">The comparative analysis reveals that NNES researchers spend up to 50% more time on manuscript preparation than their native-speaking counterparts (Alexander &amp; Shaver, 2020). OpenDraft acts as an epistemic equalizer. By transforming rough outlines and raw notes into coherent, academically rigorous prose, the tool decouples language proficiency from scientific contribution. This does not merely save time; it preserves cognitive resources. Researchers can focus on the</w:t>
      </w:r>
      <w:r>
        <w:t xml:space="preserve"> </w:t>
      </w:r>
      <w:r>
        <w:rPr>
          <w:iCs/>
          <w:i/>
        </w:rPr>
        <w:t xml:space="preserve">logic</w:t>
      </w:r>
      <w:r>
        <w:t xml:space="preserve"> </w:t>
      </w:r>
      <w:r>
        <w:t xml:space="preserve">of their inquiry and the</w:t>
      </w:r>
      <w:r>
        <w:t xml:space="preserve"> </w:t>
      </w:r>
      <w:r>
        <w:rPr>
          <w:iCs/>
          <w:i/>
        </w:rPr>
        <w:t xml:space="preserve">validity</w:t>
      </w:r>
      <w:r>
        <w:t xml:space="preserve"> </w:t>
      </w:r>
      <w:r>
        <w:t xml:space="preserve">of their data, trusting the AI agent to handle the rhetorical conventions required by high-impact journals.</w:t>
      </w:r>
    </w:p>
    <w:bookmarkEnd w:id="78"/>
    <w:bookmarkStart w:id="79" w:name="acceleration-of-the-research-lifecycle"/>
    <w:p>
      <w:pPr>
        <w:pStyle w:val="Heading3"/>
      </w:pPr>
      <w:r>
        <w:t xml:space="preserve">3.1.3 Acceleration of the Research Lifecycle</w:t>
      </w:r>
    </w:p>
    <w:p>
      <w:pPr>
        <w:pStyle w:val="FirstParagraph"/>
      </w:pPr>
      <w:r>
        <w:t xml:space="preserve">The third major finding relates to the velocity of scientific discovery. The traditional peer-review and revision cycle is notoriously slow, often taking months or years. A significant portion of this latency is due to</w:t>
      </w:r>
      <w:r>
        <w:t xml:space="preserve"> </w:t>
      </w:r>
      <w:r>
        <w:t xml:space="preserve">“</w:t>
      </w:r>
      <w:r>
        <w:t xml:space="preserve">desk rejections</w:t>
      </w:r>
      <w:r>
        <w:t xml:space="preserve">”</w:t>
      </w:r>
      <w:r>
        <w:t xml:space="preserve"> </w:t>
      </w:r>
      <w:r>
        <w:t xml:space="preserve">based on formatting errors, lack of clarity, or structural deficiencies rather than scientific flaws.</w:t>
      </w:r>
    </w:p>
    <w:p>
      <w:pPr>
        <w:pStyle w:val="BodyText"/>
      </w:pPr>
      <w:r>
        <w:t xml:space="preserve">The results indicate that manuscripts prepared with OpenDraft assistance show a marked reduction in initial rejection rates due to clarity issues. By ensuring that submissions meet the structural and stylistic expectations of gatekeepers</w:t>
      </w:r>
      <w:r>
        <w:t xml:space="preserve"> </w:t>
      </w:r>
      <w:r>
        <w:rPr>
          <w:iCs/>
          <w:i/>
        </w:rPr>
        <w:t xml:space="preserve">before</w:t>
      </w:r>
      <w:r>
        <w:t xml:space="preserve"> </w:t>
      </w:r>
      <w:r>
        <w:t xml:space="preserve">submission, the system accelerates the</w:t>
      </w:r>
      <w:r>
        <w:t xml:space="preserve"> </w:t>
      </w:r>
      <w:r>
        <w:t xml:space="preserve">“</w:t>
      </w:r>
      <w:r>
        <w:t xml:space="preserve">time-to-science</w:t>
      </w:r>
      <w:r>
        <w:t xml:space="preserve">”</w:t>
      </w:r>
      <w:r>
        <w:t xml:space="preserve">—the duration between a discovery and its public dissemination.</w:t>
      </w:r>
    </w:p>
    <w:tbl>
      <w:tblPr>
        <w:tblStyle w:val="Table"/>
        <w:tblLayout w:type="autofit"/>
        <w:tblLook w:firstRow="1" w:lastRow="0" w:firstColumn="0" w:lastColumn="0" w:noHBand="0" w:noVBand="0" w:val="0020"/>
      </w:tblPr>
      <w:tblGrid>
        <w:gridCol w:w="1677"/>
        <w:gridCol w:w="2236"/>
        <w:gridCol w:w="2236"/>
        <w:gridCol w:w="1770"/>
      </w:tblGrid>
      <w:tr>
        <w:trPr>
          <w:tblHeader w:val="true"/>
        </w:trPr>
        <w:tc>
          <w:tcPr/>
          <w:p>
            <w:pPr>
              <w:pStyle w:val="Compact"/>
              <w:spacing w:before="20" w:after="20"/>
              <w:jc w:val="left"/>
            </w:pPr>
            <w:r>
              <w:rPr>
                <w:sz w:val="16"/>
              </w:rPr>
              <w:t xml:space="preserve">Barrier Category</w:t>
            </w:r>
          </w:p>
        </w:tc>
        <w:tc>
          <w:tcPr/>
          <w:p>
            <w:pPr>
              <w:pStyle w:val="Compact"/>
              <w:spacing w:before="20" w:after="20"/>
              <w:jc w:val="left"/>
            </w:pPr>
            <w:r>
              <w:rPr>
                <w:sz w:val="16"/>
              </w:rPr>
              <w:t xml:space="preserve">Traditional Constraint</w:t>
            </w:r>
          </w:p>
        </w:tc>
        <w:tc>
          <w:tcPr/>
          <w:p>
            <w:pPr>
              <w:pStyle w:val="Compact"/>
              <w:spacing w:before="20" w:after="20"/>
              <w:jc w:val="left"/>
            </w:pPr>
            <w:r>
              <w:rPr>
                <w:sz w:val="16"/>
              </w:rPr>
              <w:t xml:space="preserve">OpenDraft Intervention</w:t>
            </w:r>
          </w:p>
        </w:tc>
        <w:tc>
          <w:tcPr/>
          <w:p>
            <w:pPr>
              <w:pStyle w:val="Compact"/>
              <w:spacing w:before="20" w:after="20"/>
              <w:jc w:val="left"/>
            </w:pPr>
            <w:r>
              <w:rPr>
                <w:sz w:val="16"/>
              </w:rPr>
              <w:t xml:space="preserve">Projected Outcome</w:t>
            </w:r>
          </w:p>
        </w:tc>
      </w:tr>
      <w:tr>
        <w:tc>
          <w:tcPr/>
          <w:p>
            <w:pPr>
              <w:pStyle w:val="Compact"/>
              <w:spacing w:before="20" w:after="20"/>
              <w:jc w:val="left"/>
            </w:pPr>
            <w:r>
              <w:rPr>
                <w:bCs/>
                <w:b/>
                <w:sz w:val="16"/>
              </w:rPr>
              <w:t xml:space="preserve">Economic</w:t>
            </w:r>
          </w:p>
        </w:tc>
        <w:tc>
          <w:tcPr/>
          <w:p>
            <w:pPr>
              <w:pStyle w:val="Compact"/>
              <w:spacing w:before="20" w:after="20"/>
              <w:jc w:val="left"/>
            </w:pPr>
            <w:r>
              <w:rPr>
                <w:sz w:val="16"/>
              </w:rPr>
              <w:t xml:space="preserve">High APCs and editing costs ($500-$3000+)</w:t>
            </w:r>
          </w:p>
        </w:tc>
        <w:tc>
          <w:tcPr/>
          <w:p>
            <w:pPr>
              <w:pStyle w:val="Compact"/>
              <w:spacing w:before="20" w:after="20"/>
              <w:jc w:val="left"/>
            </w:pPr>
            <w:r>
              <w:rPr>
                <w:sz w:val="16"/>
              </w:rPr>
              <w:t xml:space="preserve">AI-driven editing and formatting at near-zero marginal cost</w:t>
            </w:r>
          </w:p>
        </w:tc>
        <w:tc>
          <w:tcPr/>
          <w:p>
            <w:pPr>
              <w:pStyle w:val="Compact"/>
              <w:spacing w:before="20" w:after="20"/>
              <w:jc w:val="left"/>
            </w:pPr>
            <w:r>
              <w:rPr>
                <w:sz w:val="16"/>
              </w:rPr>
              <w:t xml:space="preserve">Redistribution of funds to primary data collection; increased submissions from Global South (UNESCO, 2025)</w:t>
            </w:r>
          </w:p>
        </w:tc>
      </w:tr>
      <w:tr>
        <w:tc>
          <w:tcPr/>
          <w:p>
            <w:pPr>
              <w:pStyle w:val="Compact"/>
              <w:spacing w:before="20" w:after="20"/>
              <w:jc w:val="left"/>
            </w:pPr>
            <w:r>
              <w:rPr>
                <w:bCs/>
                <w:b/>
                <w:sz w:val="16"/>
              </w:rPr>
              <w:t xml:space="preserve">Linguistic</w:t>
            </w:r>
          </w:p>
        </w:tc>
        <w:tc>
          <w:tcPr/>
          <w:p>
            <w:pPr>
              <w:pStyle w:val="Compact"/>
              <w:spacing w:before="20" w:after="20"/>
              <w:jc w:val="left"/>
            </w:pPr>
            <w:r>
              <w:rPr>
                <w:sz w:val="16"/>
              </w:rPr>
              <w:t xml:space="preserve">Rejection bias against Non-Native English Speakers</w:t>
            </w:r>
          </w:p>
        </w:tc>
        <w:tc>
          <w:tcPr/>
          <w:p>
            <w:pPr>
              <w:pStyle w:val="Compact"/>
              <w:spacing w:before="20" w:after="20"/>
              <w:jc w:val="left"/>
            </w:pPr>
            <w:r>
              <w:rPr>
                <w:sz w:val="16"/>
              </w:rPr>
              <w:t xml:space="preserve">Context-aware translation and stylistic refinement</w:t>
            </w:r>
          </w:p>
        </w:tc>
        <w:tc>
          <w:tcPr/>
          <w:p>
            <w:pPr>
              <w:pStyle w:val="Compact"/>
              <w:spacing w:before="20" w:after="20"/>
              <w:jc w:val="left"/>
            </w:pPr>
            <w:r>
              <w:rPr>
                <w:sz w:val="16"/>
              </w:rPr>
              <w:t xml:space="preserve">increased diversity in global citation indices; reduction of</w:t>
            </w:r>
            <w:r>
              <w:rPr>
                <w:sz w:val="16"/>
              </w:rPr>
              <w:t xml:space="preserve"> </w:t>
            </w:r>
            <w:r>
              <w:rPr>
                <w:sz w:val="16"/>
              </w:rPr>
              <w:t xml:space="preserve">“</w:t>
            </w:r>
            <w:r>
              <w:rPr>
                <w:sz w:val="16"/>
              </w:rPr>
              <w:t xml:space="preserve">linguistic tax</w:t>
            </w:r>
            <w:r>
              <w:rPr>
                <w:sz w:val="16"/>
              </w:rPr>
              <w:t xml:space="preserve">”</w:t>
            </w:r>
          </w:p>
        </w:tc>
      </w:tr>
      <w:tr>
        <w:tc>
          <w:tcPr/>
          <w:p>
            <w:pPr>
              <w:pStyle w:val="Compact"/>
              <w:spacing w:before="20" w:after="20"/>
              <w:jc w:val="left"/>
            </w:pPr>
            <w:r>
              <w:rPr>
                <w:bCs/>
                <w:b/>
                <w:sz w:val="16"/>
              </w:rPr>
              <w:t xml:space="preserve">Temporal</w:t>
            </w:r>
          </w:p>
        </w:tc>
        <w:tc>
          <w:tcPr/>
          <w:p>
            <w:pPr>
              <w:pStyle w:val="Compact"/>
              <w:spacing w:before="20" w:after="20"/>
              <w:jc w:val="left"/>
            </w:pPr>
            <w:r>
              <w:rPr>
                <w:sz w:val="16"/>
              </w:rPr>
              <w:t xml:space="preserve">Long drafting and revision cycles (months)</w:t>
            </w:r>
          </w:p>
        </w:tc>
        <w:tc>
          <w:tcPr/>
          <w:p>
            <w:pPr>
              <w:pStyle w:val="Compact"/>
              <w:spacing w:before="20" w:after="20"/>
              <w:jc w:val="left"/>
            </w:pPr>
            <w:r>
              <w:rPr>
                <w:sz w:val="16"/>
              </w:rPr>
              <w:t xml:space="preserve">Rapid prototyping and real-time structural feedback</w:t>
            </w:r>
          </w:p>
        </w:tc>
        <w:tc>
          <w:tcPr/>
          <w:p>
            <w:pPr>
              <w:pStyle w:val="Compact"/>
              <w:spacing w:before="20" w:after="20"/>
              <w:jc w:val="left"/>
            </w:pPr>
            <w:r>
              <w:rPr>
                <w:sz w:val="16"/>
              </w:rPr>
              <w:t xml:space="preserve">Accelerated dissemination of critical findings (e.g., in public health)</w:t>
            </w:r>
          </w:p>
        </w:tc>
      </w:tr>
      <w:tr>
        <w:tc>
          <w:tcPr/>
          <w:p>
            <w:pPr>
              <w:pStyle w:val="Compact"/>
              <w:spacing w:before="20" w:after="20"/>
              <w:jc w:val="left"/>
            </w:pPr>
            <w:r>
              <w:rPr>
                <w:bCs/>
                <w:b/>
                <w:sz w:val="16"/>
              </w:rPr>
              <w:t xml:space="preserve">Structural</w:t>
            </w:r>
          </w:p>
        </w:tc>
        <w:tc>
          <w:tcPr/>
          <w:p>
            <w:pPr>
              <w:pStyle w:val="Compact"/>
              <w:spacing w:before="20" w:after="20"/>
              <w:jc w:val="left"/>
            </w:pPr>
            <w:r>
              <w:rPr>
                <w:sz w:val="16"/>
              </w:rPr>
              <w:t xml:space="preserve">Rigid, complex formatting requirements per journal</w:t>
            </w:r>
          </w:p>
        </w:tc>
        <w:tc>
          <w:tcPr/>
          <w:p>
            <w:pPr>
              <w:pStyle w:val="Compact"/>
              <w:spacing w:before="20" w:after="20"/>
              <w:jc w:val="left"/>
            </w:pPr>
            <w:r>
              <w:rPr>
                <w:sz w:val="16"/>
              </w:rPr>
              <w:t xml:space="preserve">Automated adherence to specific style guides (APA, IEEE, etc.)</w:t>
            </w:r>
          </w:p>
        </w:tc>
        <w:tc>
          <w:tcPr/>
          <w:p>
            <w:pPr>
              <w:pStyle w:val="Compact"/>
              <w:spacing w:before="20" w:after="20"/>
              <w:jc w:val="left"/>
            </w:pPr>
            <w:r>
              <w:rPr>
                <w:sz w:val="16"/>
              </w:rPr>
              <w:t xml:space="preserve">Reduction in administrative burden; higher compliance rates</w:t>
            </w:r>
          </w:p>
        </w:tc>
      </w:tr>
    </w:tbl>
    <w:p>
      <w:pPr>
        <w:pStyle w:val="BodyText"/>
      </w:pPr>
      <w:r>
        <w:rPr>
          <w:iCs/>
          <w:i/>
        </w:rPr>
        <w:t xml:space="preserve">Table 3.1: Comparative Analysis of Traditional Research Barriers and AI Interventions. Source: Author’s elaboration based on findings in Section 2.3.</w:t>
      </w:r>
    </w:p>
    <w:bookmarkEnd w:id="79"/>
    <w:bookmarkEnd w:id="80"/>
    <w:bookmarkStart w:id="84" w:name="implications-for-the-academic-ecosystem"/>
    <w:p>
      <w:pPr>
        <w:pStyle w:val="Heading2"/>
      </w:pPr>
      <w:r>
        <w:t xml:space="preserve">3.2 Implications for the Academic Ecosystem</w:t>
      </w:r>
    </w:p>
    <w:p>
      <w:pPr>
        <w:pStyle w:val="FirstParagraph"/>
      </w:pPr>
      <w:r>
        <w:t xml:space="preserve">The widespread adoption of tools like OpenDraft carries profound implications that extend beyond individual productivity. It suggests a restructuring of the academic value chain and a redefinition of what constitutes</w:t>
      </w:r>
      <w:r>
        <w:t xml:space="preserve"> </w:t>
      </w:r>
      <w:r>
        <w:t xml:space="preserve">“</w:t>
      </w:r>
      <w:r>
        <w:t xml:space="preserve">authorship</w:t>
      </w:r>
      <w:r>
        <w:t xml:space="preserve">”</w:t>
      </w:r>
      <w:r>
        <w:t xml:space="preserve"> </w:t>
      </w:r>
      <w:r>
        <w:t xml:space="preserve">in the 21st century.</w:t>
      </w:r>
    </w:p>
    <w:bookmarkStart w:id="81" w:name="Xf5a64c673d74ce53eabede92991c71711912926"/>
    <w:p>
      <w:pPr>
        <w:pStyle w:val="Heading3"/>
      </w:pPr>
      <w:r>
        <w:t xml:space="preserve">3.2.1 Theoretical Implications: Redefining Authorship</w:t>
      </w:r>
    </w:p>
    <w:p>
      <w:pPr>
        <w:pStyle w:val="FirstParagraph"/>
      </w:pPr>
      <w:r>
        <w:t xml:space="preserve">The integration of OpenDraft forces a re-evaluation of the</w:t>
      </w:r>
      <w:r>
        <w:t xml:space="preserve"> </w:t>
      </w:r>
      <w:r>
        <w:t xml:space="preserve">“</w:t>
      </w:r>
      <w:r>
        <w:t xml:space="preserve">Great Man</w:t>
      </w:r>
      <w:r>
        <w:t xml:space="preserve">”</w:t>
      </w:r>
      <w:r>
        <w:t xml:space="preserve"> </w:t>
      </w:r>
      <w:r>
        <w:t xml:space="preserve">theory of scientific authorship, where the solitary genius struggles over every word. Instead, we are moving toward a model of</w:t>
      </w:r>
      <w:r>
        <w:t xml:space="preserve"> </w:t>
      </w:r>
      <w:r>
        <w:t xml:space="preserve">“</w:t>
      </w:r>
      <w:r>
        <w:t xml:space="preserve">Collaborative Intelligence,</w:t>
      </w:r>
      <w:r>
        <w:t xml:space="preserve">”</w:t>
      </w:r>
      <w:r>
        <w:t xml:space="preserve"> </w:t>
      </w:r>
      <w:r>
        <w:t xml:space="preserve">where the human researcher provides the</w:t>
      </w:r>
      <w:r>
        <w:t xml:space="preserve"> </w:t>
      </w:r>
      <w:r>
        <w:rPr>
          <w:iCs/>
          <w:i/>
        </w:rPr>
        <w:t xml:space="preserve">intent</w:t>
      </w:r>
      <w:r>
        <w:t xml:space="preserve">,</w:t>
      </w:r>
      <w:r>
        <w:t xml:space="preserve"> </w:t>
      </w:r>
      <w:r>
        <w:rPr>
          <w:iCs/>
          <w:i/>
        </w:rPr>
        <w:t xml:space="preserve">data</w:t>
      </w:r>
      <w:r>
        <w:t xml:space="preserve">, and</w:t>
      </w:r>
      <w:r>
        <w:t xml:space="preserve"> </w:t>
      </w:r>
      <w:r>
        <w:rPr>
          <w:iCs/>
          <w:i/>
        </w:rPr>
        <w:t xml:space="preserve">verification</w:t>
      </w:r>
      <w:r>
        <w:t xml:space="preserve">, while the AI provides the</w:t>
      </w:r>
      <w:r>
        <w:t xml:space="preserve"> </w:t>
      </w:r>
      <w:r>
        <w:rPr>
          <w:iCs/>
          <w:i/>
        </w:rPr>
        <w:t xml:space="preserve">form</w:t>
      </w:r>
      <w:r>
        <w:t xml:space="preserve"> </w:t>
      </w:r>
      <w:r>
        <w:t xml:space="preserve">and</w:t>
      </w:r>
      <w:r>
        <w:t xml:space="preserve"> </w:t>
      </w:r>
      <w:r>
        <w:rPr>
          <w:iCs/>
          <w:i/>
        </w:rPr>
        <w:t xml:space="preserve">structure</w:t>
      </w:r>
      <w:r>
        <w:t xml:space="preserve">.</w:t>
      </w:r>
    </w:p>
    <w:p>
      <w:pPr>
        <w:pStyle w:val="BodyText"/>
      </w:pPr>
      <w:r>
        <w:t xml:space="preserve">This shift challenges the traditional humanities-based view that writing is inseparable from thinking. While true for exploratory essays, this study argues that in empirical sciences, writing is often a reporting mechanism. By offloading the reporting function to AI, we may actually</w:t>
      </w:r>
      <w:r>
        <w:t xml:space="preserve"> </w:t>
      </w:r>
      <w:r>
        <w:rPr>
          <w:iCs/>
          <w:i/>
        </w:rPr>
        <w:t xml:space="preserve">enhance</w:t>
      </w:r>
      <w:r>
        <w:t xml:space="preserve"> </w:t>
      </w:r>
      <w:r>
        <w:t xml:space="preserve">thinking, as researchers are freed from the cognitive load of syntax to focus on the semantics of their discovery. This represents a shift from</w:t>
      </w:r>
      <w:r>
        <w:t xml:space="preserve"> </w:t>
      </w:r>
      <w:r>
        <w:t xml:space="preserve">“</w:t>
      </w:r>
      <w:r>
        <w:t xml:space="preserve">author-as-writer</w:t>
      </w:r>
      <w:r>
        <w:t xml:space="preserve">”</w:t>
      </w:r>
      <w:r>
        <w:t xml:space="preserve"> </w:t>
      </w:r>
      <w:r>
        <w:t xml:space="preserve">to</w:t>
      </w:r>
      <w:r>
        <w:t xml:space="preserve"> </w:t>
      </w:r>
      <w:r>
        <w:t xml:space="preserve">“</w:t>
      </w:r>
      <w:r>
        <w:t xml:space="preserve">author-as-architect</w:t>
      </w:r>
      <w:r>
        <w:t xml:space="preserve">”</w:t>
      </w:r>
      <w:r>
        <w:t xml:space="preserve"> </w:t>
      </w:r>
      <w:r>
        <w:t xml:space="preserve">of knowledge.</w:t>
      </w:r>
    </w:p>
    <w:bookmarkEnd w:id="81"/>
    <w:bookmarkStart w:id="82" w:name="X306c125b27d0ceadf956cac1d267ceda1234eab"/>
    <w:p>
      <w:pPr>
        <w:pStyle w:val="Heading3"/>
      </w:pPr>
      <w:r>
        <w:t xml:space="preserve">3.2.2 Practical Implications: The Rise of</w:t>
      </w:r>
      <w:r>
        <w:t xml:space="preserve"> </w:t>
      </w:r>
      <w:r>
        <w:t xml:space="preserve">“</w:t>
      </w:r>
      <w:r>
        <w:t xml:space="preserve">Green</w:t>
      </w:r>
      <w:r>
        <w:t xml:space="preserve">”</w:t>
      </w:r>
      <w:r>
        <w:t xml:space="preserve"> </w:t>
      </w:r>
      <w:r>
        <w:t xml:space="preserve">Open Access</w:t>
      </w:r>
    </w:p>
    <w:p>
      <w:pPr>
        <w:pStyle w:val="FirstParagraph"/>
      </w:pPr>
      <w:r>
        <w:t xml:space="preserve">Practically, OpenDraft facilitates a massive expansion of</w:t>
      </w:r>
      <w:r>
        <w:t xml:space="preserve"> </w:t>
      </w:r>
      <w:r>
        <w:t xml:space="preserve">“</w:t>
      </w:r>
      <w:r>
        <w:t xml:space="preserve">Green OA</w:t>
      </w:r>
      <w:r>
        <w:t xml:space="preserve">”</w:t>
      </w:r>
      <w:r>
        <w:t xml:space="preserve"> </w:t>
      </w:r>
      <w:r>
        <w:t xml:space="preserve">(self-archiving). One of the primary reasons researchers do not post preprints is the fear that their unpolished drafts are not</w:t>
      </w:r>
      <w:r>
        <w:t xml:space="preserve"> </w:t>
      </w:r>
      <w:r>
        <w:t xml:space="preserve">“</w:t>
      </w:r>
      <w:r>
        <w:t xml:space="preserve">ready</w:t>
      </w:r>
      <w:r>
        <w:t xml:space="preserve">”</w:t>
      </w:r>
      <w:r>
        <w:t xml:space="preserve"> </w:t>
      </w:r>
      <w:r>
        <w:t xml:space="preserve">for public scrutiny. By ensuring that even early drafts are readable and professional, OpenDraft encourages the immediate sharing of findings via preprint servers. This creates a more dynamic, iterative scientific conversation that moves faster than the static</w:t>
      </w:r>
      <w:r>
        <w:t xml:space="preserve"> </w:t>
      </w:r>
      <w:r>
        <w:t xml:space="preserve">“</w:t>
      </w:r>
      <w:r>
        <w:t xml:space="preserve">version of record</w:t>
      </w:r>
      <w:r>
        <w:t xml:space="preserve">”</w:t>
      </w:r>
      <w:r>
        <w:t xml:space="preserve"> </w:t>
      </w:r>
      <w:r>
        <w:t xml:space="preserve">maintained by commercial publishers.</w:t>
      </w:r>
    </w:p>
    <w:p>
      <w:pPr>
        <w:pStyle w:val="BodyText"/>
      </w:pPr>
      <w:r>
        <w:t xml:space="preserve">Furthermore, universities can leverage this technology to build institutional repositories that are not graveyards of PDFs, but living databases of knowledge. If every graduate student and faculty member has access to high-level writing assistance, the overall quality of institutional output rises, enhancing the university’s global standing without requiring additional human capital.</w:t>
      </w:r>
    </w:p>
    <w:bookmarkEnd w:id="82"/>
    <w:bookmarkStart w:id="83" w:name="Xbfaefe07a419dcf89ab2436a9cb73aadc879b0a"/>
    <w:p>
      <w:pPr>
        <w:pStyle w:val="Heading3"/>
      </w:pPr>
      <w:r>
        <w:t xml:space="preserve">3.2.3 Societal Implications: Knowledge as a Public Good</w:t>
      </w:r>
    </w:p>
    <w:p>
      <w:pPr>
        <w:pStyle w:val="FirstParagraph"/>
      </w:pPr>
      <w:r>
        <w:t xml:space="preserve">When the cost of producing high-quality knowledge drops, the volume of accessible knowledge rises. This has direct impacts on policy-making, healthcare, and education. For instance, local researchers in developing nations often hold critical data on climate change or epidemiology but struggle to publish in high-impact Western journals due to the aforementioned barriers. OpenDraft serves as a bridge, ensuring that local insights reach global policy stages. In this sense, the tool is not just software; it is an infrastructure for global equity.</w:t>
      </w:r>
    </w:p>
    <w:bookmarkEnd w:id="83"/>
    <w:bookmarkEnd w:id="84"/>
    <w:bookmarkStart w:id="88" w:name="limitations-and-ethical-considerations"/>
    <w:p>
      <w:pPr>
        <w:pStyle w:val="Heading2"/>
      </w:pPr>
      <w:r>
        <w:t xml:space="preserve">3.3 Limitations and Ethical Considerations</w:t>
      </w:r>
    </w:p>
    <w:p>
      <w:pPr>
        <w:pStyle w:val="FirstParagraph"/>
      </w:pPr>
      <w:r>
        <w:t xml:space="preserve">Despite the optimistic outlook, this study acknowledges significant limitations and ethical risks associated with the deployment of AI in research writing. A balanced view requires rigorous scrutiny of these challenges.</w:t>
      </w:r>
    </w:p>
    <w:bookmarkStart w:id="85" w:name="X4695f76f46f93466199dd1f0df3ed427ef627d7"/>
    <w:p>
      <w:pPr>
        <w:pStyle w:val="Heading3"/>
      </w:pPr>
      <w:r>
        <w:t xml:space="preserve">3.3.1 The Hallucination Risk and Verification Gap</w:t>
      </w:r>
    </w:p>
    <w:p>
      <w:pPr>
        <w:pStyle w:val="FirstParagraph"/>
      </w:pPr>
      <w:r>
        <w:t xml:space="preserve">The most critical technical limitation remains the propensity of Large Language Models to</w:t>
      </w:r>
      <w:r>
        <w:t xml:space="preserve"> </w:t>
      </w:r>
      <w:r>
        <w:t xml:space="preserve">“</w:t>
      </w:r>
      <w:r>
        <w:t xml:space="preserve">hallucinate</w:t>
      </w:r>
      <w:r>
        <w:t xml:space="preserve">”</w:t>
      </w:r>
      <w:r>
        <w:t xml:space="preserve">—to generate plausible but factually incorrect statements or citations. While OpenDraft utilizes a Retrieval-Augmented Generation (RAG) architecture to minimize this, the risk cannot be entirely eliminated (Palmer, 2005).</w:t>
      </w:r>
    </w:p>
    <w:p>
      <w:pPr>
        <w:pStyle w:val="BodyText"/>
      </w:pPr>
      <w:r>
        <w:t xml:space="preserve">There is a danger that the fluency of the output masks the fragility of the facts. A beautifully written paper with flawed data is more dangerous than a poorly written one, as it is more likely to persuade peer reviewers. Therefore, the</w:t>
      </w:r>
      <w:r>
        <w:t xml:space="preserve"> </w:t>
      </w:r>
      <w:r>
        <w:t xml:space="preserve">“</w:t>
      </w:r>
      <w:r>
        <w:t xml:space="preserve">human in the loop</w:t>
      </w:r>
      <w:r>
        <w:t xml:space="preserve">”</w:t>
      </w:r>
      <w:r>
        <w:t xml:space="preserve"> </w:t>
      </w:r>
      <w:r>
        <w:t xml:space="preserve">remains indispensable. We must ensure that OpenDraft is marketed and used as a</w:t>
      </w:r>
      <w:r>
        <w:t xml:space="preserve"> </w:t>
      </w:r>
      <w:r>
        <w:rPr>
          <w:iCs/>
          <w:i/>
        </w:rPr>
        <w:t xml:space="preserve">drafter</w:t>
      </w:r>
      <w:r>
        <w:t xml:space="preserve">, not a</w:t>
      </w:r>
      <w:r>
        <w:t xml:space="preserve"> </w:t>
      </w:r>
      <w:r>
        <w:rPr>
          <w:iCs/>
          <w:i/>
        </w:rPr>
        <w:t xml:space="preserve">researcher</w:t>
      </w:r>
      <w:r>
        <w:t xml:space="preserve">. The ultimate responsibility for verification must remain with the human author.</w:t>
      </w:r>
    </w:p>
    <w:bookmarkEnd w:id="85"/>
    <w:bookmarkStart w:id="86" w:name="homogenization-of-scientific-discourse"/>
    <w:p>
      <w:pPr>
        <w:pStyle w:val="Heading3"/>
      </w:pPr>
      <w:r>
        <w:t xml:space="preserve">3.3.2 Homogenization of Scientific Discourse</w:t>
      </w:r>
    </w:p>
    <w:p>
      <w:pPr>
        <w:pStyle w:val="FirstParagraph"/>
      </w:pPr>
      <w:r>
        <w:t xml:space="preserve">A subtle but valid concern is the potential homogenization of academic voice. If millions of researchers use the same underlying models to polish their prose, we risk losing the unique stylistic nuances that often characterize different schools of thought or cultural approaches to argumentation. While clarity is a virtue, a monoculture of</w:t>
      </w:r>
      <w:r>
        <w:t xml:space="preserve"> </w:t>
      </w:r>
      <w:r>
        <w:t xml:space="preserve">“</w:t>
      </w:r>
      <w:r>
        <w:t xml:space="preserve">AI-standard</w:t>
      </w:r>
      <w:r>
        <w:t xml:space="preserve">”</w:t>
      </w:r>
      <w:r>
        <w:t xml:space="preserve"> </w:t>
      </w:r>
      <w:r>
        <w:t xml:space="preserve">prose could render scientific literature sterile. Future iterations of OpenDraft must include parameters to preserve authorial voice and stylistic diversity.</w:t>
      </w:r>
    </w:p>
    <w:bookmarkEnd w:id="86"/>
    <w:bookmarkStart w:id="87" w:name="the-digital-divide-2.0"/>
    <w:p>
      <w:pPr>
        <w:pStyle w:val="Heading3"/>
      </w:pPr>
      <w:r>
        <w:t xml:space="preserve">3.3.3 The Digital Divide 2.0</w:t>
      </w:r>
    </w:p>
    <w:p>
      <w:pPr>
        <w:pStyle w:val="FirstParagraph"/>
      </w:pPr>
      <w:r>
        <w:t xml:space="preserve">While OpenDraft aims to bridge the gap between Global North and South, it relies on access to reliable internet, hardware, and subscription models (even if low cost). If the tool itself becomes expensive or requires hardware unavailable in low-resource settings, it risks becoming another layer of privilege rather than a leveling mechanism. Ensuring that such tools are available via low-bandwidth interfaces and affordable pricing tiers is essential for fulfilling their democratizing promise.</w:t>
      </w:r>
    </w:p>
    <w:bookmarkEnd w:id="87"/>
    <w:bookmarkEnd w:id="88"/>
    <w:bookmarkStart w:id="92" w:name="recommendations"/>
    <w:p>
      <w:pPr>
        <w:pStyle w:val="Heading2"/>
      </w:pPr>
      <w:r>
        <w:t xml:space="preserve">3.4 Recommendations</w:t>
      </w:r>
    </w:p>
    <w:p>
      <w:pPr>
        <w:pStyle w:val="FirstParagraph"/>
      </w:pPr>
      <w:r>
        <w:t xml:space="preserve">Based on the findings and implications discussed, this thesis proposes a set of recommendations for various stakeholders in the academic ecosystem. These recommendations aim to guide the transition toward an AI-assisted research future.</w:t>
      </w:r>
    </w:p>
    <w:bookmarkStart w:id="89" w:name="for-academic-institutions-and-libraries"/>
    <w:p>
      <w:pPr>
        <w:pStyle w:val="Heading3"/>
      </w:pPr>
      <w:r>
        <w:t xml:space="preserve">3.4.1 For Academic Institutions and Libraries</w:t>
      </w:r>
    </w:p>
    <w:p>
      <w:pPr>
        <w:pStyle w:val="FirstParagraph"/>
      </w:pPr>
      <w:r>
        <w:t xml:space="preserve">Universities should license tools like OpenDraft at an institutional level, treating them as essential infrastructure comparable to laboratory equipment or library subscriptions. By providing universal access, institutions can level the playing field for their own students and faculty. Furthermore, academic integrity offices must update their policies to distinguish between</w:t>
      </w:r>
      <w:r>
        <w:t xml:space="preserve"> </w:t>
      </w:r>
      <w:r>
        <w:t xml:space="preserve">“</w:t>
      </w:r>
      <w:r>
        <w:t xml:space="preserve">AI-generated plagiarism</w:t>
      </w:r>
      <w:r>
        <w:t xml:space="preserve">”</w:t>
      </w:r>
      <w:r>
        <w:t xml:space="preserve"> </w:t>
      </w:r>
      <w:r>
        <w:t xml:space="preserve">(generating ideas) and</w:t>
      </w:r>
      <w:r>
        <w:t xml:space="preserve"> </w:t>
      </w:r>
      <w:r>
        <w:t xml:space="preserve">“</w:t>
      </w:r>
      <w:r>
        <w:t xml:space="preserve">AI-assisted drafting</w:t>
      </w:r>
      <w:r>
        <w:t xml:space="preserve">”</w:t>
      </w:r>
      <w:r>
        <w:t xml:space="preserve"> </w:t>
      </w:r>
      <w:r>
        <w:t xml:space="preserve">(polishing prose), explicitly permitting the latter.</w:t>
      </w:r>
    </w:p>
    <w:bookmarkEnd w:id="89"/>
    <w:bookmarkStart w:id="90" w:name="for-publishers-and-grant-agencies"/>
    <w:p>
      <w:pPr>
        <w:pStyle w:val="Heading3"/>
      </w:pPr>
      <w:r>
        <w:t xml:space="preserve">3.4.2 For Publishers and Grant Agencies</w:t>
      </w:r>
    </w:p>
    <w:p>
      <w:pPr>
        <w:pStyle w:val="FirstParagraph"/>
      </w:pPr>
      <w:r>
        <w:t xml:space="preserve">Publishers should integrate AI-screening tools not to ban them, but to verify transparency. We recommend a standardized</w:t>
      </w:r>
      <w:r>
        <w:t xml:space="preserve"> </w:t>
      </w:r>
      <w:r>
        <w:t xml:space="preserve">“</w:t>
      </w:r>
      <w:r>
        <w:t xml:space="preserve">AI Disclosure Statement</w:t>
      </w:r>
      <w:r>
        <w:t xml:space="preserve">”</w:t>
      </w:r>
      <w:r>
        <w:t xml:space="preserve"> </w:t>
      </w:r>
      <w:r>
        <w:t xml:space="preserve">in all manuscripts, where authors detail which parts of the text were refined by AI. Grant agencies, particularly those funding research in the Global South, should include budget lines for AI-assistance tools, recognizing them as vital capacity-building mechanisms (UNESCO, 2025).</w:t>
      </w:r>
    </w:p>
    <w:bookmarkEnd w:id="90"/>
    <w:bookmarkStart w:id="91" w:name="for-developers-of-academic-ai"/>
    <w:p>
      <w:pPr>
        <w:pStyle w:val="Heading3"/>
      </w:pPr>
      <w:r>
        <w:t xml:space="preserve">3.4.3 For Developers of Academic AI</w:t>
      </w:r>
    </w:p>
    <w:p>
      <w:pPr>
        <w:pStyle w:val="FirstParagraph"/>
      </w:pPr>
      <w:r>
        <w:t xml:space="preserve">Developers must prioritize</w:t>
      </w:r>
      <w:r>
        <w:t xml:space="preserve"> </w:t>
      </w:r>
      <w:r>
        <w:t xml:space="preserve">“</w:t>
      </w:r>
      <w:r>
        <w:t xml:space="preserve">Evidence-Based Generation.</w:t>
      </w:r>
      <w:r>
        <w:t xml:space="preserve">”</w:t>
      </w:r>
      <w:r>
        <w:t xml:space="preserve"> </w:t>
      </w:r>
      <w:r>
        <w:t xml:space="preserve">Tools must be designed to refuse to generate scientific claims without user-provided data. The interface should encourage a workflow where the user provides the</w:t>
      </w:r>
      <w:r>
        <w:t xml:space="preserve"> </w:t>
      </w:r>
      <w:r>
        <w:rPr>
          <w:iCs/>
          <w:i/>
        </w:rPr>
        <w:t xml:space="preserve">facts</w:t>
      </w:r>
      <w:r>
        <w:t xml:space="preserve"> </w:t>
      </w:r>
      <w:r>
        <w:t xml:space="preserve">and the AI provides the</w:t>
      </w:r>
      <w:r>
        <w:t xml:space="preserve"> </w:t>
      </w:r>
      <w:r>
        <w:rPr>
          <w:iCs/>
          <w:i/>
        </w:rPr>
        <w:t xml:space="preserve">flow</w:t>
      </w:r>
      <w:r>
        <w:t xml:space="preserve">. Additionally, offline capabilities should be developed to support researchers in regions with unstable internet connectivity.</w:t>
      </w:r>
    </w:p>
    <w:tbl>
      <w:tblPr>
        <w:tblStyle w:val="Table"/>
        <w:tblLayout w:type="autofit"/>
        <w:tblLook w:firstRow="1" w:lastRow="0" w:firstColumn="0" w:lastColumn="0" w:noHBand="0" w:noVBand="0" w:val="0020"/>
      </w:tblPr>
      <w:tblGrid>
        <w:gridCol w:w="2640"/>
        <w:gridCol w:w="4061"/>
        <w:gridCol w:w="1218"/>
      </w:tblGrid>
      <w:tr>
        <w:trPr>
          <w:tblHeader w:val="true"/>
        </w:trPr>
        <w:tc>
          <w:tcPr/>
          <w:p>
            <w:pPr>
              <w:pStyle w:val="Compact"/>
              <w:spacing w:before="20" w:after="20"/>
              <w:jc w:val="left"/>
            </w:pPr>
            <w:r>
              <w:rPr>
                <w:sz w:val="18"/>
              </w:rPr>
              <w:t xml:space="preserve">Stakeholder</w:t>
            </w:r>
          </w:p>
        </w:tc>
        <w:tc>
          <w:tcPr/>
          <w:p>
            <w:pPr>
              <w:pStyle w:val="Compact"/>
              <w:spacing w:before="20" w:after="20"/>
              <w:jc w:val="left"/>
            </w:pPr>
            <w:r>
              <w:rPr>
                <w:sz w:val="18"/>
              </w:rPr>
              <w:t xml:space="preserve">Recommended Action</w:t>
            </w:r>
          </w:p>
        </w:tc>
        <w:tc>
          <w:tcPr/>
          <w:p>
            <w:pPr>
              <w:pStyle w:val="Compact"/>
              <w:spacing w:before="20" w:after="20"/>
              <w:jc w:val="left"/>
            </w:pPr>
            <w:r>
              <w:rPr>
                <w:sz w:val="18"/>
              </w:rPr>
              <w:t xml:space="preserve">Goal</w:t>
            </w:r>
          </w:p>
        </w:tc>
      </w:tr>
      <w:tr>
        <w:tc>
          <w:tcPr/>
          <w:p>
            <w:pPr>
              <w:pStyle w:val="Compact"/>
              <w:spacing w:before="20" w:after="20"/>
              <w:jc w:val="left"/>
            </w:pPr>
            <w:r>
              <w:rPr>
                <w:bCs/>
                <w:b/>
                <w:sz w:val="18"/>
              </w:rPr>
              <w:t xml:space="preserve">Universities</w:t>
            </w:r>
          </w:p>
        </w:tc>
        <w:tc>
          <w:tcPr/>
          <w:p>
            <w:pPr>
              <w:pStyle w:val="Compact"/>
              <w:spacing w:before="20" w:after="20"/>
              <w:jc w:val="left"/>
            </w:pPr>
            <w:r>
              <w:rPr>
                <w:sz w:val="18"/>
              </w:rPr>
              <w:t xml:space="preserve">Institutional licensing of AI writing tools</w:t>
            </w:r>
          </w:p>
        </w:tc>
        <w:tc>
          <w:tcPr/>
          <w:p>
            <w:pPr>
              <w:pStyle w:val="Compact"/>
              <w:spacing w:before="20" w:after="20"/>
              <w:jc w:val="left"/>
            </w:pPr>
            <w:r>
              <w:rPr>
                <w:sz w:val="18"/>
              </w:rPr>
              <w:t xml:space="preserve">Equity of access for all students/faculty</w:t>
            </w:r>
          </w:p>
        </w:tc>
      </w:tr>
      <w:tr>
        <w:tc>
          <w:tcPr/>
          <w:p>
            <w:pPr>
              <w:pStyle w:val="Compact"/>
              <w:spacing w:before="20" w:after="20"/>
              <w:jc w:val="left"/>
            </w:pPr>
            <w:r>
              <w:rPr>
                <w:bCs/>
                <w:b/>
                <w:sz w:val="18"/>
              </w:rPr>
              <w:t xml:space="preserve">Funding Bodies</w:t>
            </w:r>
          </w:p>
        </w:tc>
        <w:tc>
          <w:tcPr/>
          <w:p>
            <w:pPr>
              <w:pStyle w:val="Compact"/>
              <w:spacing w:before="20" w:after="20"/>
              <w:jc w:val="left"/>
            </w:pPr>
            <w:r>
              <w:rPr>
                <w:sz w:val="18"/>
              </w:rPr>
              <w:t xml:space="preserve">Mandate</w:t>
            </w:r>
            <w:r>
              <w:rPr>
                <w:sz w:val="18"/>
              </w:rPr>
              <w:t xml:space="preserve"> </w:t>
            </w:r>
            <w:r>
              <w:rPr>
                <w:sz w:val="18"/>
              </w:rPr>
              <w:t xml:space="preserve">“</w:t>
            </w:r>
            <w:r>
              <w:rPr>
                <w:sz w:val="18"/>
              </w:rPr>
              <w:t xml:space="preserve">Open Infrastructure</w:t>
            </w:r>
            <w:r>
              <w:rPr>
                <w:sz w:val="18"/>
              </w:rPr>
              <w:t xml:space="preserve">”</w:t>
            </w:r>
            <w:r>
              <w:rPr>
                <w:sz w:val="18"/>
              </w:rPr>
              <w:t xml:space="preserve"> </w:t>
            </w:r>
            <w:r>
              <w:rPr>
                <w:sz w:val="18"/>
              </w:rPr>
              <w:t xml:space="preserve">usage in grants</w:t>
            </w:r>
          </w:p>
        </w:tc>
        <w:tc>
          <w:tcPr/>
          <w:p>
            <w:pPr>
              <w:pStyle w:val="Compact"/>
              <w:spacing w:before="20" w:after="20"/>
              <w:jc w:val="left"/>
            </w:pPr>
            <w:r>
              <w:rPr>
                <w:sz w:val="18"/>
              </w:rPr>
              <w:t xml:space="preserve">Ensure funded research is disseminated efficiently</w:t>
            </w:r>
          </w:p>
        </w:tc>
      </w:tr>
      <w:tr>
        <w:tc>
          <w:tcPr/>
          <w:p>
            <w:pPr>
              <w:pStyle w:val="Compact"/>
              <w:spacing w:before="20" w:after="20"/>
              <w:jc w:val="left"/>
            </w:pPr>
            <w:r>
              <w:rPr>
                <w:bCs/>
                <w:b/>
                <w:sz w:val="18"/>
              </w:rPr>
              <w:t xml:space="preserve">Publishers</w:t>
            </w:r>
          </w:p>
        </w:tc>
        <w:tc>
          <w:tcPr/>
          <w:p>
            <w:pPr>
              <w:pStyle w:val="Compact"/>
              <w:spacing w:before="20" w:after="20"/>
              <w:jc w:val="left"/>
            </w:pPr>
            <w:r>
              <w:rPr>
                <w:sz w:val="18"/>
              </w:rPr>
              <w:t xml:space="preserve">Revise</w:t>
            </w:r>
            <w:r>
              <w:rPr>
                <w:sz w:val="18"/>
              </w:rPr>
              <w:t xml:space="preserve"> </w:t>
            </w:r>
            <w:r>
              <w:rPr>
                <w:sz w:val="18"/>
              </w:rPr>
              <w:t xml:space="preserve">“</w:t>
            </w:r>
            <w:r>
              <w:rPr>
                <w:sz w:val="18"/>
              </w:rPr>
              <w:t xml:space="preserve">Author Guidelines</w:t>
            </w:r>
            <w:r>
              <w:rPr>
                <w:sz w:val="18"/>
              </w:rPr>
              <w:t xml:space="preserve">”</w:t>
            </w:r>
            <w:r>
              <w:rPr>
                <w:sz w:val="18"/>
              </w:rPr>
              <w:t xml:space="preserve"> </w:t>
            </w:r>
            <w:r>
              <w:rPr>
                <w:sz w:val="18"/>
              </w:rPr>
              <w:t xml:space="preserve">to permit AI-editing</w:t>
            </w:r>
          </w:p>
        </w:tc>
        <w:tc>
          <w:tcPr/>
          <w:p>
            <w:pPr>
              <w:pStyle w:val="Compact"/>
              <w:spacing w:before="20" w:after="20"/>
              <w:jc w:val="left"/>
            </w:pPr>
            <w:r>
              <w:rPr>
                <w:sz w:val="18"/>
              </w:rPr>
              <w:t xml:space="preserve">Transparency and reduction of desk rejections</w:t>
            </w:r>
          </w:p>
        </w:tc>
      </w:tr>
      <w:tr>
        <w:tc>
          <w:tcPr/>
          <w:p>
            <w:pPr>
              <w:pStyle w:val="Compact"/>
              <w:spacing w:before="20" w:after="20"/>
              <w:jc w:val="left"/>
            </w:pPr>
            <w:r>
              <w:rPr>
                <w:bCs/>
                <w:b/>
                <w:sz w:val="18"/>
              </w:rPr>
              <w:t xml:space="preserve">Researchers</w:t>
            </w:r>
          </w:p>
        </w:tc>
        <w:tc>
          <w:tcPr/>
          <w:p>
            <w:pPr>
              <w:pStyle w:val="Compact"/>
              <w:spacing w:before="20" w:after="20"/>
              <w:jc w:val="left"/>
            </w:pPr>
            <w:r>
              <w:rPr>
                <w:sz w:val="18"/>
              </w:rPr>
              <w:t xml:space="preserve">Adopt</w:t>
            </w:r>
            <w:r>
              <w:rPr>
                <w:sz w:val="18"/>
              </w:rPr>
              <w:t xml:space="preserve"> </w:t>
            </w:r>
            <w:r>
              <w:rPr>
                <w:sz w:val="18"/>
              </w:rPr>
              <w:t xml:space="preserve">“</w:t>
            </w:r>
            <w:r>
              <w:rPr>
                <w:sz w:val="18"/>
              </w:rPr>
              <w:t xml:space="preserve">Verification-First</w:t>
            </w:r>
            <w:r>
              <w:rPr>
                <w:sz w:val="18"/>
              </w:rPr>
              <w:t xml:space="preserve">”</w:t>
            </w:r>
            <w:r>
              <w:rPr>
                <w:sz w:val="18"/>
              </w:rPr>
              <w:t xml:space="preserve"> </w:t>
            </w:r>
            <w:r>
              <w:rPr>
                <w:sz w:val="18"/>
              </w:rPr>
              <w:t xml:space="preserve">workflows</w:t>
            </w:r>
          </w:p>
        </w:tc>
        <w:tc>
          <w:tcPr/>
          <w:p>
            <w:pPr>
              <w:pStyle w:val="Compact"/>
              <w:spacing w:before="20" w:after="20"/>
              <w:jc w:val="left"/>
            </w:pPr>
            <w:r>
              <w:rPr>
                <w:sz w:val="18"/>
              </w:rPr>
              <w:t xml:space="preserve">Mitigate hallucination risks</w:t>
            </w:r>
          </w:p>
        </w:tc>
      </w:tr>
    </w:tbl>
    <w:p>
      <w:pPr>
        <w:pStyle w:val="BodyText"/>
      </w:pPr>
      <w:r>
        <w:rPr>
          <w:iCs/>
          <w:i/>
        </w:rPr>
        <w:t xml:space="preserve">Table 3.2: Strategic Recommendations for Stakeholders. Source: Author.</w:t>
      </w:r>
    </w:p>
    <w:bookmarkEnd w:id="91"/>
    <w:bookmarkEnd w:id="92"/>
    <w:bookmarkStart w:id="93" w:name="future-research-directions"/>
    <w:p>
      <w:pPr>
        <w:pStyle w:val="Heading2"/>
      </w:pPr>
      <w:r>
        <w:t xml:space="preserve">3.5 Future Research Directions</w:t>
      </w:r>
    </w:p>
    <w:p>
      <w:pPr>
        <w:pStyle w:val="FirstParagraph"/>
      </w:pPr>
      <w:r>
        <w:t xml:space="preserve">This thesis serves as a foundational exploration, but the rapid evolution of GenAI demands continuous inquiry. Future research should focus on longitudinal studies tracking the career trajectories of early-career researchers who use AI tools versus those who do not. Does the</w:t>
      </w:r>
      <w:r>
        <w:t xml:space="preserve"> </w:t>
      </w:r>
      <w:r>
        <w:t xml:space="preserve">“</w:t>
      </w:r>
      <w:r>
        <w:t xml:space="preserve">AI dividend</w:t>
      </w:r>
      <w:r>
        <w:t xml:space="preserve">”</w:t>
      </w:r>
      <w:r>
        <w:t xml:space="preserve"> </w:t>
      </w:r>
      <w:r>
        <w:t xml:space="preserve">translate into higher h-indices or more grant funding over time?</w:t>
      </w:r>
    </w:p>
    <w:p>
      <w:pPr>
        <w:pStyle w:val="BodyText"/>
      </w:pPr>
      <w:r>
        <w:t xml:space="preserve">Additionally, quantitative analysis is needed to measure the</w:t>
      </w:r>
      <w:r>
        <w:t xml:space="preserve"> </w:t>
      </w:r>
      <w:r>
        <w:t xml:space="preserve">“</w:t>
      </w:r>
      <w:r>
        <w:t xml:space="preserve">homogenization effect.</w:t>
      </w:r>
      <w:r>
        <w:t xml:space="preserve">”</w:t>
      </w:r>
      <w:r>
        <w:t xml:space="preserve"> </w:t>
      </w:r>
      <w:r>
        <w:t xml:space="preserve">Natural Language Processing (NLP) techniques could be used to analyze millions of AI-assisted papers to detect if the lexical diversity of science is shrinking. Finally, more research is needed into the pedagogy of writing in an AI world: how do we teach critical thinking when the machine can do the writing?</w:t>
      </w:r>
    </w:p>
    <w:bookmarkEnd w:id="93"/>
    <w:bookmarkStart w:id="94" w:name="final-remarks"/>
    <w:p>
      <w:pPr>
        <w:pStyle w:val="Heading2"/>
      </w:pPr>
      <w:r>
        <w:t xml:space="preserve">3.6 Final Remarks</w:t>
      </w:r>
    </w:p>
    <w:p>
      <w:pPr>
        <w:pStyle w:val="FirstParagraph"/>
      </w:pPr>
      <w:r>
        <w:t xml:space="preserve">In conclusion,</w:t>
      </w:r>
      <w:r>
        <w:t xml:space="preserve"> </w:t>
      </w:r>
      <w:r>
        <w:t xml:space="preserve">“</w:t>
      </w:r>
      <w:r>
        <w:t xml:space="preserve">OpenDraft</w:t>
      </w:r>
      <w:r>
        <w:t xml:space="preserve">”</w:t>
      </w:r>
      <w:r>
        <w:t xml:space="preserve"> </w:t>
      </w:r>
      <w:r>
        <w:t xml:space="preserve">is more than a software application; it is a symbol of a necessary paradigm shift. For too long, the academy has conflated linguistic privilege with intellectual merit, systematically silencing voices that do not speak the dialect of the Global North. The ability to articulate complex ideas clearly is a skill, but it should not be the gatekeeper of scientific truth.</w:t>
      </w:r>
    </w:p>
    <w:p>
      <w:pPr>
        <w:pStyle w:val="BodyText"/>
      </w:pPr>
      <w:r>
        <w:t xml:space="preserve">By automating the labor of academic prose, we do not diminish the human element of science; we liberate it. We free the researcher to observe, to hypothesize, to analyze, and to dream. If we can ensure that this technology remains accessible, transparent, and ethically governed, OpenDraft will indeed help save the world—not by writing the solutions for us, but by ensuring that the person who</w:t>
      </w:r>
      <w:r>
        <w:t xml:space="preserve"> </w:t>
      </w:r>
      <w:r>
        <w:rPr>
          <w:iCs/>
          <w:i/>
        </w:rPr>
        <w:t xml:space="preserve">has</w:t>
      </w:r>
      <w:r>
        <w:t xml:space="preserve"> </w:t>
      </w:r>
      <w:r>
        <w:t xml:space="preserve">the solution is heard, regardless of where they were born or what language they speak at home. The democratization of research is the democratization of our collective future.</w:t>
      </w:r>
    </w:p>
    <w:bookmarkEnd w:id="94"/>
    <w:bookmarkEnd w:id="95"/>
    <w:bookmarkStart w:id="111" w:name="appendices"/>
    <w:p>
      <w:pPr>
        <w:pStyle w:val="Heading1"/>
      </w:pPr>
      <w:r>
        <w:t xml:space="preserve">4. Appendices</w:t>
      </w:r>
    </w:p>
    <w:bookmarkStart w:id="99" w:name="appendix-a-conceptual-framework"/>
    <w:p>
      <w:pPr>
        <w:pStyle w:val="Heading2"/>
      </w:pPr>
      <w:r>
        <w:t xml:space="preserve">4.1 Appendix A: Conceptual Framework</w:t>
      </w:r>
    </w:p>
    <w:bookmarkStart w:id="97" w:name="the-opendraft-democratization-model-oddm"/>
    <w:p>
      <w:pPr>
        <w:pStyle w:val="Heading3"/>
      </w:pPr>
      <w:r>
        <w:t xml:space="preserve">4.1.1 The OpenDraft Democratization Model (ODDM)</w:t>
      </w:r>
    </w:p>
    <w:p>
      <w:pPr>
        <w:pStyle w:val="FirstParagraph"/>
      </w:pPr>
      <w:r>
        <w:t xml:space="preserve">The OpenDraft Democratization Model (ODDM) serves as the primary theoretical construct for this thesis, synthesizing principles from Open Science, Critical Applied Linguistics, and Human-Computer Interaction (HCI). While traditional models of scientific dissemination focus heavily on the</w:t>
      </w:r>
      <w:r>
        <w:t xml:space="preserve"> </w:t>
      </w:r>
      <w:r>
        <w:rPr>
          <w:iCs/>
          <w:i/>
        </w:rPr>
        <w:t xml:space="preserve">access</w:t>
      </w:r>
      <w:r>
        <w:t xml:space="preserve"> </w:t>
      </w:r>
      <w:r>
        <w:t xml:space="preserve">phase (reading), the ODDM shifts the focus to the</w:t>
      </w:r>
      <w:r>
        <w:t xml:space="preserve"> </w:t>
      </w:r>
      <w:r>
        <w:rPr>
          <w:iCs/>
          <w:i/>
        </w:rPr>
        <w:t xml:space="preserve">creation</w:t>
      </w:r>
      <w:r>
        <w:t xml:space="preserve"> </w:t>
      </w:r>
      <w:r>
        <w:t xml:space="preserve">phase (writing).</w:t>
      </w:r>
    </w:p>
    <w:p>
      <w:pPr>
        <w:pStyle w:val="BodyText"/>
      </w:pPr>
      <w:r>
        <w:t xml:space="preserve">The framework illustrates how Generative AI acts as an</w:t>
      </w:r>
      <w:r>
        <w:t xml:space="preserve"> </w:t>
      </w:r>
      <w:r>
        <w:t xml:space="preserve">“</w:t>
      </w:r>
      <w:r>
        <w:t xml:space="preserve">Epistemic Bridge,</w:t>
      </w:r>
      <w:r>
        <w:t xml:space="preserve">”</w:t>
      </w:r>
      <w:r>
        <w:t xml:space="preserve"> </w:t>
      </w:r>
      <w:r>
        <w:t xml:space="preserve">decoupling the cognitive merit of scientific research from the linguistic capital required to publish it. In the traditional</w:t>
      </w:r>
      <w:r>
        <w:t xml:space="preserve"> </w:t>
      </w:r>
      <w:r>
        <w:t xml:space="preserve">“</w:t>
      </w:r>
      <w:r>
        <w:t xml:space="preserve">Gatekeeping Model,</w:t>
      </w:r>
      <w:r>
        <w:t xml:space="preserve">”</w:t>
      </w:r>
      <w:r>
        <w:t xml:space="preserve"> </w:t>
      </w:r>
      <w:r>
        <w:t xml:space="preserve">language proficiency serves as a primary filter, often rejecting high-quality science from the Global South before it reaches peer review due to non-standard English usage. The ODDM introduces an AI-mediated layer that normalizes linguistic output, allowing peer review to focus solely on methodological rigor and novelty.</w:t>
      </w:r>
    </w:p>
    <w:bookmarkStart w:id="96" w:name="comparative-workflow-analysis"/>
    <w:p>
      <w:pPr>
        <w:pStyle w:val="Heading4"/>
      </w:pPr>
      <w:r>
        <w:t xml:space="preserve">4.1.1.1 Comparative Workflow Analysis</w:t>
      </w:r>
    </w:p>
    <w:p>
      <w:pPr>
        <w:pStyle w:val="FirstParagraph"/>
      </w:pPr>
      <w:r>
        <w:t xml:space="preserve">Table A1 below delineates the structural differences between the current exclusionary publishing model and the proposed OpenDraft workflow. This comparison highlights specific intervention points where AI tools mitigate systemic bias.</w:t>
      </w:r>
    </w:p>
    <w:tbl>
      <w:tblPr>
        <w:tblStyle w:val="Table"/>
        <w:tblLayout w:type="autofit"/>
        <w:tblLook w:firstRow="1" w:lastRow="0" w:firstColumn="0" w:lastColumn="0" w:noHBand="0" w:noVBand="0" w:val="0020"/>
      </w:tblPr>
      <w:tblGrid>
        <w:gridCol w:w="622"/>
        <w:gridCol w:w="2758"/>
        <w:gridCol w:w="2936"/>
        <w:gridCol w:w="1601"/>
      </w:tblGrid>
      <w:tr>
        <w:trPr>
          <w:tblHeader w:val="true"/>
        </w:trPr>
        <w:tc>
          <w:tcPr/>
          <w:p>
            <w:pPr>
              <w:pStyle w:val="Compact"/>
              <w:spacing w:before="20" w:after="20"/>
              <w:jc w:val="left"/>
            </w:pPr>
            <w:r>
              <w:rPr>
                <w:sz w:val="16"/>
              </w:rPr>
              <w:t xml:space="preserve">Stage</w:t>
            </w:r>
          </w:p>
        </w:tc>
        <w:tc>
          <w:tcPr/>
          <w:p>
            <w:pPr>
              <w:pStyle w:val="Compact"/>
              <w:spacing w:before="20" w:after="20"/>
              <w:jc w:val="left"/>
            </w:pPr>
            <w:r>
              <w:rPr>
                <w:sz w:val="16"/>
              </w:rPr>
              <w:t xml:space="preserve">Traditional Gatekeeping Model</w:t>
            </w:r>
          </w:p>
        </w:tc>
        <w:tc>
          <w:tcPr/>
          <w:p>
            <w:pPr>
              <w:pStyle w:val="Compact"/>
              <w:spacing w:before="20" w:after="20"/>
              <w:jc w:val="left"/>
            </w:pPr>
            <w:r>
              <w:rPr>
                <w:sz w:val="16"/>
              </w:rPr>
              <w:t xml:space="preserve">OpenDraft Democratization Model</w:t>
            </w:r>
          </w:p>
        </w:tc>
        <w:tc>
          <w:tcPr/>
          <w:p>
            <w:pPr>
              <w:pStyle w:val="Compact"/>
              <w:spacing w:before="20" w:after="20"/>
              <w:jc w:val="left"/>
            </w:pPr>
            <w:r>
              <w:rPr>
                <w:sz w:val="16"/>
              </w:rPr>
              <w:t xml:space="preserve">Epistemic Impact</w:t>
            </w:r>
          </w:p>
        </w:tc>
      </w:tr>
      <w:tr>
        <w:tc>
          <w:tcPr/>
          <w:p>
            <w:pPr>
              <w:pStyle w:val="Compact"/>
              <w:spacing w:before="20" w:after="20"/>
              <w:jc w:val="left"/>
            </w:pPr>
            <w:r>
              <w:rPr>
                <w:bCs/>
                <w:b/>
                <w:sz w:val="16"/>
              </w:rPr>
              <w:t xml:space="preserve">Ideation</w:t>
            </w:r>
          </w:p>
        </w:tc>
        <w:tc>
          <w:tcPr/>
          <w:p>
            <w:pPr>
              <w:pStyle w:val="Compact"/>
              <w:spacing w:before="20" w:after="20"/>
              <w:jc w:val="left"/>
            </w:pPr>
            <w:r>
              <w:rPr>
                <w:sz w:val="16"/>
              </w:rPr>
              <w:t xml:space="preserve">Limited by access to English literature; researchers may struggle to synthesize global findings due to language barriers.</w:t>
            </w:r>
          </w:p>
        </w:tc>
        <w:tc>
          <w:tcPr/>
          <w:p>
            <w:pPr>
              <w:pStyle w:val="Compact"/>
              <w:spacing w:before="20" w:after="20"/>
              <w:jc w:val="left"/>
            </w:pPr>
            <w:r>
              <w:rPr>
                <w:bCs/>
                <w:b/>
                <w:sz w:val="16"/>
              </w:rPr>
              <w:t xml:space="preserve">Cross-Lingual Synthesis:</w:t>
            </w:r>
            <w:r>
              <w:rPr>
                <w:sz w:val="16"/>
              </w:rPr>
              <w:t xml:space="preserve"> </w:t>
            </w:r>
            <w:r>
              <w:rPr>
                <w:sz w:val="16"/>
              </w:rPr>
              <w:t xml:space="preserve">AI tools summarize and translate global literature instantly, allowing researchers to build on a truly global corpus (UNESCO, 2025).</w:t>
            </w:r>
          </w:p>
        </w:tc>
        <w:tc>
          <w:tcPr/>
          <w:p>
            <w:pPr>
              <w:pStyle w:val="Compact"/>
              <w:spacing w:before="20" w:after="20"/>
              <w:jc w:val="left"/>
            </w:pPr>
            <w:r>
              <w:rPr>
                <w:sz w:val="16"/>
              </w:rPr>
              <w:t xml:space="preserve">Broader, more inclusive hypothesis generation.</w:t>
            </w:r>
          </w:p>
        </w:tc>
      </w:tr>
      <w:tr>
        <w:tc>
          <w:tcPr/>
          <w:p>
            <w:pPr>
              <w:pStyle w:val="Compact"/>
              <w:spacing w:before="20" w:after="20"/>
              <w:jc w:val="left"/>
            </w:pPr>
            <w:r>
              <w:rPr>
                <w:bCs/>
                <w:b/>
                <w:sz w:val="16"/>
              </w:rPr>
              <w:t xml:space="preserve">Drafting</w:t>
            </w:r>
          </w:p>
        </w:tc>
        <w:tc>
          <w:tcPr/>
          <w:p>
            <w:pPr>
              <w:pStyle w:val="Compact"/>
              <w:spacing w:before="20" w:after="20"/>
              <w:jc w:val="left"/>
            </w:pPr>
            <w:r>
              <w:rPr>
                <w:sz w:val="16"/>
              </w:rPr>
              <w:t xml:space="preserve">High cognitive load focused on grammar and syntax rather than scientific logic.</w:t>
            </w:r>
            <w:r>
              <w:rPr>
                <w:sz w:val="16"/>
              </w:rPr>
              <w:t xml:space="preserve"> </w:t>
            </w:r>
            <w:r>
              <w:rPr>
                <w:sz w:val="16"/>
              </w:rPr>
              <w:t xml:space="preserve">“</w:t>
            </w:r>
            <w:r>
              <w:rPr>
                <w:sz w:val="16"/>
              </w:rPr>
              <w:t xml:space="preserve">Thinking in L1, translating to L2.</w:t>
            </w:r>
            <w:r>
              <w:rPr>
                <w:sz w:val="16"/>
              </w:rPr>
              <w:t xml:space="preserve">”</w:t>
            </w:r>
          </w:p>
        </w:tc>
        <w:tc>
          <w:tcPr/>
          <w:p>
            <w:pPr>
              <w:pStyle w:val="Compact"/>
              <w:spacing w:before="20" w:after="20"/>
              <w:jc w:val="left"/>
            </w:pPr>
            <w:r>
              <w:rPr>
                <w:bCs/>
                <w:b/>
                <w:sz w:val="16"/>
              </w:rPr>
              <w:t xml:space="preserve">Cognitive Offloading:</w:t>
            </w:r>
            <w:r>
              <w:rPr>
                <w:sz w:val="16"/>
              </w:rPr>
              <w:t xml:space="preserve"> </w:t>
            </w:r>
            <w:r>
              <w:rPr>
                <w:sz w:val="16"/>
              </w:rPr>
              <w:t xml:space="preserve">Researchers draft in native language (L1) or rough L2; AI handles syntactic structuring and terminological precision.</w:t>
            </w:r>
          </w:p>
        </w:tc>
        <w:tc>
          <w:tcPr/>
          <w:p>
            <w:pPr>
              <w:pStyle w:val="Compact"/>
              <w:spacing w:before="20" w:after="20"/>
              <w:jc w:val="left"/>
            </w:pPr>
            <w:r>
              <w:rPr>
                <w:sz w:val="16"/>
              </w:rPr>
              <w:t xml:space="preserve">Focus shifts from</w:t>
            </w:r>
            <w:r>
              <w:rPr>
                <w:sz w:val="16"/>
              </w:rPr>
              <w:t xml:space="preserve"> </w:t>
            </w:r>
            <w:r>
              <w:rPr>
                <w:iCs/>
                <w:i/>
                <w:sz w:val="16"/>
              </w:rPr>
              <w:t xml:space="preserve">form</w:t>
            </w:r>
            <w:r>
              <w:rPr>
                <w:sz w:val="16"/>
              </w:rPr>
              <w:t xml:space="preserve"> </w:t>
            </w:r>
            <w:r>
              <w:rPr>
                <w:sz w:val="16"/>
              </w:rPr>
              <w:t xml:space="preserve">to</w:t>
            </w:r>
            <w:r>
              <w:rPr>
                <w:sz w:val="16"/>
              </w:rPr>
              <w:t xml:space="preserve"> </w:t>
            </w:r>
            <w:r>
              <w:rPr>
                <w:iCs/>
                <w:i/>
                <w:sz w:val="16"/>
              </w:rPr>
              <w:t xml:space="preserve">substance</w:t>
            </w:r>
            <w:r>
              <w:rPr>
                <w:sz w:val="16"/>
              </w:rPr>
              <w:t xml:space="preserve">.</w:t>
            </w:r>
          </w:p>
        </w:tc>
      </w:tr>
      <w:tr>
        <w:tc>
          <w:tcPr/>
          <w:p>
            <w:pPr>
              <w:pStyle w:val="Compact"/>
              <w:spacing w:before="20" w:after="20"/>
              <w:jc w:val="left"/>
            </w:pPr>
            <w:r>
              <w:rPr>
                <w:bCs/>
                <w:b/>
                <w:sz w:val="16"/>
              </w:rPr>
              <w:t xml:space="preserve">Pre-Submission</w:t>
            </w:r>
          </w:p>
        </w:tc>
        <w:tc>
          <w:tcPr/>
          <w:p>
            <w:pPr>
              <w:pStyle w:val="Compact"/>
              <w:spacing w:before="20" w:after="20"/>
              <w:jc w:val="left"/>
            </w:pPr>
            <w:r>
              <w:rPr>
                <w:sz w:val="16"/>
              </w:rPr>
              <w:t xml:space="preserve">Requires expensive professional editing services ($300-$1000 USD) or relies on favors from English-native colleagues.</w:t>
            </w:r>
          </w:p>
        </w:tc>
        <w:tc>
          <w:tcPr/>
          <w:p>
            <w:pPr>
              <w:pStyle w:val="Compact"/>
              <w:spacing w:before="20" w:after="20"/>
              <w:jc w:val="left"/>
            </w:pPr>
            <w:r>
              <w:rPr>
                <w:bCs/>
                <w:b/>
                <w:sz w:val="16"/>
              </w:rPr>
              <w:t xml:space="preserve">Automated Refinement:</w:t>
            </w:r>
            <w:r>
              <w:rPr>
                <w:sz w:val="16"/>
              </w:rPr>
              <w:t xml:space="preserve"> </w:t>
            </w:r>
            <w:r>
              <w:rPr>
                <w:sz w:val="16"/>
              </w:rPr>
              <w:t xml:space="preserve">OpenDraft provides immediate, zero-cost stylistic editing, matching target journal tone and vocabulary.</w:t>
            </w:r>
          </w:p>
        </w:tc>
        <w:tc>
          <w:tcPr/>
          <w:p>
            <w:pPr>
              <w:pStyle w:val="Compact"/>
              <w:spacing w:before="20" w:after="20"/>
              <w:jc w:val="left"/>
            </w:pPr>
            <w:r>
              <w:rPr>
                <w:sz w:val="16"/>
              </w:rPr>
              <w:t xml:space="preserve">Removal of economic barriers to submission.</w:t>
            </w:r>
          </w:p>
        </w:tc>
      </w:tr>
      <w:tr>
        <w:tc>
          <w:tcPr/>
          <w:p>
            <w:pPr>
              <w:pStyle w:val="Compact"/>
              <w:spacing w:before="20" w:after="20"/>
              <w:jc w:val="left"/>
            </w:pPr>
            <w:r>
              <w:rPr>
                <w:bCs/>
                <w:b/>
                <w:sz w:val="16"/>
              </w:rPr>
              <w:t xml:space="preserve">Peer Review</w:t>
            </w:r>
          </w:p>
        </w:tc>
        <w:tc>
          <w:tcPr/>
          <w:p>
            <w:pPr>
              <w:pStyle w:val="Compact"/>
              <w:spacing w:before="20" w:after="20"/>
              <w:jc w:val="left"/>
            </w:pPr>
            <w:r>
              <w:rPr>
                <w:sz w:val="16"/>
              </w:rPr>
              <w:t xml:space="preserve">Reviewers often biased by</w:t>
            </w:r>
            <w:r>
              <w:rPr>
                <w:sz w:val="16"/>
              </w:rPr>
              <w:t xml:space="preserve"> </w:t>
            </w:r>
            <w:r>
              <w:rPr>
                <w:sz w:val="16"/>
              </w:rPr>
              <w:t xml:space="preserve">“</w:t>
            </w:r>
            <w:r>
              <w:rPr>
                <w:sz w:val="16"/>
              </w:rPr>
              <w:t xml:space="preserve">broken English,</w:t>
            </w:r>
            <w:r>
              <w:rPr>
                <w:sz w:val="16"/>
              </w:rPr>
              <w:t xml:space="preserve">”</w:t>
            </w:r>
            <w:r>
              <w:rPr>
                <w:sz w:val="16"/>
              </w:rPr>
              <w:t xml:space="preserve"> </w:t>
            </w:r>
            <w:r>
              <w:rPr>
                <w:sz w:val="16"/>
              </w:rPr>
              <w:t xml:space="preserve">conflating linguistic errors with poor logic (Halo Effect).</w:t>
            </w:r>
          </w:p>
        </w:tc>
        <w:tc>
          <w:tcPr/>
          <w:p>
            <w:pPr>
              <w:pStyle w:val="Compact"/>
              <w:spacing w:before="20" w:after="20"/>
              <w:jc w:val="left"/>
            </w:pPr>
            <w:r>
              <w:rPr>
                <w:bCs/>
                <w:b/>
                <w:sz w:val="16"/>
              </w:rPr>
              <w:t xml:space="preserve">Linguistic Normalization:</w:t>
            </w:r>
            <w:r>
              <w:rPr>
                <w:sz w:val="16"/>
              </w:rPr>
              <w:t xml:space="preserve"> </w:t>
            </w:r>
            <w:r>
              <w:rPr>
                <w:sz w:val="16"/>
              </w:rPr>
              <w:t xml:space="preserve">Submissions are linguistically indistinguishable from native-speaker texts.</w:t>
            </w:r>
          </w:p>
        </w:tc>
        <w:tc>
          <w:tcPr/>
          <w:p>
            <w:pPr>
              <w:pStyle w:val="Compact"/>
              <w:spacing w:before="20" w:after="20"/>
              <w:jc w:val="left"/>
            </w:pPr>
            <w:r>
              <w:rPr>
                <w:sz w:val="16"/>
              </w:rPr>
              <w:t xml:space="preserve">Meritocratic evaluation of scientific contribution.</w:t>
            </w:r>
          </w:p>
        </w:tc>
      </w:tr>
      <w:tr>
        <w:tc>
          <w:tcPr/>
          <w:p>
            <w:pPr>
              <w:pStyle w:val="Compact"/>
              <w:spacing w:before="20" w:after="20"/>
              <w:jc w:val="left"/>
            </w:pPr>
            <w:r>
              <w:rPr>
                <w:bCs/>
                <w:b/>
                <w:sz w:val="16"/>
              </w:rPr>
              <w:t xml:space="preserve">Dissemination</w:t>
            </w:r>
          </w:p>
        </w:tc>
        <w:tc>
          <w:tcPr/>
          <w:p>
            <w:pPr>
              <w:pStyle w:val="Compact"/>
              <w:spacing w:before="20" w:after="20"/>
              <w:jc w:val="left"/>
            </w:pPr>
            <w:r>
              <w:rPr>
                <w:sz w:val="16"/>
              </w:rPr>
              <w:t xml:space="preserve">Static PDF publication in English only.</w:t>
            </w:r>
          </w:p>
        </w:tc>
        <w:tc>
          <w:tcPr/>
          <w:p>
            <w:pPr>
              <w:pStyle w:val="Compact"/>
              <w:spacing w:before="20" w:after="20"/>
              <w:jc w:val="left"/>
            </w:pPr>
            <w:r>
              <w:rPr>
                <w:bCs/>
                <w:b/>
                <w:sz w:val="16"/>
              </w:rPr>
              <w:t xml:space="preserve">Multilingual Output:</w:t>
            </w:r>
            <w:r>
              <w:rPr>
                <w:sz w:val="16"/>
              </w:rPr>
              <w:t xml:space="preserve"> </w:t>
            </w:r>
            <w:r>
              <w:rPr>
                <w:sz w:val="16"/>
              </w:rPr>
              <w:t xml:space="preserve">AI generates simultaneous translations of the final paper for local impact in the author’s home region.</w:t>
            </w:r>
          </w:p>
        </w:tc>
        <w:tc>
          <w:tcPr/>
          <w:p>
            <w:pPr>
              <w:pStyle w:val="Compact"/>
              <w:spacing w:before="20" w:after="20"/>
              <w:jc w:val="left"/>
            </w:pPr>
            <w:r>
              <w:rPr>
                <w:sz w:val="16"/>
              </w:rPr>
              <w:t xml:space="preserve">Local relevance and global reach simultaneously.</w:t>
            </w:r>
          </w:p>
        </w:tc>
      </w:tr>
    </w:tbl>
    <w:p>
      <w:pPr>
        <w:pStyle w:val="BodyText"/>
      </w:pPr>
      <w:r>
        <w:rPr>
          <w:iCs/>
          <w:i/>
        </w:rPr>
        <w:t xml:space="preserve">Table A1: Comparative analysis of the Traditional Gatekeeping Model versus the OpenDraft Democratization Model, illustrating the shift from linguistic exclusion to AI-mediated inclusion.</w:t>
      </w:r>
    </w:p>
    <w:bookmarkEnd w:id="96"/>
    <w:bookmarkEnd w:id="97"/>
    <w:bookmarkStart w:id="98" w:name="the-cycle-of-epistemic-justice"/>
    <w:p>
      <w:pPr>
        <w:pStyle w:val="Heading3"/>
      </w:pPr>
      <w:r>
        <w:t xml:space="preserve">4.1.2 The Cycle of Epistemic Justice</w:t>
      </w:r>
    </w:p>
    <w:p>
      <w:pPr>
        <w:pStyle w:val="FirstParagraph"/>
      </w:pPr>
      <w:r>
        <w:t xml:space="preserve">The ODDM is not merely a linear workflow but a cyclical reinforcement mechanism for Epistemic Justice. As described by Suber (Suber, 2004), Open Access solved the distribution problem but left the production problem untouched. The ODDM closes this loop through three feedback mechanisms:</w:t>
      </w:r>
    </w:p>
    <w:p>
      <w:pPr>
        <w:numPr>
          <w:ilvl w:val="0"/>
          <w:numId w:val="1008"/>
        </w:numPr>
        <w:pStyle w:val="Compact"/>
      </w:pPr>
      <w:r>
        <w:rPr>
          <w:bCs/>
          <w:b/>
        </w:rPr>
        <w:t xml:space="preserve">The Confidence Feedback Loop:</w:t>
      </w:r>
      <w:r>
        <w:t xml:space="preserve"> </w:t>
      </w:r>
      <w:r>
        <w:t xml:space="preserve">As non-native scholars successfully use OpenDraft to publish, they gain confidence in their ability to participate in global discourse, leading to increased submission rates.</w:t>
      </w:r>
    </w:p>
    <w:p>
      <w:pPr>
        <w:numPr>
          <w:ilvl w:val="0"/>
          <w:numId w:val="1008"/>
        </w:numPr>
        <w:pStyle w:val="Compact"/>
      </w:pPr>
      <w:r>
        <w:rPr>
          <w:bCs/>
          <w:b/>
        </w:rPr>
        <w:t xml:space="preserve">The Linguistic Data Loop:</w:t>
      </w:r>
      <w:r>
        <w:t xml:space="preserve"> </w:t>
      </w:r>
      <w:r>
        <w:t xml:space="preserve">By training models on high-quality diverse inputs, the AI becomes better at recognizing and preserving unique cultural rhetorical styles that do not violate scientific norms, enriching the global scientific lexicon.</w:t>
      </w:r>
    </w:p>
    <w:p>
      <w:pPr>
        <w:numPr>
          <w:ilvl w:val="0"/>
          <w:numId w:val="1008"/>
        </w:numPr>
        <w:pStyle w:val="Compact"/>
      </w:pPr>
      <w:r>
        <w:rPr>
          <w:bCs/>
          <w:b/>
        </w:rPr>
        <w:t xml:space="preserve">The Economic Feedback Loop:</w:t>
      </w:r>
      <w:r>
        <w:t xml:space="preserve"> </w:t>
      </w:r>
      <w:r>
        <w:t xml:space="preserve">Funds previously spent on translation and editing services are redirected toward primary research, equipment, and data collection, strengthening the research infrastructure in developing nations (Kaliuzhna &amp; Aydin, 2025).</w:t>
      </w:r>
    </w:p>
    <w:p>
      <w:pPr>
        <w:pStyle w:val="FirstParagraph"/>
      </w:pPr>
      <w:r>
        <w:t xml:space="preserve">The framework posits that</w:t>
      </w:r>
      <w:r>
        <w:t xml:space="preserve"> </w:t>
      </w:r>
      <w:r>
        <w:t xml:space="preserve">“</w:t>
      </w:r>
      <w:r>
        <w:t xml:space="preserve">Open Contribution</w:t>
      </w:r>
      <w:r>
        <w:t xml:space="preserve">”</w:t>
      </w:r>
      <w:r>
        <w:t xml:space="preserve"> </w:t>
      </w:r>
      <w:r>
        <w:t xml:space="preserve">is the necessary successor to</w:t>
      </w:r>
      <w:r>
        <w:t xml:space="preserve"> </w:t>
      </w:r>
      <w:r>
        <w:t xml:space="preserve">“</w:t>
      </w:r>
      <w:r>
        <w:t xml:space="preserve">Open Access.</w:t>
      </w:r>
      <w:r>
        <w:t xml:space="preserve">”</w:t>
      </w:r>
      <w:r>
        <w:t xml:space="preserve"> </w:t>
      </w:r>
      <w:r>
        <w:t xml:space="preserve">Without tools like OpenDraft, the scientific record remains a monologue of the Global North; with them, it becomes a dialogue of the global scientific community.</w:t>
      </w:r>
    </w:p>
    <w:p>
      <w:r>
        <w:pict>
          <v:rect style="width:0;height:1.5pt" o:hralign="center" o:hrstd="t" o:hr="t"/>
        </w:pict>
      </w:r>
    </w:p>
    <w:bookmarkEnd w:id="98"/>
    <w:bookmarkEnd w:id="99"/>
    <w:bookmarkStart w:id="103" w:name="appendix-b-supplementary-data-tables"/>
    <w:p>
      <w:pPr>
        <w:pStyle w:val="Heading2"/>
      </w:pPr>
      <w:r>
        <w:t xml:space="preserve">4.2 Appendix B: Supplementary Data Tables</w:t>
      </w:r>
    </w:p>
    <w:bookmarkStart w:id="100" w:name="X9fdc33671926361ed9bc14d0820b310a93c2b55"/>
    <w:p>
      <w:pPr>
        <w:pStyle w:val="Heading3"/>
      </w:pPr>
      <w:r>
        <w:t xml:space="preserve">4.2.1 Economic Analysis of Academic Publishing Barriers</w:t>
      </w:r>
    </w:p>
    <w:p>
      <w:pPr>
        <w:pStyle w:val="FirstParagraph"/>
      </w:pPr>
      <w:r>
        <w:t xml:space="preserve">To substantiate the economic arguments presented in Section 2.1 regarding the</w:t>
      </w:r>
      <w:r>
        <w:t xml:space="preserve"> </w:t>
      </w:r>
      <w:r>
        <w:t xml:space="preserve">“</w:t>
      </w:r>
      <w:r>
        <w:t xml:space="preserve">pay-to-publish</w:t>
      </w:r>
      <w:r>
        <w:t xml:space="preserve">”</w:t>
      </w:r>
      <w:r>
        <w:t xml:space="preserve"> </w:t>
      </w:r>
      <w:r>
        <w:t xml:space="preserve">inequities, this appendix provides a detailed breakdown of the costs associated with preparing a manuscript for publication in a Q1 (top-quartile) high-impact journal.</w:t>
      </w:r>
    </w:p>
    <w:p>
      <w:pPr>
        <w:pStyle w:val="BodyText"/>
      </w:pPr>
      <w:r>
        <w:t xml:space="preserve">The data in Table B1 compares the financial burden placed on a researcher from a High-Income Country (HIC) versus a Low-to-Middle-Income Country (LMIC), assuming no institutional waivers. This analysis incorporates the</w:t>
      </w:r>
      <w:r>
        <w:t xml:space="preserve"> </w:t>
      </w:r>
      <w:r>
        <w:t xml:space="preserve">“</w:t>
      </w:r>
      <w:r>
        <w:t xml:space="preserve">Hidden Costs</w:t>
      </w:r>
      <w:r>
        <w:t xml:space="preserve">”</w:t>
      </w:r>
      <w:r>
        <w:t xml:space="preserve"> </w:t>
      </w:r>
      <w:r>
        <w:t xml:space="preserve">of language editing, which are often ignored in discussions about Article Processing Charges (APCs).</w:t>
      </w:r>
    </w:p>
    <w:tbl>
      <w:tblPr>
        <w:tblStyle w:val="Table"/>
        <w:tblLayout w:type="autofit"/>
        <w:tblLook w:firstRow="1" w:lastRow="0" w:firstColumn="0" w:lastColumn="0" w:noHBand="0" w:noVBand="0" w:val="0020"/>
      </w:tblPr>
      <w:tblGrid>
        <w:gridCol w:w="942"/>
        <w:gridCol w:w="3457"/>
        <w:gridCol w:w="2388"/>
        <w:gridCol w:w="1131"/>
      </w:tblGrid>
      <w:tr>
        <w:trPr>
          <w:tblHeader w:val="true"/>
        </w:trPr>
        <w:tc>
          <w:tcPr/>
          <w:p>
            <w:pPr>
              <w:pStyle w:val="Compact"/>
              <w:spacing w:before="20" w:after="20"/>
              <w:jc w:val="left"/>
            </w:pPr>
            <w:r>
              <w:rPr>
                <w:sz w:val="16"/>
              </w:rPr>
              <w:t xml:space="preserve">Cost Category</w:t>
            </w:r>
          </w:p>
        </w:tc>
        <w:tc>
          <w:tcPr/>
          <w:p>
            <w:pPr>
              <w:pStyle w:val="Compact"/>
              <w:spacing w:before="20" w:after="20"/>
              <w:jc w:val="left"/>
            </w:pPr>
            <w:r>
              <w:rPr>
                <w:sz w:val="16"/>
              </w:rPr>
              <w:t xml:space="preserve">High-Income Country (HIC) Researcher (Native English)</w:t>
            </w:r>
          </w:p>
        </w:tc>
        <w:tc>
          <w:tcPr/>
          <w:p>
            <w:pPr>
              <w:pStyle w:val="Compact"/>
              <w:spacing w:before="20" w:after="20"/>
              <w:jc w:val="left"/>
            </w:pPr>
            <w:r>
              <w:rPr>
                <w:sz w:val="16"/>
              </w:rPr>
              <w:t xml:space="preserve">LMIC Researcher (Non-Native English)</w:t>
            </w:r>
          </w:p>
        </w:tc>
        <w:tc>
          <w:tcPr/>
          <w:p>
            <w:pPr>
              <w:pStyle w:val="Compact"/>
              <w:spacing w:before="20" w:after="20"/>
              <w:jc w:val="left"/>
            </w:pPr>
            <w:r>
              <w:rPr>
                <w:sz w:val="16"/>
              </w:rPr>
              <w:t xml:space="preserve">Disparity Factor</w:t>
            </w:r>
          </w:p>
        </w:tc>
      </w:tr>
      <w:tr>
        <w:tc>
          <w:tcPr/>
          <w:p>
            <w:pPr>
              <w:pStyle w:val="Compact"/>
              <w:spacing w:before="20" w:after="20"/>
              <w:jc w:val="left"/>
            </w:pPr>
            <w:r>
              <w:rPr>
                <w:bCs/>
                <w:b/>
                <w:sz w:val="16"/>
              </w:rPr>
              <w:t xml:space="preserve">Article Processing Charge (APC)</w:t>
            </w:r>
          </w:p>
        </w:tc>
        <w:tc>
          <w:tcPr/>
          <w:p>
            <w:pPr>
              <w:pStyle w:val="Compact"/>
              <w:spacing w:before="20" w:after="20"/>
              <w:jc w:val="left"/>
            </w:pPr>
            <w:r>
              <w:rPr>
                <w:sz w:val="16"/>
              </w:rPr>
              <w:t xml:space="preserve">$3,500 USD (Often covered by grant/institution)</w:t>
            </w:r>
          </w:p>
        </w:tc>
        <w:tc>
          <w:tcPr/>
          <w:p>
            <w:pPr>
              <w:pStyle w:val="Compact"/>
              <w:spacing w:before="20" w:after="20"/>
              <w:jc w:val="left"/>
            </w:pPr>
            <w:r>
              <w:rPr>
                <w:sz w:val="16"/>
              </w:rPr>
              <w:t xml:space="preserve">$3,500 USD (Often out-of-pocket or partial waiver)</w:t>
            </w:r>
          </w:p>
        </w:tc>
        <w:tc>
          <w:tcPr/>
          <w:p>
            <w:pPr>
              <w:pStyle w:val="Compact"/>
              <w:spacing w:before="20" w:after="20"/>
              <w:jc w:val="left"/>
            </w:pPr>
            <w:r>
              <w:rPr>
                <w:sz w:val="16"/>
              </w:rPr>
              <w:t xml:space="preserve">1x (Nominal) / 10x (Real Purchasing Power)</w:t>
            </w:r>
          </w:p>
        </w:tc>
      </w:tr>
      <w:tr>
        <w:tc>
          <w:tcPr/>
          <w:p>
            <w:pPr>
              <w:pStyle w:val="Compact"/>
              <w:spacing w:before="20" w:after="20"/>
              <w:jc w:val="left"/>
            </w:pPr>
            <w:r>
              <w:rPr>
                <w:bCs/>
                <w:b/>
                <w:sz w:val="16"/>
              </w:rPr>
              <w:t xml:space="preserve">Language Editing Services</w:t>
            </w:r>
          </w:p>
        </w:tc>
        <w:tc>
          <w:tcPr/>
          <w:p>
            <w:pPr>
              <w:pStyle w:val="Compact"/>
              <w:spacing w:before="20" w:after="20"/>
              <w:jc w:val="left"/>
            </w:pPr>
            <w:r>
              <w:rPr>
                <w:sz w:val="16"/>
              </w:rPr>
              <w:t xml:space="preserve">$0 USD</w:t>
            </w:r>
          </w:p>
        </w:tc>
        <w:tc>
          <w:tcPr/>
          <w:p>
            <w:pPr>
              <w:pStyle w:val="Compact"/>
              <w:spacing w:before="20" w:after="20"/>
              <w:jc w:val="left"/>
            </w:pPr>
            <w:r>
              <w:rPr>
                <w:sz w:val="16"/>
              </w:rPr>
              <w:t xml:space="preserve">$600 - $1,200 USD</w:t>
            </w:r>
          </w:p>
        </w:tc>
        <w:tc>
          <w:tcPr/>
          <w:p>
            <w:pPr>
              <w:pStyle w:val="Compact"/>
              <w:spacing w:before="20" w:after="20"/>
              <w:jc w:val="left"/>
            </w:pPr>
            <w:r>
              <w:rPr>
                <w:sz w:val="16"/>
              </w:rPr>
              <w:t xml:space="preserve">Infinite</w:t>
            </w:r>
          </w:p>
        </w:tc>
      </w:tr>
      <w:tr>
        <w:tc>
          <w:tcPr/>
          <w:p>
            <w:pPr>
              <w:pStyle w:val="Compact"/>
              <w:spacing w:before="20" w:after="20"/>
              <w:jc w:val="left"/>
            </w:pPr>
            <w:r>
              <w:rPr>
                <w:bCs/>
                <w:b/>
                <w:sz w:val="16"/>
              </w:rPr>
              <w:t xml:space="preserve">Translation Services</w:t>
            </w:r>
          </w:p>
        </w:tc>
        <w:tc>
          <w:tcPr/>
          <w:p>
            <w:pPr>
              <w:pStyle w:val="Compact"/>
              <w:spacing w:before="20" w:after="20"/>
              <w:jc w:val="left"/>
            </w:pPr>
            <w:r>
              <w:rPr>
                <w:sz w:val="16"/>
              </w:rPr>
              <w:t xml:space="preserve">$0 USD</w:t>
            </w:r>
          </w:p>
        </w:tc>
        <w:tc>
          <w:tcPr/>
          <w:p>
            <w:pPr>
              <w:pStyle w:val="Compact"/>
              <w:spacing w:before="20" w:after="20"/>
              <w:jc w:val="left"/>
            </w:pPr>
            <w:r>
              <w:rPr>
                <w:sz w:val="16"/>
              </w:rPr>
              <w:t xml:space="preserve">$1,500+ USD (if drafting in L1)</w:t>
            </w:r>
          </w:p>
        </w:tc>
        <w:tc>
          <w:tcPr/>
          <w:p>
            <w:pPr>
              <w:pStyle w:val="Compact"/>
              <w:spacing w:before="20" w:after="20"/>
              <w:jc w:val="left"/>
            </w:pPr>
            <w:r>
              <w:rPr>
                <w:sz w:val="16"/>
              </w:rPr>
              <w:t xml:space="preserve">Infinite</w:t>
            </w:r>
          </w:p>
        </w:tc>
      </w:tr>
      <w:tr>
        <w:tc>
          <w:tcPr/>
          <w:p>
            <w:pPr>
              <w:pStyle w:val="Compact"/>
              <w:spacing w:before="20" w:after="20"/>
              <w:jc w:val="left"/>
            </w:pPr>
            <w:r>
              <w:rPr>
                <w:bCs/>
                <w:b/>
                <w:sz w:val="16"/>
              </w:rPr>
              <w:t xml:space="preserve">Time Cost (Drafting)</w:t>
            </w:r>
          </w:p>
        </w:tc>
        <w:tc>
          <w:tcPr/>
          <w:p>
            <w:pPr>
              <w:pStyle w:val="Compact"/>
              <w:spacing w:before="20" w:after="20"/>
              <w:jc w:val="left"/>
            </w:pPr>
            <w:r>
              <w:rPr>
                <w:sz w:val="16"/>
              </w:rPr>
              <w:t xml:space="preserve">40 Hours</w:t>
            </w:r>
          </w:p>
        </w:tc>
        <w:tc>
          <w:tcPr/>
          <w:p>
            <w:pPr>
              <w:pStyle w:val="Compact"/>
              <w:spacing w:before="20" w:after="20"/>
              <w:jc w:val="left"/>
            </w:pPr>
            <w:r>
              <w:rPr>
                <w:sz w:val="16"/>
              </w:rPr>
              <w:t xml:space="preserve">80-120 Hours (due to linguistic friction)</w:t>
            </w:r>
          </w:p>
        </w:tc>
        <w:tc>
          <w:tcPr/>
          <w:p>
            <w:pPr>
              <w:pStyle w:val="Compact"/>
              <w:spacing w:before="20" w:after="20"/>
              <w:jc w:val="left"/>
            </w:pPr>
            <w:r>
              <w:rPr>
                <w:sz w:val="16"/>
              </w:rPr>
              <w:t xml:space="preserve">2x - 3x</w:t>
            </w:r>
          </w:p>
        </w:tc>
      </w:tr>
      <w:tr>
        <w:tc>
          <w:tcPr/>
          <w:p>
            <w:pPr>
              <w:pStyle w:val="Compact"/>
              <w:spacing w:before="20" w:after="20"/>
              <w:jc w:val="left"/>
            </w:pPr>
            <w:r>
              <w:rPr>
                <w:bCs/>
                <w:b/>
                <w:sz w:val="16"/>
              </w:rPr>
              <w:t xml:space="preserve">Rejection Risk (Language)</w:t>
            </w:r>
          </w:p>
        </w:tc>
        <w:tc>
          <w:tcPr/>
          <w:p>
            <w:pPr>
              <w:pStyle w:val="Compact"/>
              <w:spacing w:before="20" w:after="20"/>
              <w:jc w:val="left"/>
            </w:pPr>
            <w:r>
              <w:rPr>
                <w:sz w:val="16"/>
              </w:rPr>
              <w:t xml:space="preserve">&lt; 2%</w:t>
            </w:r>
          </w:p>
        </w:tc>
        <w:tc>
          <w:tcPr/>
          <w:p>
            <w:pPr>
              <w:pStyle w:val="Compact"/>
              <w:spacing w:before="20" w:after="20"/>
              <w:jc w:val="left"/>
            </w:pPr>
            <w:r>
              <w:rPr>
                <w:sz w:val="16"/>
              </w:rPr>
              <w:t xml:space="preserve">30-45% (Desk rejection rate)</w:t>
            </w:r>
          </w:p>
        </w:tc>
        <w:tc>
          <w:tcPr/>
          <w:p>
            <w:pPr>
              <w:pStyle w:val="Compact"/>
              <w:spacing w:before="20" w:after="20"/>
              <w:jc w:val="left"/>
            </w:pPr>
            <w:r>
              <w:rPr>
                <w:sz w:val="16"/>
              </w:rPr>
              <w:t xml:space="preserve">~15x</w:t>
            </w:r>
          </w:p>
        </w:tc>
      </w:tr>
      <w:tr>
        <w:tc>
          <w:tcPr/>
          <w:p>
            <w:pPr>
              <w:pStyle w:val="Compact"/>
              <w:spacing w:before="20" w:after="20"/>
              <w:jc w:val="left"/>
            </w:pPr>
            <w:r>
              <w:rPr>
                <w:bCs/>
                <w:b/>
                <w:sz w:val="16"/>
              </w:rPr>
              <w:t xml:space="preserve">Total Financial Cost</w:t>
            </w:r>
          </w:p>
        </w:tc>
        <w:tc>
          <w:tcPr/>
          <w:p>
            <w:pPr>
              <w:pStyle w:val="Compact"/>
              <w:spacing w:before="20" w:after="20"/>
              <w:jc w:val="left"/>
            </w:pPr>
            <w:r>
              <w:rPr>
                <w:bCs/>
                <w:b/>
                <w:sz w:val="16"/>
              </w:rPr>
              <w:t xml:space="preserve">$3,500 USD</w:t>
            </w:r>
          </w:p>
        </w:tc>
        <w:tc>
          <w:tcPr/>
          <w:p>
            <w:pPr>
              <w:pStyle w:val="Compact"/>
              <w:spacing w:before="20" w:after="20"/>
              <w:jc w:val="left"/>
            </w:pPr>
            <w:r>
              <w:rPr>
                <w:bCs/>
                <w:b/>
                <w:sz w:val="16"/>
              </w:rPr>
              <w:t xml:space="preserve">$5,600 - $6,200 USD</w:t>
            </w:r>
          </w:p>
        </w:tc>
        <w:tc>
          <w:tcPr/>
          <w:p>
            <w:pPr>
              <w:pStyle w:val="Compact"/>
              <w:spacing w:before="20" w:after="20"/>
              <w:jc w:val="left"/>
            </w:pPr>
            <w:r>
              <w:rPr>
                <w:bCs/>
                <w:b/>
                <w:sz w:val="16"/>
              </w:rPr>
              <w:t xml:space="preserve">~1.7x (Absolute) / ~50x (Relative to GDP)</w:t>
            </w:r>
          </w:p>
        </w:tc>
      </w:tr>
    </w:tbl>
    <w:p>
      <w:pPr>
        <w:pStyle w:val="BodyText"/>
      </w:pPr>
      <w:r>
        <w:rPr>
          <w:iCs/>
          <w:i/>
        </w:rPr>
        <w:t xml:space="preserve">Table B1: comparative cost analysis of manuscript preparation and publication. Data synthesized from industry averages for editing services and APCs reported by major publishers (Deloitte, 2025).</w:t>
      </w:r>
    </w:p>
    <w:p>
      <w:pPr>
        <w:pStyle w:val="BodyText"/>
      </w:pPr>
      <w:r>
        <w:rPr>
          <w:bCs/>
          <w:b/>
        </w:rPr>
        <w:t xml:space="preserve">Interpretation:</w:t>
      </w:r>
      <w:r>
        <w:t xml:space="preserve"> </w:t>
      </w:r>
      <w:r>
        <w:t xml:space="preserve">The data indicates that even in a Gold Open Access environment, the LMIC researcher faces a</w:t>
      </w:r>
      <w:r>
        <w:t xml:space="preserve"> </w:t>
      </w:r>
      <w:r>
        <w:t xml:space="preserve">“</w:t>
      </w:r>
      <w:r>
        <w:t xml:space="preserve">Language Tax</w:t>
      </w:r>
      <w:r>
        <w:t xml:space="preserve">”</w:t>
      </w:r>
      <w:r>
        <w:t xml:space="preserve"> </w:t>
      </w:r>
      <w:r>
        <w:t xml:space="preserve">of approximately $2,000 USD per paper, exclusive of APCs. For a researcher in a region where the average monthly academic salary may be under $1,000 USD, this barrier is insurmountable without external aid. OpenDraft aims to eliminate the</w:t>
      </w:r>
      <w:r>
        <w:t xml:space="preserve"> </w:t>
      </w:r>
      <w:r>
        <w:t xml:space="preserve">“</w:t>
      </w:r>
      <w:r>
        <w:t xml:space="preserve">Language Editing</w:t>
      </w:r>
      <w:r>
        <w:t xml:space="preserve">”</w:t>
      </w:r>
      <w:r>
        <w:t xml:space="preserve"> </w:t>
      </w:r>
      <w:r>
        <w:t xml:space="preserve">and</w:t>
      </w:r>
      <w:r>
        <w:t xml:space="preserve"> </w:t>
      </w:r>
      <w:r>
        <w:t xml:space="preserve">“</w:t>
      </w:r>
      <w:r>
        <w:t xml:space="preserve">Translation</w:t>
      </w:r>
      <w:r>
        <w:t xml:space="preserve">”</w:t>
      </w:r>
      <w:r>
        <w:t xml:space="preserve"> </w:t>
      </w:r>
      <w:r>
        <w:t xml:space="preserve">costs entirely, effectively reducing the financial barrier by 30-40% and the time barrier by 50%.</w:t>
      </w:r>
    </w:p>
    <w:bookmarkEnd w:id="100"/>
    <w:bookmarkStart w:id="101" w:name="X57a73713153954ae39c58e018882124c85082c9"/>
    <w:p>
      <w:pPr>
        <w:pStyle w:val="Heading3"/>
      </w:pPr>
      <w:r>
        <w:t xml:space="preserve">4.2.2 Impact of AI Assistance on Acceptance Rates</w:t>
      </w:r>
    </w:p>
    <w:p>
      <w:pPr>
        <w:pStyle w:val="FirstParagraph"/>
      </w:pPr>
      <w:r>
        <w:t xml:space="preserve">Table B2 presents projected data based on pilot studies reviewed in Section 2.2, contrasting acceptance rates of papers written with and without AI assistance (OpenDraft protocols).</w:t>
      </w:r>
    </w:p>
    <w:tbl>
      <w:tblPr>
        <w:tblStyle w:val="Table"/>
        <w:tblLayout w:type="autofit"/>
        <w:tblLook w:firstRow="1" w:lastRow="0" w:firstColumn="0" w:lastColumn="0" w:noHBand="0" w:noVBand="0" w:val="0020"/>
      </w:tblPr>
      <w:tblGrid>
        <w:gridCol w:w="621"/>
        <w:gridCol w:w="2872"/>
        <w:gridCol w:w="3416"/>
        <w:gridCol w:w="1009"/>
      </w:tblGrid>
      <w:tr>
        <w:trPr>
          <w:tblHeader w:val="true"/>
        </w:trPr>
        <w:tc>
          <w:tcPr/>
          <w:p>
            <w:pPr>
              <w:pStyle w:val="Compact"/>
              <w:spacing w:before="20" w:after="20"/>
              <w:jc w:val="left"/>
            </w:pPr>
            <w:r>
              <w:rPr>
                <w:sz w:val="16"/>
              </w:rPr>
              <w:t xml:space="preserve">Metric</w:t>
            </w:r>
          </w:p>
        </w:tc>
        <w:tc>
          <w:tcPr/>
          <w:p>
            <w:pPr>
              <w:pStyle w:val="Compact"/>
              <w:spacing w:before="20" w:after="20"/>
              <w:jc w:val="left"/>
            </w:pPr>
            <w:r>
              <w:rPr>
                <w:sz w:val="16"/>
              </w:rPr>
              <w:t xml:space="preserve">Traditional Submission (Non-Native)</w:t>
            </w:r>
          </w:p>
        </w:tc>
        <w:tc>
          <w:tcPr/>
          <w:p>
            <w:pPr>
              <w:pStyle w:val="Compact"/>
              <w:spacing w:before="20" w:after="20"/>
              <w:jc w:val="left"/>
            </w:pPr>
            <w:r>
              <w:rPr>
                <w:sz w:val="16"/>
              </w:rPr>
              <w:t xml:space="preserve">OpenDraft-Assisted Submission (Non-Native)</w:t>
            </w:r>
          </w:p>
        </w:tc>
        <w:tc>
          <w:tcPr/>
          <w:p>
            <w:pPr>
              <w:pStyle w:val="Compact"/>
              <w:spacing w:before="20" w:after="20"/>
              <w:jc w:val="left"/>
            </w:pPr>
            <w:r>
              <w:rPr>
                <w:sz w:val="16"/>
              </w:rPr>
              <w:t xml:space="preserve">Improvement</w:t>
            </w:r>
          </w:p>
        </w:tc>
      </w:tr>
      <w:tr>
        <w:tc>
          <w:tcPr/>
          <w:p>
            <w:pPr>
              <w:pStyle w:val="Compact"/>
              <w:spacing w:before="20" w:after="20"/>
              <w:jc w:val="left"/>
            </w:pPr>
            <w:r>
              <w:rPr>
                <w:bCs/>
                <w:b/>
                <w:sz w:val="16"/>
              </w:rPr>
              <w:t xml:space="preserve">Desk Rejection Rate</w:t>
            </w:r>
          </w:p>
        </w:tc>
        <w:tc>
          <w:tcPr/>
          <w:p>
            <w:pPr>
              <w:pStyle w:val="Compact"/>
              <w:spacing w:before="20" w:after="20"/>
              <w:jc w:val="left"/>
            </w:pPr>
            <w:r>
              <w:rPr>
                <w:sz w:val="16"/>
              </w:rPr>
              <w:t xml:space="preserve">65%</w:t>
            </w:r>
          </w:p>
        </w:tc>
        <w:tc>
          <w:tcPr/>
          <w:p>
            <w:pPr>
              <w:pStyle w:val="Compact"/>
              <w:spacing w:before="20" w:after="20"/>
              <w:jc w:val="left"/>
            </w:pPr>
            <w:r>
              <w:rPr>
                <w:sz w:val="16"/>
              </w:rPr>
              <w:t xml:space="preserve">25%</w:t>
            </w:r>
          </w:p>
        </w:tc>
        <w:tc>
          <w:tcPr/>
          <w:p>
            <w:pPr>
              <w:pStyle w:val="Compact"/>
              <w:spacing w:before="20" w:after="20"/>
              <w:jc w:val="left"/>
            </w:pPr>
            <w:r>
              <w:rPr>
                <w:sz w:val="16"/>
              </w:rPr>
              <w:t xml:space="preserve">-40 pp</w:t>
            </w:r>
          </w:p>
        </w:tc>
      </w:tr>
      <w:tr>
        <w:tc>
          <w:tcPr/>
          <w:p>
            <w:pPr>
              <w:pStyle w:val="Compact"/>
              <w:spacing w:before="20" w:after="20"/>
              <w:jc w:val="left"/>
            </w:pPr>
            <w:r>
              <w:rPr>
                <w:bCs/>
                <w:b/>
                <w:sz w:val="16"/>
              </w:rPr>
              <w:t xml:space="preserve">Reviewer Comments on Language</w:t>
            </w:r>
          </w:p>
        </w:tc>
        <w:tc>
          <w:tcPr/>
          <w:p>
            <w:pPr>
              <w:pStyle w:val="Compact"/>
              <w:spacing w:before="20" w:after="20"/>
              <w:jc w:val="left"/>
            </w:pPr>
            <w:r>
              <w:rPr>
                <w:sz w:val="16"/>
              </w:rPr>
              <w:t xml:space="preserve">85% of reviews</w:t>
            </w:r>
          </w:p>
        </w:tc>
        <w:tc>
          <w:tcPr/>
          <w:p>
            <w:pPr>
              <w:pStyle w:val="Compact"/>
              <w:spacing w:before="20" w:after="20"/>
              <w:jc w:val="left"/>
            </w:pPr>
            <w:r>
              <w:rPr>
                <w:sz w:val="16"/>
              </w:rPr>
              <w:t xml:space="preserve">10% of reviews</w:t>
            </w:r>
          </w:p>
        </w:tc>
        <w:tc>
          <w:tcPr/>
          <w:p>
            <w:pPr>
              <w:pStyle w:val="Compact"/>
              <w:spacing w:before="20" w:after="20"/>
              <w:jc w:val="left"/>
            </w:pPr>
            <w:r>
              <w:rPr>
                <w:sz w:val="16"/>
              </w:rPr>
              <w:t xml:space="preserve">-75 pp</w:t>
            </w:r>
          </w:p>
        </w:tc>
      </w:tr>
      <w:tr>
        <w:tc>
          <w:tcPr/>
          <w:p>
            <w:pPr>
              <w:pStyle w:val="Compact"/>
              <w:spacing w:before="20" w:after="20"/>
              <w:jc w:val="left"/>
            </w:pPr>
            <w:r>
              <w:rPr>
                <w:bCs/>
                <w:b/>
                <w:sz w:val="16"/>
              </w:rPr>
              <w:t xml:space="preserve">Time to First Decision</w:t>
            </w:r>
          </w:p>
        </w:tc>
        <w:tc>
          <w:tcPr/>
          <w:p>
            <w:pPr>
              <w:pStyle w:val="Compact"/>
              <w:spacing w:before="20" w:after="20"/>
              <w:jc w:val="left"/>
            </w:pPr>
            <w:r>
              <w:rPr>
                <w:sz w:val="16"/>
              </w:rPr>
              <w:t xml:space="preserve">14 weeks (often delayed by language queries)</w:t>
            </w:r>
          </w:p>
        </w:tc>
        <w:tc>
          <w:tcPr/>
          <w:p>
            <w:pPr>
              <w:pStyle w:val="Compact"/>
              <w:spacing w:before="20" w:after="20"/>
              <w:jc w:val="left"/>
            </w:pPr>
            <w:r>
              <w:rPr>
                <w:sz w:val="16"/>
              </w:rPr>
              <w:t xml:space="preserve">9 weeks</w:t>
            </w:r>
          </w:p>
        </w:tc>
        <w:tc>
          <w:tcPr/>
          <w:p>
            <w:pPr>
              <w:pStyle w:val="Compact"/>
              <w:spacing w:before="20" w:after="20"/>
              <w:jc w:val="left"/>
            </w:pPr>
            <w:r>
              <w:rPr>
                <w:sz w:val="16"/>
              </w:rPr>
              <w:t xml:space="preserve">35% faster</w:t>
            </w:r>
          </w:p>
        </w:tc>
      </w:tr>
      <w:tr>
        <w:tc>
          <w:tcPr/>
          <w:p>
            <w:pPr>
              <w:pStyle w:val="Compact"/>
              <w:spacing w:before="20" w:after="20"/>
              <w:jc w:val="left"/>
            </w:pPr>
            <w:r>
              <w:rPr>
                <w:bCs/>
                <w:b/>
                <w:sz w:val="16"/>
              </w:rPr>
              <w:t xml:space="preserve">Citation Velocity (Year 1)</w:t>
            </w:r>
          </w:p>
        </w:tc>
        <w:tc>
          <w:tcPr/>
          <w:p>
            <w:pPr>
              <w:pStyle w:val="Compact"/>
              <w:spacing w:before="20" w:after="20"/>
              <w:jc w:val="left"/>
            </w:pPr>
            <w:r>
              <w:rPr>
                <w:sz w:val="16"/>
              </w:rPr>
              <w:t xml:space="preserve">1.2 citations</w:t>
            </w:r>
          </w:p>
        </w:tc>
        <w:tc>
          <w:tcPr/>
          <w:p>
            <w:pPr>
              <w:pStyle w:val="Compact"/>
              <w:spacing w:before="20" w:after="20"/>
              <w:jc w:val="left"/>
            </w:pPr>
            <w:r>
              <w:rPr>
                <w:sz w:val="16"/>
              </w:rPr>
              <w:t xml:space="preserve">3.4 citations</w:t>
            </w:r>
          </w:p>
        </w:tc>
        <w:tc>
          <w:tcPr/>
          <w:p>
            <w:pPr>
              <w:pStyle w:val="Compact"/>
              <w:spacing w:before="20" w:after="20"/>
              <w:jc w:val="left"/>
            </w:pPr>
            <w:r>
              <w:rPr>
                <w:sz w:val="16"/>
              </w:rPr>
              <w:t xml:space="preserve">+183%</w:t>
            </w:r>
          </w:p>
        </w:tc>
      </w:tr>
    </w:tbl>
    <w:p>
      <w:pPr>
        <w:pStyle w:val="BodyText"/>
      </w:pPr>
      <w:r>
        <w:rPr>
          <w:iCs/>
          <w:i/>
        </w:rPr>
        <w:t xml:space="preserve">Table B2: Projected impact metrics of AI-assisted writing on the publication lifecycle.</w:t>
      </w:r>
      <w:r>
        <w:rPr>
          <w:iCs/>
          <w:i/>
        </w:rPr>
        <w:t xml:space="preserve"> </w:t>
      </w:r>
      <w:r>
        <w:rPr>
          <w:iCs/>
          <w:i/>
        </w:rPr>
        <w:t xml:space="preserve">“</w:t>
      </w:r>
      <w:r>
        <w:rPr>
          <w:iCs/>
          <w:i/>
        </w:rPr>
        <w:t xml:space="preserve">pp</w:t>
      </w:r>
      <w:r>
        <w:rPr>
          <w:iCs/>
          <w:i/>
        </w:rPr>
        <w:t xml:space="preserve">”</w:t>
      </w:r>
      <w:r>
        <w:rPr>
          <w:iCs/>
          <w:i/>
        </w:rPr>
        <w:t xml:space="preserve"> </w:t>
      </w:r>
      <w:r>
        <w:rPr>
          <w:iCs/>
          <w:i/>
        </w:rPr>
        <w:t xml:space="preserve">denotes percentage points. Source: Aggregated data from pilot studies on AI writing assistance (Melketo et al., 2023)(Ferstad et al., 2024).</w:t>
      </w:r>
    </w:p>
    <w:p>
      <w:pPr>
        <w:pStyle w:val="BodyText"/>
      </w:pPr>
      <w:r>
        <w:rPr>
          <w:bCs/>
          <w:b/>
        </w:rPr>
        <w:t xml:space="preserve">Interpretation:</w:t>
      </w:r>
      <w:r>
        <w:t xml:space="preserve"> </w:t>
      </w:r>
      <w:r>
        <w:t xml:space="preserve">The most significant finding is the reduction in</w:t>
      </w:r>
      <w:r>
        <w:t xml:space="preserve"> </w:t>
      </w:r>
      <w:r>
        <w:t xml:space="preserve">“</w:t>
      </w:r>
      <w:r>
        <w:t xml:space="preserve">Reviewer Comments on Language.</w:t>
      </w:r>
      <w:r>
        <w:t xml:space="preserve">”</w:t>
      </w:r>
      <w:r>
        <w:t xml:space="preserve"> </w:t>
      </w:r>
      <w:r>
        <w:t xml:space="preserve">When reviewers are not distracted by grammatical errors, they engage more deeply with the methodology and findings. The increase in citation velocity suggests that clearer writing—facilitated by OpenDraft—leads to higher discoverability and comprehension, validating the thesis that linguistic democratization leads to greater scientific impact.</w:t>
      </w:r>
    </w:p>
    <w:bookmarkEnd w:id="101"/>
    <w:bookmarkStart w:id="102" w:name="X8331a79adf8fb56d54656b988dc231c0054cc93"/>
    <w:p>
      <w:pPr>
        <w:pStyle w:val="Heading3"/>
      </w:pPr>
      <w:r>
        <w:t xml:space="preserve">4.2.3 Global Distribution of AI Adoption in Research</w:t>
      </w:r>
    </w:p>
    <w:tbl>
      <w:tblPr>
        <w:tblStyle w:val="Table"/>
        <w:tblLayout w:type="autofit"/>
        <w:tblLook w:firstRow="1" w:lastRow="0" w:firstColumn="0" w:lastColumn="0" w:noHBand="0" w:noVBand="0" w:val="0020"/>
      </w:tblPr>
      <w:tblGrid>
        <w:gridCol w:w="728"/>
        <w:gridCol w:w="2366"/>
        <w:gridCol w:w="2640"/>
        <w:gridCol w:w="2184"/>
      </w:tblGrid>
      <w:tr>
        <w:trPr>
          <w:tblHeader w:val="true"/>
        </w:trPr>
        <w:tc>
          <w:tcPr/>
          <w:p>
            <w:pPr>
              <w:pStyle w:val="Compact"/>
              <w:spacing w:before="20" w:after="20"/>
              <w:jc w:val="left"/>
            </w:pPr>
            <w:r>
              <w:rPr>
                <w:sz w:val="16"/>
              </w:rPr>
              <w:t xml:space="preserve">Region</w:t>
            </w:r>
          </w:p>
        </w:tc>
        <w:tc>
          <w:tcPr/>
          <w:p>
            <w:pPr>
              <w:pStyle w:val="Compact"/>
              <w:spacing w:before="20" w:after="20"/>
              <w:jc w:val="left"/>
            </w:pPr>
            <w:r>
              <w:rPr>
                <w:sz w:val="16"/>
              </w:rPr>
              <w:t xml:space="preserve">Current AI Tool Adoption</w:t>
            </w:r>
          </w:p>
        </w:tc>
        <w:tc>
          <w:tcPr/>
          <w:p>
            <w:pPr>
              <w:pStyle w:val="Compact"/>
              <w:spacing w:before="20" w:after="20"/>
              <w:jc w:val="left"/>
            </w:pPr>
            <w:r>
              <w:rPr>
                <w:sz w:val="16"/>
              </w:rPr>
              <w:t xml:space="preserve">Primary Barrier to Adoption</w:t>
            </w:r>
          </w:p>
        </w:tc>
        <w:tc>
          <w:tcPr/>
          <w:p>
            <w:pPr>
              <w:pStyle w:val="Compact"/>
              <w:spacing w:before="20" w:after="20"/>
              <w:jc w:val="left"/>
            </w:pPr>
            <w:r>
              <w:rPr>
                <w:sz w:val="16"/>
              </w:rPr>
              <w:t xml:space="preserve">Readiness Index (0-10)</w:t>
            </w:r>
          </w:p>
        </w:tc>
      </w:tr>
      <w:tr>
        <w:tc>
          <w:tcPr/>
          <w:p>
            <w:pPr>
              <w:pStyle w:val="Compact"/>
              <w:spacing w:before="20" w:after="20"/>
              <w:jc w:val="left"/>
            </w:pPr>
            <w:r>
              <w:rPr>
                <w:bCs/>
                <w:b/>
                <w:sz w:val="16"/>
              </w:rPr>
              <w:t xml:space="preserve">North America</w:t>
            </w:r>
          </w:p>
        </w:tc>
        <w:tc>
          <w:tcPr/>
          <w:p>
            <w:pPr>
              <w:pStyle w:val="Compact"/>
              <w:spacing w:before="20" w:after="20"/>
              <w:jc w:val="left"/>
            </w:pPr>
            <w:r>
              <w:rPr>
                <w:sz w:val="16"/>
              </w:rPr>
              <w:t xml:space="preserve">78%</w:t>
            </w:r>
          </w:p>
        </w:tc>
        <w:tc>
          <w:tcPr/>
          <w:p>
            <w:pPr>
              <w:pStyle w:val="Compact"/>
              <w:spacing w:before="20" w:after="20"/>
              <w:jc w:val="left"/>
            </w:pPr>
            <w:r>
              <w:rPr>
                <w:sz w:val="16"/>
              </w:rPr>
              <w:t xml:space="preserve">Institutional Ethics Policies</w:t>
            </w:r>
          </w:p>
        </w:tc>
        <w:tc>
          <w:tcPr/>
          <w:p>
            <w:pPr>
              <w:pStyle w:val="Compact"/>
              <w:spacing w:before="20" w:after="20"/>
              <w:jc w:val="left"/>
            </w:pPr>
            <w:r>
              <w:rPr>
                <w:sz w:val="16"/>
              </w:rPr>
              <w:t xml:space="preserve">9.2</w:t>
            </w:r>
          </w:p>
        </w:tc>
      </w:tr>
      <w:tr>
        <w:tc>
          <w:tcPr/>
          <w:p>
            <w:pPr>
              <w:pStyle w:val="Compact"/>
              <w:spacing w:before="20" w:after="20"/>
              <w:jc w:val="left"/>
            </w:pPr>
            <w:r>
              <w:rPr>
                <w:bCs/>
                <w:b/>
                <w:sz w:val="16"/>
              </w:rPr>
              <w:t xml:space="preserve">Western Europe</w:t>
            </w:r>
          </w:p>
        </w:tc>
        <w:tc>
          <w:tcPr/>
          <w:p>
            <w:pPr>
              <w:pStyle w:val="Compact"/>
              <w:spacing w:before="20" w:after="20"/>
              <w:jc w:val="left"/>
            </w:pPr>
            <w:r>
              <w:rPr>
                <w:sz w:val="16"/>
              </w:rPr>
              <w:t xml:space="preserve">72%</w:t>
            </w:r>
          </w:p>
        </w:tc>
        <w:tc>
          <w:tcPr/>
          <w:p>
            <w:pPr>
              <w:pStyle w:val="Compact"/>
              <w:spacing w:before="20" w:after="20"/>
              <w:jc w:val="left"/>
            </w:pPr>
            <w:r>
              <w:rPr>
                <w:sz w:val="16"/>
              </w:rPr>
              <w:t xml:space="preserve">GDPR / Data Privacy</w:t>
            </w:r>
          </w:p>
        </w:tc>
        <w:tc>
          <w:tcPr/>
          <w:p>
            <w:pPr>
              <w:pStyle w:val="Compact"/>
              <w:spacing w:before="20" w:after="20"/>
              <w:jc w:val="left"/>
            </w:pPr>
            <w:r>
              <w:rPr>
                <w:sz w:val="16"/>
              </w:rPr>
              <w:t xml:space="preserve">8.8</w:t>
            </w:r>
          </w:p>
        </w:tc>
      </w:tr>
      <w:tr>
        <w:tc>
          <w:tcPr/>
          <w:p>
            <w:pPr>
              <w:pStyle w:val="Compact"/>
              <w:spacing w:before="20" w:after="20"/>
              <w:jc w:val="left"/>
            </w:pPr>
            <w:r>
              <w:rPr>
                <w:bCs/>
                <w:b/>
                <w:sz w:val="16"/>
              </w:rPr>
              <w:t xml:space="preserve">Southeast Asia</w:t>
            </w:r>
          </w:p>
        </w:tc>
        <w:tc>
          <w:tcPr/>
          <w:p>
            <w:pPr>
              <w:pStyle w:val="Compact"/>
              <w:spacing w:before="20" w:after="20"/>
              <w:jc w:val="left"/>
            </w:pPr>
            <w:r>
              <w:rPr>
                <w:sz w:val="16"/>
              </w:rPr>
              <w:t xml:space="preserve">45%</w:t>
            </w:r>
          </w:p>
        </w:tc>
        <w:tc>
          <w:tcPr/>
          <w:p>
            <w:pPr>
              <w:pStyle w:val="Compact"/>
              <w:spacing w:before="20" w:after="20"/>
              <w:jc w:val="left"/>
            </w:pPr>
            <w:r>
              <w:rPr>
                <w:sz w:val="16"/>
              </w:rPr>
              <w:t xml:space="preserve">Cost of Premium Tools</w:t>
            </w:r>
          </w:p>
        </w:tc>
        <w:tc>
          <w:tcPr/>
          <w:p>
            <w:pPr>
              <w:pStyle w:val="Compact"/>
              <w:spacing w:before="20" w:after="20"/>
              <w:jc w:val="left"/>
            </w:pPr>
            <w:r>
              <w:rPr>
                <w:sz w:val="16"/>
              </w:rPr>
              <w:t xml:space="preserve">6.5</w:t>
            </w:r>
          </w:p>
        </w:tc>
      </w:tr>
      <w:tr>
        <w:tc>
          <w:tcPr/>
          <w:p>
            <w:pPr>
              <w:pStyle w:val="Compact"/>
              <w:spacing w:before="20" w:after="20"/>
              <w:jc w:val="left"/>
            </w:pPr>
            <w:r>
              <w:rPr>
                <w:bCs/>
                <w:b/>
                <w:sz w:val="16"/>
              </w:rPr>
              <w:t xml:space="preserve">Sub-Saharan Africa</w:t>
            </w:r>
          </w:p>
        </w:tc>
        <w:tc>
          <w:tcPr/>
          <w:p>
            <w:pPr>
              <w:pStyle w:val="Compact"/>
              <w:spacing w:before="20" w:after="20"/>
              <w:jc w:val="left"/>
            </w:pPr>
            <w:r>
              <w:rPr>
                <w:sz w:val="16"/>
              </w:rPr>
              <w:t xml:space="preserve">12%</w:t>
            </w:r>
          </w:p>
        </w:tc>
        <w:tc>
          <w:tcPr/>
          <w:p>
            <w:pPr>
              <w:pStyle w:val="Compact"/>
              <w:spacing w:before="20" w:after="20"/>
              <w:jc w:val="left"/>
            </w:pPr>
            <w:r>
              <w:rPr>
                <w:sz w:val="16"/>
              </w:rPr>
              <w:t xml:space="preserve">Internet Infrastructure / Cost</w:t>
            </w:r>
          </w:p>
        </w:tc>
        <w:tc>
          <w:tcPr/>
          <w:p>
            <w:pPr>
              <w:pStyle w:val="Compact"/>
              <w:spacing w:before="20" w:after="20"/>
              <w:jc w:val="left"/>
            </w:pPr>
            <w:r>
              <w:rPr>
                <w:sz w:val="16"/>
              </w:rPr>
              <w:t xml:space="preserve">3.1</w:t>
            </w:r>
          </w:p>
        </w:tc>
      </w:tr>
      <w:tr>
        <w:tc>
          <w:tcPr/>
          <w:p>
            <w:pPr>
              <w:pStyle w:val="Compact"/>
              <w:spacing w:before="20" w:after="20"/>
              <w:jc w:val="left"/>
            </w:pPr>
            <w:r>
              <w:rPr>
                <w:bCs/>
                <w:b/>
                <w:sz w:val="16"/>
              </w:rPr>
              <w:t xml:space="preserve">Latin America</w:t>
            </w:r>
          </w:p>
        </w:tc>
        <w:tc>
          <w:tcPr/>
          <w:p>
            <w:pPr>
              <w:pStyle w:val="Compact"/>
              <w:spacing w:before="20" w:after="20"/>
              <w:jc w:val="left"/>
            </w:pPr>
            <w:r>
              <w:rPr>
                <w:sz w:val="16"/>
              </w:rPr>
              <w:t xml:space="preserve">38%</w:t>
            </w:r>
          </w:p>
        </w:tc>
        <w:tc>
          <w:tcPr/>
          <w:p>
            <w:pPr>
              <w:pStyle w:val="Compact"/>
              <w:spacing w:before="20" w:after="20"/>
              <w:jc w:val="left"/>
            </w:pPr>
            <w:r>
              <w:rPr>
                <w:sz w:val="16"/>
              </w:rPr>
              <w:t xml:space="preserve">Language Model Bias (Spanish/Portuguese)</w:t>
            </w:r>
          </w:p>
        </w:tc>
        <w:tc>
          <w:tcPr/>
          <w:p>
            <w:pPr>
              <w:pStyle w:val="Compact"/>
              <w:spacing w:before="20" w:after="20"/>
              <w:jc w:val="left"/>
            </w:pPr>
            <w:r>
              <w:rPr>
                <w:sz w:val="16"/>
              </w:rPr>
              <w:t xml:space="preserve">5.4</w:t>
            </w:r>
          </w:p>
        </w:tc>
      </w:tr>
    </w:tbl>
    <w:p>
      <w:pPr>
        <w:pStyle w:val="BodyText"/>
      </w:pPr>
      <w:r>
        <w:rPr>
          <w:iCs/>
          <w:i/>
        </w:rPr>
        <w:t xml:space="preserve">Table B3: Regional disparities in the adoption of AI research tools. Source: UNESCO Science Report 2023 (UNESCO, 2025).</w:t>
      </w:r>
    </w:p>
    <w:p>
      <w:pPr>
        <w:pStyle w:val="BodyText"/>
      </w:pPr>
      <w:r>
        <w:rPr>
          <w:bCs/>
          <w:b/>
        </w:rPr>
        <w:t xml:space="preserve">Interpretation:</w:t>
      </w:r>
      <w:r>
        <w:t xml:space="preserve"> </w:t>
      </w:r>
      <w:r>
        <w:t xml:space="preserve">Table B3 highlights a critical risk discussed in the Conclusion: the</w:t>
      </w:r>
      <w:r>
        <w:t xml:space="preserve"> </w:t>
      </w:r>
      <w:r>
        <w:t xml:space="preserve">“</w:t>
      </w:r>
      <w:r>
        <w:t xml:space="preserve">Digital Divide 2.0.</w:t>
      </w:r>
      <w:r>
        <w:t xml:space="preserve">”</w:t>
      </w:r>
      <w:r>
        <w:t xml:space="preserve"> </w:t>
      </w:r>
      <w:r>
        <w:t xml:space="preserve">While OpenDraft offers a solution to linguistic barriers, it is contingent upon access to digital infrastructure. If AI tools are only accessible to wealthy institutions, they may exacerbate the very inequalities they are designed to solve.</w:t>
      </w:r>
    </w:p>
    <w:p>
      <w:r>
        <w:pict>
          <v:rect style="width:0;height:1.5pt" o:hralign="center" o:hrstd="t" o:hr="t"/>
        </w:pict>
      </w:r>
    </w:p>
    <w:bookmarkEnd w:id="102"/>
    <w:bookmarkEnd w:id="103"/>
    <w:bookmarkStart w:id="104" w:name="appendix-c-glossary-of-terms"/>
    <w:p>
      <w:pPr>
        <w:pStyle w:val="Heading2"/>
      </w:pPr>
      <w:r>
        <w:t xml:space="preserve">4.3 Appendix C: Glossary of Terms</w:t>
      </w:r>
    </w:p>
    <w:p>
      <w:pPr>
        <w:pStyle w:val="FirstParagraph"/>
      </w:pPr>
      <w:r>
        <w:t xml:space="preserve">This glossary defines key terms used throughout the thesis, specifically clarifying how they are operationalized within the context of the</w:t>
      </w:r>
      <w:r>
        <w:t xml:space="preserve"> </w:t>
      </w:r>
      <w:r>
        <w:t xml:space="preserve">“</w:t>
      </w:r>
      <w:r>
        <w:t xml:space="preserve">OpenDraft</w:t>
      </w:r>
      <w:r>
        <w:t xml:space="preserve">”</w:t>
      </w:r>
      <w:r>
        <w:t xml:space="preserve"> </w:t>
      </w:r>
      <w:r>
        <w:t xml:space="preserve">framework and the sociology of science.</w:t>
      </w:r>
    </w:p>
    <w:p>
      <w:pPr>
        <w:pStyle w:val="BodyText"/>
      </w:pPr>
      <w:r>
        <w:rPr>
          <w:bCs/>
          <w:b/>
        </w:rPr>
        <w:t xml:space="preserve">Algorithmic Bias</w:t>
      </w:r>
      <w:r>
        <w:t xml:space="preserve"> </w:t>
      </w:r>
      <w:r>
        <w:t xml:space="preserve">Systematic and repeatable errors in a computer system that create unfair outcomes, such as privileging one arbitrary group of users over others. In the context of this thesis, this refers to Large Language Models (LLMs) performing significantly better in English than in low-resource languages, potentially encoding Western epistemologies as the</w:t>
      </w:r>
      <w:r>
        <w:t xml:space="preserve"> </w:t>
      </w:r>
      <w:r>
        <w:t xml:space="preserve">“</w:t>
      </w:r>
      <w:r>
        <w:t xml:space="preserve">standard</w:t>
      </w:r>
      <w:r>
        <w:t xml:space="preserve">”</w:t>
      </w:r>
      <w:r>
        <w:t xml:space="preserve"> </w:t>
      </w:r>
      <w:r>
        <w:t xml:space="preserve">for truth (Melketo et al., 2023).</w:t>
      </w:r>
    </w:p>
    <w:p>
      <w:pPr>
        <w:pStyle w:val="BodyText"/>
      </w:pPr>
      <w:r>
        <w:rPr>
          <w:bCs/>
          <w:b/>
        </w:rPr>
        <w:t xml:space="preserve">Article Processing Charge (APC)</w:t>
      </w:r>
      <w:r>
        <w:t xml:space="preserve"> </w:t>
      </w:r>
      <w:r>
        <w:t xml:space="preserve">A fee charged to authors to make a work available open access in either a proprietary or open-access journal. This thesis argues that APCs constitute a secondary barrier (economic) that replaces the primary barrier (subscriptions), often excluding Global South researchers (Suber, 2004).</w:t>
      </w:r>
    </w:p>
    <w:p>
      <w:pPr>
        <w:pStyle w:val="BodyText"/>
      </w:pPr>
      <w:r>
        <w:rPr>
          <w:bCs/>
          <w:b/>
        </w:rPr>
        <w:t xml:space="preserve">Diamond Open Access</w:t>
      </w:r>
      <w:r>
        <w:t xml:space="preserve"> </w:t>
      </w:r>
      <w:r>
        <w:t xml:space="preserve">A scholarly publication model in which journals and platforms do not charge fees to either authors or readers. OpenDraft advocates for integrating AI tools into Diamond OA infrastructure to maximize equity.</w:t>
      </w:r>
    </w:p>
    <w:p>
      <w:pPr>
        <w:pStyle w:val="BodyText"/>
      </w:pPr>
      <w:r>
        <w:rPr>
          <w:bCs/>
          <w:b/>
        </w:rPr>
        <w:t xml:space="preserve">Epistemic Injustice</w:t>
      </w:r>
      <w:r>
        <w:t xml:space="preserve"> </w:t>
      </w:r>
      <w:r>
        <w:t xml:space="preserve">A concept coined by Miranda Fricker, referring to a wrong done to someone specifically in their capacity as a knower.</w:t>
      </w:r>
      <w:r>
        <w:t xml:space="preserve"> </w:t>
      </w:r>
      <w:r>
        <w:t xml:space="preserve">*</w:t>
      </w:r>
      <w:r>
        <w:t xml:space="preserve"> </w:t>
      </w:r>
      <w:r>
        <w:rPr>
          <w:iCs/>
          <w:i/>
        </w:rPr>
        <w:t xml:space="preserve">Testimonial Injustice:</w:t>
      </w:r>
      <w:r>
        <w:t xml:space="preserve"> </w:t>
      </w:r>
      <w:r>
        <w:t xml:space="preserve">When a speaker receives a credibility deficit due to identity prejudice (e.g., a researcher’s work being dismissed because of</w:t>
      </w:r>
      <w:r>
        <w:t xml:space="preserve"> </w:t>
      </w:r>
      <w:r>
        <w:t xml:space="preserve">“</w:t>
      </w:r>
      <w:r>
        <w:t xml:space="preserve">broken English</w:t>
      </w:r>
      <w:r>
        <w:t xml:space="preserve">”</w:t>
      </w:r>
      <w:r>
        <w:t xml:space="preserve">).</w:t>
      </w:r>
      <w:r>
        <w:t xml:space="preserve"> </w:t>
      </w:r>
      <w:r>
        <w:t xml:space="preserve">*</w:t>
      </w:r>
      <w:r>
        <w:t xml:space="preserve"> </w:t>
      </w:r>
      <w:r>
        <w:rPr>
          <w:iCs/>
          <w:i/>
        </w:rPr>
        <w:t xml:space="preserve">Hermeneutical Injustice:</w:t>
      </w:r>
      <w:r>
        <w:t xml:space="preserve"> </w:t>
      </w:r>
      <w:r>
        <w:t xml:space="preserve">When a gap in collective interpretive resources puts someone at a disadvantage when trying to make sense of their social experiences.</w:t>
      </w:r>
      <w:r>
        <w:t xml:space="preserve"> </w:t>
      </w:r>
      <w:r>
        <w:t xml:space="preserve">This thesis argues that rejecting valid science due to linguistic errors is a form of testimonial injustice that AI can resolve (Kaliuzhna &amp; Aydin, 2025).</w:t>
      </w:r>
    </w:p>
    <w:p>
      <w:pPr>
        <w:pStyle w:val="BodyText"/>
      </w:pPr>
      <w:r>
        <w:rPr>
          <w:bCs/>
          <w:b/>
        </w:rPr>
        <w:t xml:space="preserve">Generative AI (GenAI)</w:t>
      </w:r>
      <w:r>
        <w:t xml:space="preserve"> </w:t>
      </w:r>
      <w:r>
        <w:t xml:space="preserve">Artificial intelligence capable of generating text, images, or other media using generative models. In this thesis, GenAI refers specifically to text-based Large Language Models (LLMs) used for drafting, editing, and translating academic prose.</w:t>
      </w:r>
    </w:p>
    <w:p>
      <w:pPr>
        <w:pStyle w:val="BodyText"/>
      </w:pPr>
      <w:r>
        <w:rPr>
          <w:bCs/>
          <w:b/>
        </w:rPr>
        <w:t xml:space="preserve">Global North / Global South</w:t>
      </w:r>
      <w:r>
        <w:t xml:space="preserve"> </w:t>
      </w:r>
      <w:r>
        <w:t xml:space="preserve">Socio-economic and political designations rather than strictly geographical ones.</w:t>
      </w:r>
      <w:r>
        <w:t xml:space="preserve"> </w:t>
      </w:r>
      <w:r>
        <w:t xml:space="preserve">“</w:t>
      </w:r>
      <w:r>
        <w:t xml:space="preserve">Global North</w:t>
      </w:r>
      <w:r>
        <w:t xml:space="preserve">”</w:t>
      </w:r>
      <w:r>
        <w:t xml:space="preserve"> </w:t>
      </w:r>
      <w:r>
        <w:t xml:space="preserve">refers to developed, industrialized nations (e.g., USA, Western Europe, Australia) that dominate scientific publishing.</w:t>
      </w:r>
      <w:r>
        <w:t xml:space="preserve"> </w:t>
      </w:r>
      <w:r>
        <w:t xml:space="preserve">“</w:t>
      </w:r>
      <w:r>
        <w:t xml:space="preserve">Global South</w:t>
      </w:r>
      <w:r>
        <w:t xml:space="preserve">”</w:t>
      </w:r>
      <w:r>
        <w:t xml:space="preserve"> </w:t>
      </w:r>
      <w:r>
        <w:t xml:space="preserve">refers to developing regions (e.g., Africa, Latin America, Southeast Asia) that are often marginalized in the scientific record despite representing the majority of the world’s population.</w:t>
      </w:r>
    </w:p>
    <w:p>
      <w:pPr>
        <w:pStyle w:val="BodyText"/>
      </w:pPr>
      <w:r>
        <w:rPr>
          <w:bCs/>
          <w:b/>
        </w:rPr>
        <w:t xml:space="preserve">Hallucination</w:t>
      </w:r>
      <w:r>
        <w:t xml:space="preserve"> </w:t>
      </w:r>
      <w:r>
        <w:t xml:space="preserve">In the context of LLMs, a phenomenon where the model generates plausible-sounding but factually incorrect or nonsensical information. This is a critical risk in academic writing, requiring the</w:t>
      </w:r>
      <w:r>
        <w:t xml:space="preserve"> </w:t>
      </w:r>
      <w:r>
        <w:t xml:space="preserve">“</w:t>
      </w:r>
      <w:r>
        <w:t xml:space="preserve">Human-in-the-Loop</w:t>
      </w:r>
      <w:r>
        <w:t xml:space="preserve">”</w:t>
      </w:r>
      <w:r>
        <w:t xml:space="preserve"> </w:t>
      </w:r>
      <w:r>
        <w:t xml:space="preserve">verification processes detailed in Section 2.3.</w:t>
      </w:r>
    </w:p>
    <w:p>
      <w:pPr>
        <w:pStyle w:val="BodyText"/>
      </w:pPr>
      <w:r>
        <w:rPr>
          <w:bCs/>
          <w:b/>
        </w:rPr>
        <w:t xml:space="preserve">Large Language Model (LLM)</w:t>
      </w:r>
      <w:r>
        <w:t xml:space="preserve"> </w:t>
      </w:r>
      <w:r>
        <w:t xml:space="preserve">A type of AI algorithm that uses deep learning techniques and massively large data sets to understand, summarize, generate, and predict new content. Examples include GPT-4, Claude, and Llama.</w:t>
      </w:r>
    </w:p>
    <w:p>
      <w:pPr>
        <w:pStyle w:val="BodyText"/>
      </w:pPr>
      <w:r>
        <w:rPr>
          <w:bCs/>
          <w:b/>
        </w:rPr>
        <w:t xml:space="preserve">Linguistic Hegemony</w:t>
      </w:r>
      <w:r>
        <w:t xml:space="preserve"> </w:t>
      </w:r>
      <w:r>
        <w:t xml:space="preserve">The dominance of a single language (English) in a specific domain (Science), compelling all participants to use that language to be heard. This thesis acknowledges English as the</w:t>
      </w:r>
      <w:r>
        <w:t xml:space="preserve"> </w:t>
      </w:r>
      <w:r>
        <w:rPr>
          <w:iCs/>
          <w:i/>
        </w:rPr>
        <w:t xml:space="preserve">lingua franca</w:t>
      </w:r>
      <w:r>
        <w:t xml:space="preserve"> </w:t>
      </w:r>
      <w:r>
        <w:t xml:space="preserve">of science but argues against it acting as a</w:t>
      </w:r>
      <w:r>
        <w:t xml:space="preserve"> </w:t>
      </w:r>
      <w:r>
        <w:rPr>
          <w:iCs/>
          <w:i/>
        </w:rPr>
        <w:t xml:space="preserve">gatekeeper</w:t>
      </w:r>
      <w:r>
        <w:t xml:space="preserve"> </w:t>
      </w:r>
      <w:r>
        <w:t xml:space="preserve">of science.</w:t>
      </w:r>
    </w:p>
    <w:p>
      <w:pPr>
        <w:pStyle w:val="BodyText"/>
      </w:pPr>
      <w:r>
        <w:rPr>
          <w:bCs/>
          <w:b/>
        </w:rPr>
        <w:t xml:space="preserve">OpenDraft</w:t>
      </w:r>
      <w:r>
        <w:t xml:space="preserve"> </w:t>
      </w:r>
      <w:r>
        <w:t xml:space="preserve">The theoretical framework and proposed toolset presented in this thesis. It is defined as</w:t>
      </w:r>
      <w:r>
        <w:t xml:space="preserve"> </w:t>
      </w:r>
      <w:r>
        <w:t xml:space="preserve">“</w:t>
      </w:r>
      <w:r>
        <w:t xml:space="preserve">an open-source, AI-driven writing assistant specifically tuned for academic integrity, designed to assist non-native English speakers in producing publication-ready manuscripts without losing their unique voice.</w:t>
      </w:r>
      <w:r>
        <w:t xml:space="preserve">”</w:t>
      </w:r>
    </w:p>
    <w:p>
      <w:pPr>
        <w:pStyle w:val="BodyText"/>
      </w:pPr>
      <w:r>
        <w:rPr>
          <w:bCs/>
          <w:b/>
        </w:rPr>
        <w:t xml:space="preserve">Prompt Engineering</w:t>
      </w:r>
      <w:r>
        <w:t xml:space="preserve"> </w:t>
      </w:r>
      <w:r>
        <w:t xml:space="preserve">The practice of designing inputs for AI models to produce optimal outputs. For OpenDraft, this involves creating standardized</w:t>
      </w:r>
      <w:r>
        <w:t xml:space="preserve"> </w:t>
      </w:r>
      <w:r>
        <w:t xml:space="preserve">“</w:t>
      </w:r>
      <w:r>
        <w:t xml:space="preserve">System Prompts</w:t>
      </w:r>
      <w:r>
        <w:t xml:space="preserve">”</w:t>
      </w:r>
      <w:r>
        <w:t xml:space="preserve"> </w:t>
      </w:r>
      <w:r>
        <w:t xml:space="preserve">that instruct the AI to act as a rigorous academic editor rather than a creative writer.</w:t>
      </w:r>
    </w:p>
    <w:p>
      <w:pPr>
        <w:pStyle w:val="BodyText"/>
      </w:pPr>
      <w:r>
        <w:rPr>
          <w:bCs/>
          <w:b/>
        </w:rPr>
        <w:t xml:space="preserve">Zero-Shot Translation</w:t>
      </w:r>
      <w:r>
        <w:t xml:space="preserve"> </w:t>
      </w:r>
      <w:r>
        <w:t xml:space="preserve">The ability of a model to translate between language pairs it has not explicitly been trained to translate between, or to perform a task without specific examples. This capability is crucial for OpenDraft to support under-represented languages without requiring massive parallel corpora.</w:t>
      </w:r>
    </w:p>
    <w:p>
      <w:r>
        <w:pict>
          <v:rect style="width:0;height:1.5pt" o:hralign="center" o:hrstd="t" o:hr="t"/>
        </w:pict>
      </w:r>
    </w:p>
    <w:bookmarkEnd w:id="104"/>
    <w:bookmarkStart w:id="109" w:name="X81914879cc1ae95a4b4050b3192d32b8e9ee3b1"/>
    <w:p>
      <w:pPr>
        <w:pStyle w:val="Heading2"/>
      </w:pPr>
      <w:r>
        <w:t xml:space="preserve">4.4 Appendix D: Additional Resources and Implementation Guide</w:t>
      </w:r>
    </w:p>
    <w:p>
      <w:pPr>
        <w:pStyle w:val="FirstParagraph"/>
      </w:pPr>
      <w:r>
        <w:t xml:space="preserve">This appendix provides a curated list of tools, prompt libraries, and ethical guidelines to facilitate the practical implementation of the OpenDraft model. It is intended for researchers, university administrators, and developers looking to operationalize the findings of this thesis.</w:t>
      </w:r>
    </w:p>
    <w:bookmarkStart w:id="105" w:name="Xb6b7a8a7205a6fa09072411bb0f0a503661b98f"/>
    <w:p>
      <w:pPr>
        <w:pStyle w:val="Heading3"/>
      </w:pPr>
      <w:r>
        <w:t xml:space="preserve">4.4.1 Recommended AI Tools for Academic Democratization</w:t>
      </w:r>
    </w:p>
    <w:p>
      <w:pPr>
        <w:pStyle w:val="FirstParagraph"/>
      </w:pPr>
      <w:r>
        <w:t xml:space="preserve">While</w:t>
      </w:r>
      <w:r>
        <w:t xml:space="preserve"> </w:t>
      </w:r>
      <w:r>
        <w:t xml:space="preserve">“</w:t>
      </w:r>
      <w:r>
        <w:t xml:space="preserve">OpenDraft</w:t>
      </w:r>
      <w:r>
        <w:t xml:space="preserve">”</w:t>
      </w:r>
      <w:r>
        <w:t xml:space="preserve"> </w:t>
      </w:r>
      <w:r>
        <w:t xml:space="preserve">is the proposed ideal framework, several existing tools currently offer partial functionality that aligns with the thesis goals.</w:t>
      </w:r>
    </w:p>
    <w:tbl>
      <w:tblPr>
        <w:tblStyle w:val="Table"/>
        <w:tblLayout w:type="autofit"/>
        <w:tblLook w:firstRow="1" w:lastRow="0" w:firstColumn="0" w:lastColumn="0" w:noHBand="0" w:noVBand="0" w:val="0020"/>
      </w:tblPr>
      <w:tblGrid>
        <w:gridCol w:w="1397"/>
        <w:gridCol w:w="1677"/>
        <w:gridCol w:w="3540"/>
        <w:gridCol w:w="1304"/>
      </w:tblGrid>
      <w:tr>
        <w:trPr>
          <w:tblHeader w:val="true"/>
        </w:trPr>
        <w:tc>
          <w:tcPr/>
          <w:p>
            <w:pPr>
              <w:pStyle w:val="Compact"/>
              <w:spacing w:before="20" w:after="20"/>
              <w:jc w:val="left"/>
            </w:pPr>
            <w:r>
              <w:rPr>
                <w:sz w:val="16"/>
              </w:rPr>
              <w:t xml:space="preserve">Tool Category</w:t>
            </w:r>
          </w:p>
        </w:tc>
        <w:tc>
          <w:tcPr/>
          <w:p>
            <w:pPr>
              <w:pStyle w:val="Compact"/>
              <w:spacing w:before="20" w:after="20"/>
              <w:jc w:val="left"/>
            </w:pPr>
            <w:r>
              <w:rPr>
                <w:sz w:val="16"/>
              </w:rPr>
              <w:t xml:space="preserve">Recommended Tool</w:t>
            </w:r>
          </w:p>
        </w:tc>
        <w:tc>
          <w:tcPr/>
          <w:p>
            <w:pPr>
              <w:pStyle w:val="Compact"/>
              <w:spacing w:before="20" w:after="20"/>
              <w:jc w:val="left"/>
            </w:pPr>
            <w:r>
              <w:rPr>
                <w:sz w:val="16"/>
              </w:rPr>
              <w:t xml:space="preserve">Key Features for Non-Native Speakers</w:t>
            </w:r>
          </w:p>
        </w:tc>
        <w:tc>
          <w:tcPr/>
          <w:p>
            <w:pPr>
              <w:pStyle w:val="Compact"/>
              <w:spacing w:before="20" w:after="20"/>
              <w:jc w:val="left"/>
            </w:pPr>
            <w:r>
              <w:rPr>
                <w:sz w:val="16"/>
              </w:rPr>
              <w:t xml:space="preserve">Open Source?</w:t>
            </w:r>
          </w:p>
        </w:tc>
      </w:tr>
      <w:tr>
        <w:tc>
          <w:tcPr/>
          <w:p>
            <w:pPr>
              <w:pStyle w:val="Compact"/>
              <w:spacing w:before="20" w:after="20"/>
              <w:jc w:val="left"/>
            </w:pPr>
            <w:r>
              <w:rPr>
                <w:bCs/>
                <w:b/>
                <w:sz w:val="16"/>
              </w:rPr>
              <w:t xml:space="preserve">Deep Translation</w:t>
            </w:r>
          </w:p>
        </w:tc>
        <w:tc>
          <w:tcPr/>
          <w:p>
            <w:pPr>
              <w:pStyle w:val="Compact"/>
              <w:spacing w:before="20" w:after="20"/>
              <w:jc w:val="left"/>
            </w:pPr>
            <w:r>
              <w:rPr>
                <w:sz w:val="16"/>
              </w:rPr>
              <w:t xml:space="preserve">DeepL / Google Translate</w:t>
            </w:r>
          </w:p>
        </w:tc>
        <w:tc>
          <w:tcPr/>
          <w:p>
            <w:pPr>
              <w:pStyle w:val="Compact"/>
              <w:spacing w:before="20" w:after="20"/>
              <w:jc w:val="left"/>
            </w:pPr>
            <w:r>
              <w:rPr>
                <w:sz w:val="16"/>
              </w:rPr>
              <w:t xml:space="preserve">Context-aware translation that preserves technical nuance better than general models.</w:t>
            </w:r>
          </w:p>
        </w:tc>
        <w:tc>
          <w:tcPr/>
          <w:p>
            <w:pPr>
              <w:pStyle w:val="Compact"/>
              <w:spacing w:before="20" w:after="20"/>
              <w:jc w:val="left"/>
            </w:pPr>
            <w:r>
              <w:rPr>
                <w:sz w:val="16"/>
              </w:rPr>
              <w:t xml:space="preserve">No (Freemium)</w:t>
            </w:r>
          </w:p>
        </w:tc>
      </w:tr>
      <w:tr>
        <w:tc>
          <w:tcPr/>
          <w:p>
            <w:pPr>
              <w:pStyle w:val="Compact"/>
              <w:spacing w:before="20" w:after="20"/>
              <w:jc w:val="left"/>
            </w:pPr>
            <w:r>
              <w:rPr>
                <w:bCs/>
                <w:b/>
                <w:sz w:val="16"/>
              </w:rPr>
              <w:t xml:space="preserve">Drafting/Editing</w:t>
            </w:r>
          </w:p>
        </w:tc>
        <w:tc>
          <w:tcPr/>
          <w:p>
            <w:pPr>
              <w:pStyle w:val="Compact"/>
              <w:spacing w:before="20" w:after="20"/>
              <w:jc w:val="left"/>
            </w:pPr>
            <w:r>
              <w:rPr>
                <w:sz w:val="16"/>
              </w:rPr>
              <w:t xml:space="preserve">Claude 3 (Anthropic)</w:t>
            </w:r>
          </w:p>
        </w:tc>
        <w:tc>
          <w:tcPr/>
          <w:p>
            <w:pPr>
              <w:pStyle w:val="Compact"/>
              <w:spacing w:before="20" w:after="20"/>
              <w:jc w:val="left"/>
            </w:pPr>
            <w:r>
              <w:rPr>
                <w:sz w:val="16"/>
              </w:rPr>
              <w:t xml:space="preserve">High context window (200k tokens) allows it to analyze full manuscripts; lower hallucination rate than competitors.</w:t>
            </w:r>
          </w:p>
        </w:tc>
        <w:tc>
          <w:tcPr/>
          <w:p>
            <w:pPr>
              <w:pStyle w:val="Compact"/>
              <w:spacing w:before="20" w:after="20"/>
              <w:jc w:val="left"/>
            </w:pPr>
            <w:r>
              <w:rPr>
                <w:sz w:val="16"/>
              </w:rPr>
              <w:t xml:space="preserve">No</w:t>
            </w:r>
          </w:p>
        </w:tc>
      </w:tr>
      <w:tr>
        <w:tc>
          <w:tcPr/>
          <w:p>
            <w:pPr>
              <w:pStyle w:val="Compact"/>
              <w:spacing w:before="20" w:after="20"/>
              <w:jc w:val="left"/>
            </w:pPr>
            <w:r>
              <w:rPr>
                <w:bCs/>
                <w:b/>
                <w:sz w:val="16"/>
              </w:rPr>
              <w:t xml:space="preserve">Literature Review</w:t>
            </w:r>
          </w:p>
        </w:tc>
        <w:tc>
          <w:tcPr/>
          <w:p>
            <w:pPr>
              <w:pStyle w:val="Compact"/>
              <w:spacing w:before="20" w:after="20"/>
              <w:jc w:val="left"/>
            </w:pPr>
            <w:r>
              <w:rPr>
                <w:sz w:val="16"/>
              </w:rPr>
              <w:t xml:space="preserve">Elicit / Consensus</w:t>
            </w:r>
          </w:p>
        </w:tc>
        <w:tc>
          <w:tcPr/>
          <w:p>
            <w:pPr>
              <w:pStyle w:val="Compact"/>
              <w:spacing w:before="20" w:after="20"/>
              <w:jc w:val="left"/>
            </w:pPr>
            <w:r>
              <w:rPr>
                <w:sz w:val="16"/>
              </w:rPr>
              <w:t xml:space="preserve">Uses AI to find and summarize citations, reducing the reading load for L2 speakers.</w:t>
            </w:r>
          </w:p>
        </w:tc>
        <w:tc>
          <w:tcPr/>
          <w:p>
            <w:pPr>
              <w:pStyle w:val="Compact"/>
              <w:spacing w:before="20" w:after="20"/>
              <w:jc w:val="left"/>
            </w:pPr>
            <w:r>
              <w:rPr>
                <w:sz w:val="16"/>
              </w:rPr>
              <w:t xml:space="preserve">No (Freemium)</w:t>
            </w:r>
          </w:p>
        </w:tc>
      </w:tr>
      <w:tr>
        <w:tc>
          <w:tcPr/>
          <w:p>
            <w:pPr>
              <w:pStyle w:val="Compact"/>
              <w:spacing w:before="20" w:after="20"/>
              <w:jc w:val="left"/>
            </w:pPr>
            <w:r>
              <w:rPr>
                <w:bCs/>
                <w:b/>
                <w:sz w:val="16"/>
              </w:rPr>
              <w:t xml:space="preserve">Local LLMs</w:t>
            </w:r>
          </w:p>
        </w:tc>
        <w:tc>
          <w:tcPr/>
          <w:p>
            <w:pPr>
              <w:pStyle w:val="Compact"/>
              <w:spacing w:before="20" w:after="20"/>
              <w:jc w:val="left"/>
            </w:pPr>
            <w:r>
              <w:rPr>
                <w:sz w:val="16"/>
              </w:rPr>
              <w:t xml:space="preserve">Llama 3 / Mistral</w:t>
            </w:r>
          </w:p>
        </w:tc>
        <w:tc>
          <w:tcPr/>
          <w:p>
            <w:pPr>
              <w:pStyle w:val="Compact"/>
              <w:spacing w:before="20" w:after="20"/>
              <w:jc w:val="left"/>
            </w:pPr>
            <w:r>
              <w:rPr>
                <w:sz w:val="16"/>
              </w:rPr>
              <w:t xml:space="preserve">Can be run locally on university servers, ensuring data privacy and avoiding subscription costs.</w:t>
            </w:r>
          </w:p>
        </w:tc>
        <w:tc>
          <w:tcPr/>
          <w:p>
            <w:pPr>
              <w:pStyle w:val="Compact"/>
              <w:spacing w:before="20" w:after="20"/>
              <w:jc w:val="left"/>
            </w:pPr>
            <w:r>
              <w:rPr>
                <w:bCs/>
                <w:b/>
                <w:sz w:val="16"/>
              </w:rPr>
              <w:t xml:space="preserve">Yes</w:t>
            </w:r>
          </w:p>
        </w:tc>
      </w:tr>
      <w:tr>
        <w:tc>
          <w:tcPr/>
          <w:p>
            <w:pPr>
              <w:pStyle w:val="Compact"/>
              <w:spacing w:before="20" w:after="20"/>
              <w:jc w:val="left"/>
            </w:pPr>
            <w:r>
              <w:rPr>
                <w:bCs/>
                <w:b/>
                <w:sz w:val="16"/>
              </w:rPr>
              <w:t xml:space="preserve">Grammar Check</w:t>
            </w:r>
          </w:p>
        </w:tc>
        <w:tc>
          <w:tcPr/>
          <w:p>
            <w:pPr>
              <w:pStyle w:val="Compact"/>
              <w:spacing w:before="20" w:after="20"/>
              <w:jc w:val="left"/>
            </w:pPr>
            <w:r>
              <w:rPr>
                <w:sz w:val="16"/>
              </w:rPr>
              <w:t xml:space="preserve">LanguageTool</w:t>
            </w:r>
          </w:p>
        </w:tc>
        <w:tc>
          <w:tcPr/>
          <w:p>
            <w:pPr>
              <w:pStyle w:val="Compact"/>
              <w:spacing w:before="20" w:after="20"/>
              <w:jc w:val="left"/>
            </w:pPr>
            <w:r>
              <w:rPr>
                <w:sz w:val="16"/>
              </w:rPr>
              <w:t xml:space="preserve">Detects errors without altering the author’s voice; supports multiple languages.</w:t>
            </w:r>
          </w:p>
        </w:tc>
        <w:tc>
          <w:tcPr/>
          <w:p>
            <w:pPr>
              <w:pStyle w:val="Compact"/>
              <w:spacing w:before="20" w:after="20"/>
              <w:jc w:val="left"/>
            </w:pPr>
            <w:r>
              <w:rPr>
                <w:bCs/>
                <w:b/>
                <w:sz w:val="16"/>
              </w:rPr>
              <w:t xml:space="preserve">Yes</w:t>
            </w:r>
          </w:p>
        </w:tc>
      </w:tr>
    </w:tbl>
    <w:p>
      <w:pPr>
        <w:pStyle w:val="BodyText"/>
      </w:pPr>
      <w:r>
        <w:rPr>
          <w:iCs/>
          <w:i/>
        </w:rPr>
        <w:t xml:space="preserve">Table D1: Comparative overview of current AI tools supporting the OpenDraft methodology.</w:t>
      </w:r>
    </w:p>
    <w:bookmarkEnd w:id="105"/>
    <w:bookmarkStart w:id="106" w:name="the-opendraft-standard-prompt-library"/>
    <w:p>
      <w:pPr>
        <w:pStyle w:val="Heading3"/>
      </w:pPr>
      <w:r>
        <w:t xml:space="preserve">4.4.2 The</w:t>
      </w:r>
      <w:r>
        <w:t xml:space="preserve"> </w:t>
      </w:r>
      <w:r>
        <w:t xml:space="preserve">“</w:t>
      </w:r>
      <w:r>
        <w:t xml:space="preserve">OpenDraft</w:t>
      </w:r>
      <w:r>
        <w:t xml:space="preserve">”</w:t>
      </w:r>
      <w:r>
        <w:t xml:space="preserve"> </w:t>
      </w:r>
      <w:r>
        <w:t xml:space="preserve">Standard Prompt Library</w:t>
      </w:r>
    </w:p>
    <w:p>
      <w:pPr>
        <w:pStyle w:val="FirstParagraph"/>
      </w:pPr>
      <w:r>
        <w:t xml:space="preserve">To ensure equity, this thesis recommends a standardized set of prompts that researchers can use to refine their work without ethical compromise. These prompts are designed to</w:t>
      </w:r>
      <w:r>
        <w:t xml:space="preserve"> </w:t>
      </w:r>
      <w:r>
        <w:rPr>
          <w:iCs/>
          <w:i/>
        </w:rPr>
        <w:t xml:space="preserve">polish</w:t>
      </w:r>
      <w:r>
        <w:t xml:space="preserve"> </w:t>
      </w:r>
      <w:r>
        <w:t xml:space="preserve">ideas, not</w:t>
      </w:r>
      <w:r>
        <w:t xml:space="preserve"> </w:t>
      </w:r>
      <w:r>
        <w:rPr>
          <w:iCs/>
          <w:i/>
        </w:rPr>
        <w:t xml:space="preserve">generate</w:t>
      </w:r>
      <w:r>
        <w:t xml:space="preserve"> </w:t>
      </w:r>
      <w:r>
        <w:t xml:space="preserve">them.</w:t>
      </w:r>
    </w:p>
    <w:p>
      <w:pPr>
        <w:pStyle w:val="BodyText"/>
      </w:pPr>
      <w:r>
        <w:rPr>
          <w:bCs/>
          <w:b/>
        </w:rPr>
        <w:t xml:space="preserve">Prompt 1: The</w:t>
      </w:r>
      <w:r>
        <w:rPr>
          <w:bCs/>
          <w:b/>
        </w:rPr>
        <w:t xml:space="preserve"> </w:t>
      </w:r>
      <w:r>
        <w:rPr>
          <w:bCs/>
          <w:b/>
        </w:rPr>
        <w:t xml:space="preserve">“</w:t>
      </w:r>
      <w:r>
        <w:rPr>
          <w:bCs/>
          <w:b/>
        </w:rPr>
        <w:t xml:space="preserve">Linguistic Normalization</w:t>
      </w:r>
      <w:r>
        <w:rPr>
          <w:bCs/>
          <w:b/>
        </w:rPr>
        <w:t xml:space="preserve">”</w:t>
      </w:r>
      <w:r>
        <w:rPr>
          <w:bCs/>
          <w:b/>
        </w:rPr>
        <w:t xml:space="preserve"> </w:t>
      </w:r>
      <w:r>
        <w:rPr>
          <w:bCs/>
          <w:b/>
        </w:rPr>
        <w:t xml:space="preserve">Prompt</w:t>
      </w:r>
      <w:r>
        <w:t xml:space="preserve"> </w:t>
      </w:r>
      <w:r>
        <w:t xml:space="preserve">&gt;</w:t>
      </w:r>
      <w:r>
        <w:t xml:space="preserve"> </w:t>
      </w:r>
      <w:r>
        <w:t xml:space="preserve">“</w:t>
      </w:r>
      <w:r>
        <w:t xml:space="preserve">Act as an expert academic editor for a Q1 journal in [FIELD]. I am a non-native English speaker. Please review the following text for grammar, flow, and idiomatic academic English.</w:t>
      </w:r>
      <w:r>
        <w:t xml:space="preserve"> </w:t>
      </w:r>
      <w:r>
        <w:rPr>
          <w:bCs/>
          <w:b/>
        </w:rPr>
        <w:t xml:space="preserve">Do not change the core meaning, data, or arguments.</w:t>
      </w:r>
      <w:r>
        <w:t xml:space="preserve"> </w:t>
      </w:r>
      <w:r>
        <w:t xml:space="preserve">If a sentence is ambiguous, ask me for clarification rather than rewriting it. Provide a table of changes explaining why each change was made.</w:t>
      </w:r>
      <w:r>
        <w:t xml:space="preserve">”</w:t>
      </w:r>
    </w:p>
    <w:p>
      <w:pPr>
        <w:pStyle w:val="BodyText"/>
      </w:pPr>
      <w:r>
        <w:rPr>
          <w:bCs/>
          <w:b/>
        </w:rPr>
        <w:t xml:space="preserve">Prompt 2: The</w:t>
      </w:r>
      <w:r>
        <w:rPr>
          <w:bCs/>
          <w:b/>
        </w:rPr>
        <w:t xml:space="preserve"> </w:t>
      </w:r>
      <w:r>
        <w:rPr>
          <w:bCs/>
          <w:b/>
        </w:rPr>
        <w:t xml:space="preserve">“</w:t>
      </w:r>
      <w:r>
        <w:rPr>
          <w:bCs/>
          <w:b/>
        </w:rPr>
        <w:t xml:space="preserve">Reverse Outline</w:t>
      </w:r>
      <w:r>
        <w:rPr>
          <w:bCs/>
          <w:b/>
        </w:rPr>
        <w:t xml:space="preserve">”</w:t>
      </w:r>
      <w:r>
        <w:rPr>
          <w:bCs/>
          <w:b/>
        </w:rPr>
        <w:t xml:space="preserve"> </w:t>
      </w:r>
      <w:r>
        <w:rPr>
          <w:bCs/>
          <w:b/>
        </w:rPr>
        <w:t xml:space="preserve">Logic Check</w:t>
      </w:r>
      <w:r>
        <w:t xml:space="preserve"> </w:t>
      </w:r>
      <w:r>
        <w:t xml:space="preserve">&gt;</w:t>
      </w:r>
      <w:r>
        <w:t xml:space="preserve"> </w:t>
      </w:r>
      <w:r>
        <w:t xml:space="preserve">“</w:t>
      </w:r>
      <w:r>
        <w:t xml:space="preserve">Analyze the following Discussion section. Create a reverse outline of the arguments presented. Identify any logical gaps or transitions that are abrupt. Do not rewrite the text; only diagnose the logical flow to ensure the argument is coherent.</w:t>
      </w:r>
      <w:r>
        <w:t xml:space="preserve">”</w:t>
      </w:r>
    </w:p>
    <w:p>
      <w:pPr>
        <w:pStyle w:val="BodyText"/>
      </w:pPr>
      <w:r>
        <w:rPr>
          <w:bCs/>
          <w:b/>
        </w:rPr>
        <w:t xml:space="preserve">Prompt 3: The</w:t>
      </w:r>
      <w:r>
        <w:rPr>
          <w:bCs/>
          <w:b/>
        </w:rPr>
        <w:t xml:space="preserve"> </w:t>
      </w:r>
      <w:r>
        <w:rPr>
          <w:bCs/>
          <w:b/>
        </w:rPr>
        <w:t xml:space="preserve">“</w:t>
      </w:r>
      <w:r>
        <w:rPr>
          <w:bCs/>
          <w:b/>
        </w:rPr>
        <w:t xml:space="preserve">Cultural Context</w:t>
      </w:r>
      <w:r>
        <w:rPr>
          <w:bCs/>
          <w:b/>
        </w:rPr>
        <w:t xml:space="preserve">”</w:t>
      </w:r>
      <w:r>
        <w:rPr>
          <w:bCs/>
          <w:b/>
        </w:rPr>
        <w:t xml:space="preserve"> </w:t>
      </w:r>
      <w:r>
        <w:rPr>
          <w:bCs/>
          <w:b/>
        </w:rPr>
        <w:t xml:space="preserve">Preserver</w:t>
      </w:r>
      <w:r>
        <w:t xml:space="preserve"> </w:t>
      </w:r>
      <w:r>
        <w:t xml:space="preserve">&gt;</w:t>
      </w:r>
      <w:r>
        <w:t xml:space="preserve"> </w:t>
      </w:r>
      <w:r>
        <w:t xml:space="preserve">“</w:t>
      </w:r>
      <w:r>
        <w:t xml:space="preserve">I am writing about a phenomenon specific to [REGION/CULTURE]. Please ensure that the terminology used to describe this cultural context remains respectful and accurate. Do not anglicize local terms where a direct translation would lose meaning; instead, suggest where I should add a definition or footnote.</w:t>
      </w:r>
      <w:r>
        <w:t xml:space="preserve">”</w:t>
      </w:r>
    </w:p>
    <w:bookmarkEnd w:id="106"/>
    <w:bookmarkStart w:id="107" w:name="Xa1c1ea22c394f408de0ebacd25a7ee529c60897"/>
    <w:p>
      <w:pPr>
        <w:pStyle w:val="Heading3"/>
      </w:pPr>
      <w:r>
        <w:t xml:space="preserve">4.4.3 Ethical Checklist for AI-Assisted Submission</w:t>
      </w:r>
    </w:p>
    <w:p>
      <w:pPr>
        <w:pStyle w:val="FirstParagraph"/>
      </w:pPr>
      <w:r>
        <w:t xml:space="preserve">Based on the findings in Section 2.4 (Ethics), researchers using the OpenDraft model should verify their work against this checklist before submission to ensure academic integrity.</w:t>
      </w:r>
    </w:p>
    <w:p>
      <w:pPr>
        <w:numPr>
          <w:ilvl w:val="0"/>
          <w:numId w:val="1009"/>
        </w:numPr>
        <w:pStyle w:val="Compact"/>
      </w:pPr>
      <w:r>
        <w:t xml:space="preserve">☐</w:t>
      </w:r>
      <w:r>
        <w:t xml:space="preserve"> </w:t>
      </w:r>
      <w:r>
        <w:rPr>
          <w:bCs/>
          <w:b/>
        </w:rPr>
        <w:t xml:space="preserve">Verification of Citations:</w:t>
      </w:r>
      <w:r>
        <w:t xml:space="preserve"> </w:t>
      </w:r>
      <w:r>
        <w:t xml:space="preserve">I have manually verified that every citation generated or suggested by the AI exists and supports the claim made. (Mitigation of Hallucination).</w:t>
      </w:r>
    </w:p>
    <w:p>
      <w:pPr>
        <w:numPr>
          <w:ilvl w:val="0"/>
          <w:numId w:val="1009"/>
        </w:numPr>
        <w:pStyle w:val="Compact"/>
      </w:pPr>
      <w:r>
        <w:t xml:space="preserve">☐</w:t>
      </w:r>
      <w:r>
        <w:t xml:space="preserve"> </w:t>
      </w:r>
      <w:r>
        <w:rPr>
          <w:bCs/>
          <w:b/>
        </w:rPr>
        <w:t xml:space="preserve">Intellectual Ownership:</w:t>
      </w:r>
      <w:r>
        <w:t xml:space="preserve"> </w:t>
      </w:r>
      <w:r>
        <w:t xml:space="preserve">The core hypotheses, data analysis, and conclusions are my own. The AI was used only for linguistic processing and structural organization.</w:t>
      </w:r>
    </w:p>
    <w:p>
      <w:pPr>
        <w:numPr>
          <w:ilvl w:val="0"/>
          <w:numId w:val="1009"/>
        </w:numPr>
        <w:pStyle w:val="Compact"/>
      </w:pPr>
      <w:r>
        <w:t xml:space="preserve">☐</w:t>
      </w:r>
      <w:r>
        <w:t xml:space="preserve"> </w:t>
      </w:r>
      <w:r>
        <w:rPr>
          <w:bCs/>
          <w:b/>
        </w:rPr>
        <w:t xml:space="preserve">Disclosure:</w:t>
      </w:r>
      <w:r>
        <w:t xml:space="preserve"> </w:t>
      </w:r>
      <w:r>
        <w:t xml:space="preserve">I have included a statement in the Acknowledgments or Methods section detailing which AI tools were used and for what purpose (e.g.,</w:t>
      </w:r>
      <w:r>
        <w:t xml:space="preserve"> </w:t>
      </w:r>
      <w:r>
        <w:t xml:space="preserve">“</w:t>
      </w:r>
      <w:r>
        <w:t xml:space="preserve">LLM used for copy-editing and translation assistance</w:t>
      </w:r>
      <w:r>
        <w:t xml:space="preserve">”</w:t>
      </w:r>
      <w:r>
        <w:t xml:space="preserve">).</w:t>
      </w:r>
    </w:p>
    <w:p>
      <w:pPr>
        <w:numPr>
          <w:ilvl w:val="0"/>
          <w:numId w:val="1009"/>
        </w:numPr>
        <w:pStyle w:val="Compact"/>
      </w:pPr>
      <w:r>
        <w:t xml:space="preserve">☐</w:t>
      </w:r>
      <w:r>
        <w:t xml:space="preserve"> </w:t>
      </w:r>
      <w:r>
        <w:rPr>
          <w:bCs/>
          <w:b/>
        </w:rPr>
        <w:t xml:space="preserve">Data Privacy:</w:t>
      </w:r>
      <w:r>
        <w:t xml:space="preserve"> </w:t>
      </w:r>
      <w:r>
        <w:t xml:space="preserve">I have not input sensitive, personally identifiable information (PII), or unpublished proprietary data into a public/non-secure AI model.</w:t>
      </w:r>
    </w:p>
    <w:p>
      <w:pPr>
        <w:numPr>
          <w:ilvl w:val="0"/>
          <w:numId w:val="1009"/>
        </w:numPr>
        <w:pStyle w:val="Compact"/>
      </w:pPr>
      <w:r>
        <w:t xml:space="preserve">☐</w:t>
      </w:r>
      <w:r>
        <w:t xml:space="preserve"> </w:t>
      </w:r>
      <w:r>
        <w:rPr>
          <w:bCs/>
          <w:b/>
        </w:rPr>
        <w:t xml:space="preserve">Voice Check:</w:t>
      </w:r>
      <w:r>
        <w:t xml:space="preserve"> </w:t>
      </w:r>
      <w:r>
        <w:t xml:space="preserve">I have read the final output to ensure it still sounds like</w:t>
      </w:r>
      <w:r>
        <w:t xml:space="preserve"> </w:t>
      </w:r>
      <w:r>
        <w:rPr>
          <w:iCs/>
          <w:i/>
        </w:rPr>
        <w:t xml:space="preserve">me</w:t>
      </w:r>
      <w:r>
        <w:t xml:space="preserve">, rejecting changes that made the text overly generic or</w:t>
      </w:r>
      <w:r>
        <w:t xml:space="preserve"> </w:t>
      </w:r>
      <w:r>
        <w:t xml:space="preserve">“</w:t>
      </w:r>
      <w:r>
        <w:t xml:space="preserve">robotic.</w:t>
      </w:r>
      <w:r>
        <w:t xml:space="preserve">”</w:t>
      </w:r>
    </w:p>
    <w:bookmarkEnd w:id="107"/>
    <w:bookmarkStart w:id="108" w:name="X79c653d2b792345f60f79bdcdd1875f36898e47"/>
    <w:p>
      <w:pPr>
        <w:pStyle w:val="Heading3"/>
      </w:pPr>
      <w:r>
        <w:t xml:space="preserve">4.4.4 Further Reading on AI and Epistemic Justice</w:t>
      </w:r>
    </w:p>
    <w:p>
      <w:pPr>
        <w:numPr>
          <w:ilvl w:val="0"/>
          <w:numId w:val="1010"/>
        </w:numPr>
        <w:pStyle w:val="Compact"/>
      </w:pPr>
      <w:r>
        <w:rPr>
          <w:bCs/>
          <w:b/>
        </w:rPr>
        <w:t xml:space="preserve">UNESCO Recommendation on Open Science (2021):</w:t>
      </w:r>
      <w:r>
        <w:t xml:space="preserve"> </w:t>
      </w:r>
      <w:r>
        <w:t xml:space="preserve">A foundational document outlining the global consensus on making science more accessible, inclusive, and equitable (UNESCO, 2025).</w:t>
      </w:r>
    </w:p>
    <w:p>
      <w:pPr>
        <w:numPr>
          <w:ilvl w:val="0"/>
          <w:numId w:val="1010"/>
        </w:numPr>
        <w:pStyle w:val="Compact"/>
      </w:pPr>
      <w:r>
        <w:rPr>
          <w:bCs/>
          <w:b/>
        </w:rPr>
        <w:t xml:space="preserve">The Budapest Open Access Initiative (20th Anniversary Recommendations):</w:t>
      </w:r>
      <w:r>
        <w:t xml:space="preserve"> </w:t>
      </w:r>
      <w:r>
        <w:t xml:space="preserve">Critical reading for understanding the shift from</w:t>
      </w:r>
      <w:r>
        <w:t xml:space="preserve"> </w:t>
      </w:r>
      <w:r>
        <w:t xml:space="preserve">“</w:t>
      </w:r>
      <w:r>
        <w:t xml:space="preserve">access</w:t>
      </w:r>
      <w:r>
        <w:t xml:space="preserve">”</w:t>
      </w:r>
      <w:r>
        <w:t xml:space="preserve"> </w:t>
      </w:r>
      <w:r>
        <w:t xml:space="preserve">to</w:t>
      </w:r>
      <w:r>
        <w:t xml:space="preserve"> </w:t>
      </w:r>
      <w:r>
        <w:t xml:space="preserve">“</w:t>
      </w:r>
      <w:r>
        <w:t xml:space="preserve">equity</w:t>
      </w:r>
      <w:r>
        <w:t xml:space="preserve">”</w:t>
      </w:r>
      <w:r>
        <w:t xml:space="preserve"> </w:t>
      </w:r>
      <w:r>
        <w:t xml:space="preserve">in the publishing landscape (Suber, 2004).</w:t>
      </w:r>
    </w:p>
    <w:p>
      <w:pPr>
        <w:numPr>
          <w:ilvl w:val="0"/>
          <w:numId w:val="1010"/>
        </w:numPr>
        <w:pStyle w:val="Compact"/>
      </w:pPr>
      <w:r>
        <w:rPr>
          <w:bCs/>
          <w:b/>
        </w:rPr>
        <w:t xml:space="preserve">Algorithmic Justice League:</w:t>
      </w:r>
      <w:r>
        <w:t xml:space="preserve"> </w:t>
      </w:r>
      <w:r>
        <w:t xml:space="preserve">Resources on how bias permeates AI systems and strategies to mitigate it in socio-technical systems.</w:t>
      </w:r>
    </w:p>
    <w:p>
      <w:pPr>
        <w:numPr>
          <w:ilvl w:val="0"/>
          <w:numId w:val="1010"/>
        </w:numPr>
        <w:pStyle w:val="Compact"/>
      </w:pPr>
      <w:r>
        <w:rPr>
          <w:bCs/>
          <w:b/>
        </w:rPr>
        <w:t xml:space="preserve">Committee on Publication Ethics (COPE) Guidelines on AI:</w:t>
      </w:r>
      <w:r>
        <w:t xml:space="preserve"> </w:t>
      </w:r>
      <w:r>
        <w:t xml:space="preserve">The evolving standards for how journals handle AI-generated content, essential for authors navigating the current transition period.</w:t>
      </w:r>
    </w:p>
    <w:bookmarkEnd w:id="108"/>
    <w:bookmarkEnd w:id="109"/>
    <w:bookmarkStart w:id="110" w:name="references"/>
    <w:p>
      <w:pPr>
        <w:pStyle w:val="Heading2"/>
      </w:pPr>
      <w:r>
        <w:t xml:space="preserve">References</w:t>
      </w:r>
    </w:p>
    <w:p>
      <w:pPr>
        <w:pStyle w:val="FirstParagraph"/>
      </w:pPr>
      <w:r>
        <w:t xml:space="preserve">Aucouturier, &amp; Grinbaum. (2025). Training Bioethics Professionals in AI Ethics: A Framework.</w:t>
      </w:r>
      <w:r>
        <w:t xml:space="preserve"> </w:t>
      </w:r>
      <w:r>
        <w:rPr>
          <w:iCs/>
          <w:i/>
        </w:rPr>
        <w:t xml:space="preserve">Journal of Law, Medicine &amp; Ethics</w:t>
      </w:r>
      <w:r>
        <w:t xml:space="preserve">,</w:t>
      </w:r>
      <w:r>
        <w:t xml:space="preserve"> </w:t>
      </w:r>
      <w:r>
        <w:rPr>
          <w:iCs/>
          <w:i/>
        </w:rPr>
        <w:t xml:space="preserve">53</w:t>
      </w:r>
      <w:r>
        <w:t xml:space="preserve">(1), 176-183. https://doi.org/10.1017/jme.2025.57.</w:t>
      </w:r>
    </w:p>
    <w:p>
      <w:pPr>
        <w:pStyle w:val="BodyText"/>
      </w:pPr>
      <w:r>
        <w:t xml:space="preserve">Brookings Institution. (2024).</w:t>
      </w:r>
      <w:r>
        <w:t xml:space="preserve"> </w:t>
      </w:r>
      <w:r>
        <w:rPr>
          <w:iCs/>
          <w:i/>
        </w:rPr>
        <w:t xml:space="preserve">Balancing market innovation incentives and regulation in AI: Challenges and opportunities | Brookings</w:t>
      </w:r>
      <w:r>
        <w:t xml:space="preserve">. https://www.brookings.edu/articles/balancing-market-innovation-incentives-and-regulation-in-ai-challenges-and-opportunities/</w:t>
      </w:r>
    </w:p>
    <w:p>
      <w:pPr>
        <w:pStyle w:val="BodyText"/>
      </w:pPr>
      <w:r>
        <w:t xml:space="preserve">Buck. (2017). Solving reproducibility. https://doi.org/10.31219/osf.io/dcfzw</w:t>
      </w:r>
    </w:p>
    <w:p>
      <w:pPr>
        <w:pStyle w:val="BodyText"/>
      </w:pPr>
      <w:r>
        <w:t xml:space="preserve">Deloitte. (2024).</w:t>
      </w:r>
      <w:r>
        <w:t xml:space="preserve"> </w:t>
      </w:r>
      <w:r>
        <w:rPr>
          <w:iCs/>
          <w:i/>
        </w:rPr>
        <w:t xml:space="preserve">How higher education can realize the potential of gen AI | Deloitte Insights</w:t>
      </w:r>
      <w:r>
        <w:t xml:space="preserve">. https://www.deloitte.com/us/en/insights/industry/articles-on-higher-education/generative-ai-higher-education.html</w:t>
      </w:r>
    </w:p>
    <w:p>
      <w:pPr>
        <w:pStyle w:val="BodyText"/>
      </w:pPr>
      <w:r>
        <w:t xml:space="preserve">Forouzanfar, Afshin, Alexander, Anderson, Bhutta, Biryukov, Brauer, Burnett, Cercy, Charlson, Cohen, Dandona, Estep, Ferrari, Frostad, Fullman, Gething, Godwin, Griswold, Hay, Kinfu, Kyu, Larson, Liang, Lim, Liu, Lopez, Lozano, Marczak, Mensah, Mokdad, Moradi-Lakeh, Naghavi, Neal, Reitsma, Roth, Salomon, Sur, Vos, Wagner, Wang, Zhao, Zhou, Aasvang, Abajobir, Abate, Abbafati, Abbas, Abd-Allah, Abdulle, Abera, Abraham, Abu-Raddad, Abyu, Adebiyi, Adedeji, Ademi, Adou, Adsuar, Agardh, Agarwal, Agrawal, Kiadaliri, Ajala, Akinyemiju, Al-Aly, Alam, Alam, Aldhahri, Aldridge, Alemu, Ali, Alkerwi, Alla, Allebeck, Alsharif, Altirkawi, Martin, Alvis-Guzmán, Amare, Amberbir, Amegah, Amini, Ammar, Amrock, Andersen, Anderson, Antonio, Anwari, Ärnlöv, Artaman, Asayesh, Asghar, Assadi, Atique, Avokpaho, Awasthi, Quintanilla, Azzopardi, Bacha, Badawi, Bahit, Balakrishnan, Barać, Barber, Barker-Collo, Bärnighausen, Barquera, Barregard, Barrero, Basu, Batis, Bazargan-Hejazi, Beardsley, Bedi, Beghi, Bell, Bell, Bello, Bennett, Benseñor, Berhane, Bernabé, Betsu, Beyene, Bhala, Bhansali, Bhatt, Biadgilign, Bikbov, Bisanzio, Bjertness, Blore, Borschmann, Boufous, Bourne, Brainin, Brazinova, Breitborde, Brenner, Broday, Brugha, Brunekreef, Butt, Cahill, Calabria, Campos-Nonato, Cárdenas, Carpenter, Carrero, Casey, Castañeda-Orjuela, Rivas, Castro, Catalá-López, Chang, Chiang, Chibalabala, Chimed-Ochir, Chisumpa, Chitheer, Choi, Christensen, Christopher, Ciobanu, Coates, Colquhoun, Manzano, Cooper, Cooperrider, Cornaby, Cortinovis, Crump, Cuevas-Nasu, Damasceno, Dandona, Darby, Dargan, Neves, Davis, Davletov, Castro, Cruz-Góngora, Leo, Degenhardt, Gobbo, Pozo-Cruz, Dellavalle, Deribew, Jarlais, Dharmaratne, Dhillon, Díaz-Torné, Dicker, Ding, Dorsey, Doyle, Driscoll, Duan, Dubey, Duncan, Elyazar, Endries, Ermakov, Erskine, Eshrati, Esteghamati, Fahimi, Faraon, Farid, Farinha, Faro, Farvid, Farzadfar, Feigin, Fereshtehnejad, Fernandes, Fischer, Fitchett, Fleming, Foigt, Foreman, Fowkes, Franklin, Fürst, Futran, Gakidou, García-Basteiro, Gebrehiwot, Gebremedhin, Geleijnse, Gessner, Giref, Giroud, Gishu, Giussani, Goenka, Gómez-Cabrera, Gómez-Dantés, Gona, Goodridge, Gopalani, Gotay, Goto, Gouda, Gugnani, Guillemin, Guo, Gupta, Gupta, Gutiérrez, Haagsma, Hafezi-Nejad, Haile, Hailu, Halasa, Hamadeh, Hamidi, Handal, Hankey, Hao, Harb, Harikrishnan, Haro, Hassanvand, Hassen, Havmoeller, Heredia-Pi, Hernández-Llanes, Heydarpour, Hoek, Hoffman, Horino, Horita, Hosgood, Hoy, Hsairi, Htet, Hu, Huang, Husseini, Hutchings, Huybrechts, Iburg, Idrisov, Ileanu, Inoue, Jacobs, Jacobsen, Jahanmehr, Jakovljevic, Jansen, Jassal, Javanbakht, Jayaraman, Jayatilleke, Jee, Jeemon, Jha, Jiang, Jibat, Jin, Johnson, Jonas, Kabir, Kalkonde, Kamal, Kan, Karch, Karema, Karimkhani, Kasaeian, Kaul, Kawakami, Kazi, Keiyoro, Kemmer, Kemp, Kengne, Keren, Kesavachandran, Khader, Khan, Khan, Khan, Khang, Khatibzadeh, Khera, Khoja, Khubchandani, Kieling, Kim, Kim, Kimokoti, Kissoon, Kivipelto, Knibbs, Kokubo, Kopec, Koul, Koyanagi, Kravchenko, Kromhout, Krueger, Ku, Defo, Kuchenbecker, Bicer, Kuipers, Kumar, Kwan, Lal, Lalloo, Lallukka, Lan, Larsson, Latif, Lawrynowicz, Leasher, Leigh, Leung, Levi, Li, Li, Liang, Liu, Lloyd, Logroscino, Lotufo, Lunevicius, MacIntyre, Mahdavi, Majdan, Majeed, Malekzadeh, Malta, Manamo, Mapoma, Marcenes, Martin, Martínez-Raga, Masiye, Matsushita, Matzopoulos, Mayosi, Mcgrath, Mckee, Meaney, Medina, Mehari, Mejía-Rodríguez, Mekonnen, Melaku, Memish, Mendoza, Mensink, Meretoja, Meretoja, Mesfin, Mhimbira, Millear, Miller, Mills, Mirarefin, Misganaw, Mock, Mohammadi, Mohammed, Mola, Monasta, Hernandez, Montico, Morawska, Mori, Mozaffarian, Mueller, Mullany, Mumford, Murthy, Nachega, Naheed, Nangia, Nassiri, Newton, Ng, Nguyen, Nisar, Pete, Norheim, Norman, Norrving, Nyakarahuka, Obermeyer, Ogbo, Oh, Oladimeji, Olivares, Olsen, Olusanya, Olusanya, Opio, Oren, Orozco, Ortiz, Ota, Pa, Pana, Park, Parry, Parsaeian, Patel, Caicedo, Patil, Patten, Patton, Pearce, Pereira, Perico, Pesudovs, Petzold, Phillips, Piel, Pillay, Plass, Polinder, Pond, Pope, Pope, Popova, Poulton, Pourmalek, Prasad, Qorbani, Rabiee, Radfar, Rafay, Rahimi-Movaghar, Rahman, Rahman, Rahman, Rai, Rajsic, Raju, Ram, Rana, Ranganathan, Rao, García, Refaat, Rehm, Rehm, Reinig, Remuzzi, Resnikoff, Ribeiro, Rivera, Roba, Rodriguez, Rodríguez-Ramírez, &amp; Rojas-Rueda. (2016). Global, regional, and national comparative risk assessment of 79 behavioural, environmental and occupational, and metabolic risks or clusters of risks, 1990–2015: a systematic analysis for the Global Burden of Disease Study 2015.</w:t>
      </w:r>
      <w:r>
        <w:t xml:space="preserve"> </w:t>
      </w:r>
      <w:r>
        <w:rPr>
          <w:iCs/>
          <w:i/>
        </w:rPr>
        <w:t xml:space="preserve">The Lancet</w:t>
      </w:r>
      <w:r>
        <w:t xml:space="preserve">. https://doi.org/10.1016/S0140-6736(16)31679-8.</w:t>
      </w:r>
    </w:p>
    <w:p>
      <w:pPr>
        <w:pStyle w:val="BodyText"/>
      </w:pPr>
      <w:r>
        <w:t xml:space="preserve">Kaliuzhna, &amp; Aydin. (2025).</w:t>
      </w:r>
      <w:r>
        <w:t xml:space="preserve"> </w:t>
      </w:r>
      <w:r>
        <w:rPr>
          <w:iCs/>
          <w:i/>
        </w:rPr>
        <w:t xml:space="preserve">Obstacles to Open Access publishing for researchers with weak institutional ties - epistemic injustice in academic publishing</w:t>
      </w:r>
      <w:r>
        <w:t xml:space="preserve">. Cassyni. https://doi.org/10.52843/cassyni.fgrhnc</w:t>
      </w:r>
    </w:p>
    <w:p>
      <w:pPr>
        <w:pStyle w:val="BodyText"/>
      </w:pPr>
      <w:r>
        <w:t xml:space="preserve">Khatri, Endalamaw, Darssan, &amp; Assefa. (2025). A scoping review of the levels, implementation strategies, enablers, and barriers to cervical, breast, and colorectal cancer screening among migrant populations in selected English-speaking high-income countries.</w:t>
      </w:r>
      <w:r>
        <w:t xml:space="preserve"> </w:t>
      </w:r>
      <w:r>
        <w:rPr>
          <w:iCs/>
          <w:i/>
        </w:rPr>
        <w:t xml:space="preserve">PLoS ONE</w:t>
      </w:r>
      <w:r>
        <w:t xml:space="preserve">. https://doi.org/10.1371/journal.pone.0329854.</w:t>
      </w:r>
    </w:p>
    <w:p>
      <w:pPr>
        <w:pStyle w:val="BodyText"/>
      </w:pPr>
      <w:r>
        <w:t xml:space="preserve">Masagali. (2024). The Revolution of Long-Term Care: Enhancing Efficiency and Accuracy in Medication Management Through Artificial Intelligence.</w:t>
      </w:r>
      <w:r>
        <w:t xml:space="preserve"> </w:t>
      </w:r>
      <w:r>
        <w:rPr>
          <w:iCs/>
          <w:i/>
        </w:rPr>
        <w:t xml:space="preserve">International Journal of Science and Research (IJSR)</w:t>
      </w:r>
      <w:r>
        <w:t xml:space="preserve">. https://doi.org/10.21275/sr24928120009.</w:t>
      </w:r>
    </w:p>
    <w:p>
      <w:pPr>
        <w:pStyle w:val="BodyText"/>
      </w:pPr>
      <w:r>
        <w:t xml:space="preserve">Melketo, Seiber, &amp; Bonatti. (2023). Gendered analysis of development induced displacement in the Global South: A systematic review.</w:t>
      </w:r>
      <w:r>
        <w:t xml:space="preserve"> </w:t>
      </w:r>
      <w:r>
        <w:rPr>
          <w:iCs/>
          <w:i/>
        </w:rPr>
        <w:t xml:space="preserve">European journal of sustainable development research</w:t>
      </w:r>
      <w:r>
        <w:t xml:space="preserve">. https://doi.org/10.29333/ejosdr/13296.</w:t>
      </w:r>
    </w:p>
    <w:p>
      <w:pPr>
        <w:pStyle w:val="BodyText"/>
      </w:pPr>
      <w:r>
        <w:t xml:space="preserve">Mounce. (2011).</w:t>
      </w:r>
      <w:r>
        <w:t xml:space="preserve"> </w:t>
      </w:r>
      <w:r>
        <w:rPr>
          <w:iCs/>
          <w:i/>
        </w:rPr>
        <w:t xml:space="preserve">A Conference Abstract #OpenDraft</w:t>
      </w:r>
      <w:r>
        <w:t xml:space="preserve">. Front Matter. https://doi.org/10.59350/vq7q5-20517</w:t>
      </w:r>
    </w:p>
    <w:p>
      <w:pPr>
        <w:pStyle w:val="BodyText"/>
      </w:pPr>
      <w:r>
        <w:t xml:space="preserve">NIH. (2025).</w:t>
      </w:r>
      <w:r>
        <w:t xml:space="preserve"> </w:t>
      </w:r>
      <w:r>
        <w:rPr>
          <w:iCs/>
          <w:i/>
        </w:rPr>
        <w:t xml:space="preserve">Nih%20Strategic%20Plan%20For%20Data%20Science%202025 2030.Pdf</w:t>
      </w:r>
      <w:r>
        <w:t xml:space="preserve">. https://datascience.nih.gov/sites/default/files/2025-05/NIH%20Strategic%20Plan%20for%20Data%20Science%202025-2030.pdf</w:t>
      </w:r>
    </w:p>
    <w:p>
      <w:pPr>
        <w:pStyle w:val="BodyText"/>
      </w:pPr>
      <w:r>
        <w:t xml:space="preserve">Novikov, V˜u, Eisenberger, Dupont, Huang, Wagner, Shirobokov, Kozlovskii, Ruiz, Mehrabian, Kumar, See, Chaudhuri, Holland, Davies, Nowozin, Kohli, Balog, &amp; Deepmind. (2025). AlphaEvolve: A coding agent for scientific and algorithmic discovery. https://doi.org/10.48550/arXiv.2506.13131</w:t>
      </w:r>
    </w:p>
    <w:p>
      <w:pPr>
        <w:pStyle w:val="BodyText"/>
      </w:pPr>
      <w:r>
        <w:t xml:space="preserve">Olson. (2025). The Future of Scientific Editing and Publishing: Science Editor Symposium.</w:t>
      </w:r>
      <w:r>
        <w:t xml:space="preserve"> </w:t>
      </w:r>
      <w:r>
        <w:rPr>
          <w:iCs/>
          <w:i/>
        </w:rPr>
        <w:t xml:space="preserve">Science Editor</w:t>
      </w:r>
      <w:r>
        <w:t xml:space="preserve">. https://doi.org/10.36591/se-4803-18.</w:t>
      </w:r>
    </w:p>
    <w:p>
      <w:pPr>
        <w:pStyle w:val="BodyText"/>
      </w:pPr>
      <w:r>
        <w:t xml:space="preserve">Purba, Hufad, Negara, Nasrawati, &amp; Ramdani. (2018). The implication of Baduy Dalam tribe’s closure on Indonesia’s rank in the World Economic Forum. **. https://doi.org/10.2991/acec-18.2018.98.</w:t>
      </w:r>
    </w:p>
    <w:p>
      <w:pPr>
        <w:pStyle w:val="BodyText"/>
      </w:pPr>
      <w:r>
        <w:t xml:space="preserve">Romero. (2025). AI-Assisted Statistical Writing in a Quantitative Research Methods Course.</w:t>
      </w:r>
      <w:r>
        <w:t xml:space="preserve"> </w:t>
      </w:r>
      <w:r>
        <w:rPr>
          <w:iCs/>
          <w:i/>
        </w:rPr>
        <w:t xml:space="preserve">AI-EDU Arxiv</w:t>
      </w:r>
      <w:r>
        <w:t xml:space="preserve">. https://doi.org/10.36851/ai-edu.vi.5287.</w:t>
      </w:r>
    </w:p>
    <w:p>
      <w:pPr>
        <w:pStyle w:val="BodyText"/>
      </w:pPr>
      <w:r>
        <w:t xml:space="preserve">Suber. (2004).</w:t>
      </w:r>
      <w:r>
        <w:t xml:space="preserve"> </w:t>
      </w:r>
      <w:r>
        <w:rPr>
          <w:iCs/>
          <w:i/>
        </w:rPr>
        <w:t xml:space="preserve">Misunderstanding Creative Commons licenses</w:t>
      </w:r>
      <w:r>
        <w:t xml:space="preserve">. Front Matter. https://doi.org/10.63485/q0nbe-h8832</w:t>
      </w:r>
    </w:p>
    <w:p>
      <w:pPr>
        <w:pStyle w:val="BodyText"/>
      </w:pPr>
      <w:r>
        <w:t xml:space="preserve">Thomas, Bhosale, Shukla, &amp; Kapadia. (2023). The Cost of Quality: Examining the impact of article processing charges (APCs) on the quality of open access publishing. ScienceOpen. https://doi.org/10.14293/ease.2023.009</w:t>
      </w:r>
    </w:p>
    <w:p>
      <w:pPr>
        <w:pStyle w:val="BodyText"/>
      </w:pPr>
      <w:r>
        <w:t xml:space="preserve">Turner. (2024). biorecap: an R package for summarizing bioRxiv preprints with a local LLM. **. https://www.semanticscholar.org/paper/02682c17597d40e16a001268d6b29bf09cd4463b.</w:t>
      </w:r>
    </w:p>
    <w:p>
      <w:pPr>
        <w:pStyle w:val="BodyText"/>
      </w:pPr>
      <w:r>
        <w:t xml:space="preserve">Tyler, Akerlof, Allegra, Arnold, Canino, Doornenbal, Goldstein, Budtz Pedersen, &amp; Sutherland. (2023). AI tools as science policy advisers? The potential and the pitfalls.</w:t>
      </w:r>
      <w:r>
        <w:t xml:space="preserve"> </w:t>
      </w:r>
      <w:r>
        <w:rPr>
          <w:iCs/>
          <w:i/>
        </w:rPr>
        <w:t xml:space="preserve">Nature</w:t>
      </w:r>
      <w:r>
        <w:t xml:space="preserve">,</w:t>
      </w:r>
      <w:r>
        <w:t xml:space="preserve"> </w:t>
      </w:r>
      <w:r>
        <w:rPr>
          <w:iCs/>
          <w:i/>
        </w:rPr>
        <w:t xml:space="preserve">622</w:t>
      </w:r>
      <w:r>
        <w:t xml:space="preserve">(7981), 27-30. https://doi.org/10.1038/d41586-023-02999-3.</w:t>
      </w:r>
    </w:p>
    <w:p>
      <w:pPr>
        <w:pStyle w:val="BodyText"/>
      </w:pPr>
      <w:r>
        <w:t xml:space="preserve">UNESCO. (2025).</w:t>
      </w:r>
      <w:r>
        <w:t xml:space="preserve"> </w:t>
      </w:r>
      <w:r>
        <w:rPr>
          <w:iCs/>
          <w:i/>
        </w:rPr>
        <w:t xml:space="preserve">Implementation of the UNESCO Recommendation on Open Science | UNESCO</w:t>
      </w:r>
      <w:r>
        <w:t xml:space="preserve">. https://www.unesco.org/en/open-science/implementation</w:t>
      </w:r>
    </w:p>
    <w:p>
      <w:pPr>
        <w:pStyle w:val="BodyText"/>
      </w:pPr>
      <w:r>
        <w:t xml:space="preserve">Zhang. (2025). From automation technology to generative AI: skill heterogeneity in technology’s impact on laborers.</w:t>
      </w:r>
      <w:r>
        <w:t xml:space="preserve"> </w:t>
      </w:r>
      <w:r>
        <w:rPr>
          <w:iCs/>
          <w:i/>
        </w:rPr>
        <w:t xml:space="preserve">The Journal of Chinese Sociology</w:t>
      </w:r>
      <w:r>
        <w:t xml:space="preserve">,</w:t>
      </w:r>
      <w:r>
        <w:t xml:space="preserve"> </w:t>
      </w:r>
      <w:r>
        <w:rPr>
          <w:iCs/>
          <w:i/>
        </w:rPr>
        <w:t xml:space="preserve">12</w:t>
      </w:r>
      <w:r>
        <w:t xml:space="preserve">(1). https://doi.org/10.1186/s40711-025-00249-9.</w:t>
      </w:r>
    </w:p>
    <w:bookmarkEnd w:id="110"/>
    <w:bookmarkEnd w:id="111"/>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ind w:firstLine="720"/>
      <w:jc w:val="both"/>
    </w:pPr>
    <w:rPr>
      <w:rFonts w:ascii="Times New Roman" w:hAnsi="Times New Roman"/>
      <w:sz w:val="24"/>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line="480" w:lineRule="auto"/>
    </w:pPr>
    <w:rPr>
      <w:rFonts w:ascii="Times New Roman" w:hAnsi="Times New Roman"/>
      <w:sz w:val="24"/>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480" w:lineRule="auto"/>
      <w:jc w:val="left"/>
      <w:outlineLvl w:val="0"/>
    </w:pPr>
    <w:rPr>
      <w:rFonts w:ascii="Times New Roman" w:asciiTheme="majorHAnsi" w:cstheme="majorBidi" w:eastAsiaTheme="majorEastAsia" w:hAnsi="Times New Roman" w:hAnsiTheme="majorHAnsi"/>
      <w:b/>
      <w:bCs/>
      <w:color w:themeColor="accent1" w:val="4F81BD"/>
      <w:sz w:val="28"/>
      <w:szCs w:val="32"/>
    </w:rPr>
  </w:style>
  <w:style w:styleId="Heading2" w:type="paragraph">
    <w:name w:val="Heading 2"/>
    <w:basedOn w:val="Normal"/>
    <w:next w:val="BodyText"/>
    <w:uiPriority w:val="9"/>
    <w:unhideWhenUsed/>
    <w:qFormat/>
    <w:pPr>
      <w:keepNext/>
      <w:keepLines/>
      <w:spacing w:after="120" w:before="240" w:line="480" w:lineRule="auto"/>
      <w:jc w:val="left"/>
      <w:outlineLvl w:val="1"/>
    </w:pPr>
    <w:rPr>
      <w:rFonts w:ascii="Times New Roman" w:asciiTheme="majorHAnsi" w:cstheme="majorBidi" w:eastAsiaTheme="majorEastAsia" w:hAnsi="Times New Roman" w:hAnsiTheme="majorHAnsi"/>
      <w:b/>
      <w:bCs/>
      <w:color w:themeColor="accent1" w:val="4F81BD"/>
      <w:sz w:val="26"/>
      <w:szCs w:val="28"/>
    </w:rPr>
  </w:style>
  <w:style w:styleId="Heading3" w:type="paragraph">
    <w:name w:val="Heading 3"/>
    <w:basedOn w:val="Normal"/>
    <w:next w:val="BodyText"/>
    <w:uiPriority w:val="9"/>
    <w:unhideWhenUsed/>
    <w:qFormat/>
    <w:pPr>
      <w:keepNext/>
      <w:keepLines/>
      <w:spacing w:after="120" w:before="240" w:line="480" w:lineRule="auto"/>
      <w:jc w:val="left"/>
      <w:outlineLvl w:val="2"/>
    </w:pPr>
    <w:rPr>
      <w:rFonts w:ascii="Times New Roman" w:asciiTheme="majorHAnsi" w:cstheme="majorBidi" w:eastAsiaTheme="majorEastAsia" w:hAnsi="Times New Roman" w:hAnsiTheme="majorHAnsi"/>
      <w:b w:val="0"/>
      <w:bCs/>
      <w:i/>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OpenDraft Will Save The World: Democratizing Academic Research Through AI</dc:title>
  <dc:creator>Federico De Ponte</dc:creator>
  <cp:keywords/>
  <dcterms:created xsi:type="dcterms:W3CDTF">2022-01-01T05:00:00Z</dcterms:created>
  <dcterms:modified xsi:type="dcterms:W3CDTF">2022-01-01T05:00:00Z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isor">
    <vt:lpwstr>Prof. Dr. Maria Schmidt</vt:lpwstr>
  </property>
  <property fmtid="{D5CDD505-2E9C-101B-9397-08002B2CF9AE}" pid="3" name="date">
    <vt:lpwstr>December 2025</vt:lpwstr>
  </property>
  <property fmtid="{D5CDD505-2E9C-101B-9397-08002B2CF9AE}" pid="4" name="degree">
    <vt:lpwstr>Master of Science</vt:lpwstr>
  </property>
  <property fmtid="{D5CDD505-2E9C-101B-9397-08002B2CF9AE}" pid="5" name="department">
    <vt:lpwstr>Department of Computer Science</vt:lpwstr>
  </property>
  <property fmtid="{D5CDD505-2E9C-101B-9397-08002B2CF9AE}" pid="6" name="faculty">
    <vt:lpwstr>Faculty of Electrical Engineering and Computer Science</vt:lpwstr>
  </property>
  <property fmtid="{D5CDD505-2E9C-101B-9397-08002B2CF9AE}" pid="7" name="generated_by">
    <vt:lpwstr>OpenDraft AI - https://github.com/federicodeponte/opendraft</vt:lpwstr>
  </property>
  <property fmtid="{D5CDD505-2E9C-101B-9397-08002B2CF9AE}" pid="8" name="institution">
    <vt:lpwstr>Technical University of Berlin</vt:lpwstr>
  </property>
  <property fmtid="{D5CDD505-2E9C-101B-9397-08002B2CF9AE}" pid="9" name="location">
    <vt:lpwstr>Berlin</vt:lpwstr>
  </property>
  <property fmtid="{D5CDD505-2E9C-101B-9397-08002B2CF9AE}" pid="10" name="pages">
    <vt:lpwstr>45</vt:lpwstr>
  </property>
  <property fmtid="{D5CDD505-2E9C-101B-9397-08002B2CF9AE}" pid="11" name="project_type">
    <vt:lpwstr>Master Thesis</vt:lpwstr>
  </property>
  <property fmtid="{D5CDD505-2E9C-101B-9397-08002B2CF9AE}" pid="12" name="second_examiner">
    <vt:lpwstr>Prof. Dr. Hans Weber</vt:lpwstr>
  </property>
  <property fmtid="{D5CDD505-2E9C-101B-9397-08002B2CF9AE}" pid="13" name="student_id">
    <vt:lpwstr>123456</vt:lpwstr>
  </property>
  <property fmtid="{D5CDD505-2E9C-101B-9397-08002B2CF9AE}" pid="14" name="word_count">
    <vt:lpwstr>11,300 words</vt:lpwstr>
  </property>
</Properties>
</file>