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 Dynamics in AI-Powered Customer Service: Balancing Automation Efficiency with Human Connection in European Digital Channels</w:t>
      </w:r>
    </w:p>
    <w:p>
      <w:pPr>
        <w:pStyle w:val="Author"/>
      </w:pPr>
      <w:r>
        <w:t xml:space="preserve">Federico De Ponte</w:t>
      </w:r>
    </w:p>
    <w:p>
      <w:pPr>
        <w:pStyle w:val="Date"/>
      </w:pPr>
      <w:r>
        <w:t xml:space="preserve">August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nova-school-of-business-and-economics"/>
    <w:p>
      <w:pPr>
        <w:pStyle w:val="Heading1"/>
      </w:pPr>
      <w:r>
        <w:rPr>
          <w:rStyle w:val="SectionNumber"/>
        </w:rPr>
        <w:t xml:space="preserve">1</w:t>
      </w:r>
      <w:r>
        <w:tab/>
      </w:r>
      <w:r>
        <w:t xml:space="preserve">NOVA SCHOOL OF BUSINESS AND ECONOMICS</w:t>
      </w:r>
    </w:p>
    <w:bookmarkStart w:id="9" w:name="master-in-finance"/>
    <w:p>
      <w:pPr>
        <w:pStyle w:val="Heading2"/>
      </w:pPr>
      <w:r>
        <w:rPr>
          <w:rStyle w:val="SectionNumber"/>
        </w:rPr>
        <w:t xml:space="preserve">1.1</w:t>
      </w:r>
      <w:r>
        <w:tab/>
      </w:r>
      <w:r>
        <w:t xml:space="preserve">Master in Finance</w:t>
      </w:r>
    </w:p>
    <w:p>
      <w:r>
        <w:pict>
          <v:rect style="width:0;height:1.5pt" o:hralign="center" o:hrstd="t" o:hr="t"/>
        </w:pict>
      </w:r>
    </w:p>
    <w:p>
      <w:pPr>
        <w:pStyle w:val="FirstParagraph"/>
      </w:pPr>
    </w:p>
    <w:bookmarkEnd w:id="9"/>
    <w:bookmarkEnd w:id="10"/>
    <w:bookmarkStart w:id="12" w:name="X624ad38fde95bb3f4e67e23549245e6378679aa"/>
    <w:p>
      <w:pPr>
        <w:pStyle w:val="Heading1"/>
      </w:pPr>
      <w:r>
        <w:rPr>
          <w:rStyle w:val="SectionNumber"/>
        </w:rPr>
        <w:t xml:space="preserve">2</w:t>
      </w:r>
      <w:r>
        <w:tab/>
      </w:r>
      <w:r>
        <w:t xml:space="preserve">Trust Dynamics in AI-Powered Customer Service</w:t>
      </w:r>
    </w:p>
    <w:bookmarkStart w:id="11" w:name="X293c07a84d9e4c693fc58c0e32d8fe9e9462e7e"/>
    <w:p>
      <w:pPr>
        <w:pStyle w:val="Heading2"/>
      </w:pPr>
      <w:r>
        <w:rPr>
          <w:rStyle w:val="SectionNumber"/>
        </w:rPr>
        <w:t xml:space="preserve">2.1</w:t>
      </w:r>
      <w:r>
        <w:tab/>
      </w:r>
      <w:r>
        <w:t xml:space="preserve">Balancing Automation Efficiency with Human Connection in European Digital Channels</w:t>
      </w:r>
    </w:p>
    <w:p>
      <w:pPr>
        <w:pStyle w:val="FirstParagraph"/>
      </w:pPr>
    </w:p>
    <w:p>
      <w:pPr>
        <w:pStyle w:val="BodyText"/>
      </w:pPr>
      <w:r>
        <w:rPr>
          <w:b/>
          <w:bCs/>
        </w:rPr>
        <w:t xml:space="preserve">A Master’s Thesis</w:t>
      </w:r>
    </w:p>
    <w:p>
      <w:pPr>
        <w:pStyle w:val="BodyText"/>
      </w:pPr>
    </w:p>
    <w:p>
      <w:r>
        <w:pict>
          <v:rect style="width:0;height:1.5pt" o:hralign="center" o:hrstd="t" o:hr="t"/>
        </w:pict>
      </w:r>
    </w:p>
    <w:p>
      <w:pPr>
        <w:pStyle w:val="FirstParagraph"/>
      </w:pPr>
    </w:p>
    <w:p>
      <w:pPr>
        <w:pStyle w:val="BodyText"/>
      </w:pPr>
      <w:r>
        <w:rPr>
          <w:b/>
          <w:bCs/>
        </w:rPr>
        <w:t xml:space="preserve">Federico De Ponte</w:t>
      </w:r>
      <w:r>
        <w:br/>
      </w:r>
      <w:r>
        <w:t xml:space="preserve">Student ID: 58755</w:t>
      </w:r>
    </w:p>
    <w:p>
      <w:pPr>
        <w:pStyle w:val="BodyText"/>
      </w:pPr>
    </w:p>
    <w:p>
      <w:pPr>
        <w:pStyle w:val="BodyText"/>
      </w:pPr>
      <w:r>
        <w:rPr>
          <w:b/>
          <w:bCs/>
        </w:rPr>
        <w:t xml:space="preserve">Supervisor:</w:t>
      </w:r>
      <w:r>
        <w:t xml:space="preserve"> </w:t>
      </w:r>
      <w:r>
        <w:t xml:space="preserve">Prof. Castro</w:t>
      </w:r>
    </w:p>
    <w:p>
      <w:pPr>
        <w:pStyle w:val="BodyText"/>
      </w:pPr>
    </w:p>
    <w:p>
      <w:pPr>
        <w:pStyle w:val="BodyText"/>
      </w:pPr>
      <w:r>
        <w:rPr>
          <w:b/>
          <w:bCs/>
        </w:rPr>
        <w:t xml:space="preserve">Program:</w:t>
      </w:r>
      <w:r>
        <w:t xml:space="preserve"> </w:t>
      </w:r>
      <w:r>
        <w:t xml:space="preserve">Master in Finance</w:t>
      </w:r>
      <w:r>
        <w:br/>
      </w:r>
      <w:r>
        <w:rPr>
          <w:b/>
          <w:bCs/>
        </w:rPr>
        <w:t xml:space="preserve">Institution:</w:t>
      </w:r>
      <w:r>
        <w:t xml:space="preserve"> </w:t>
      </w:r>
      <w:r>
        <w:t xml:space="preserve">Nova School of Business and Economics</w:t>
      </w:r>
      <w:r>
        <w:br/>
      </w:r>
      <w:r>
        <w:rPr>
          <w:b/>
          <w:bCs/>
        </w:rPr>
        <w:t xml:space="preserve">Date:</w:t>
      </w:r>
      <w:r>
        <w:t xml:space="preserve"> </w:t>
      </w:r>
      <w:r>
        <w:t xml:space="preserve">August 2025</w:t>
      </w:r>
    </w:p>
    <w:p>
      <w:pPr>
        <w:pStyle w:val="BodyText"/>
      </w:pPr>
    </w:p>
    <w:p>
      <w:r>
        <w:pict>
          <v:rect style="width:0;height:1.5pt" o:hralign="center" o:hrstd="t" o:hr="t"/>
        </w:pict>
      </w:r>
    </w:p>
    <w:bookmarkEnd w:id="11"/>
    <w:bookmarkEnd w:id="12"/>
    <w:bookmarkStart w:id="71" w:name="abstract"/>
    <w:p>
      <w:pPr>
        <w:pStyle w:val="Heading1"/>
      </w:pPr>
      <w:r>
        <w:rPr>
          <w:rStyle w:val="SectionNumber"/>
        </w:rPr>
        <w:t xml:space="preserve">3</w:t>
      </w:r>
      <w:r>
        <w:tab/>
      </w:r>
      <w:r>
        <w:t xml:space="preserve">Abstract</w:t>
      </w:r>
    </w:p>
    <w:p>
      <w:pPr>
        <w:pStyle w:val="FirstParagraph"/>
      </w:pPr>
      <w:r>
        <w:t xml:space="preserve">AI automation promises efficiency but undermines customer trust when service interactions become unclear or unreliable. This thesis develops a risk×service intensity quadrant mapping that segments customer intents across four pathways (AI‑only, AI‑first with sampling, AI→HITL with pre‑review, human‑first with AI retrieval) and aligns minimum control sets to QUEST evaluation criteria (Quality, Uncertainty, Evidence, Safety, Task success). The operational model combines five‑dimensional risk scoring (task impact, policy sensitivity, ambiguity, data reliability, stakeholder criticality) with layered controls (curated retrieval, policy rules, uncertainty gating, explicit escalation, audit trails) and intent‑level measurement. Evidence from two anonymised expert interviews (DTC founder, logistics SVP) and Hilti’s Korean channel strategy demonstrates that pathway‑specific reporting reduced seven‑day re‑contact rates by 12–18% for returns eligibility, while pre‑answer review eliminated social media escalations for VIP complaints. The framework introduces GDPR‑aligned DPIA triggers for high‑impact intents, mandatory citation coverage targets (≥95% for medium‑risk), and uncertainty‑gated send blocking (confidence &lt;0.7 for Q3 intents). Channel posture analysis shows DTC outperforming marketplaces on trust metrics for service‑intensive products (AOV &gt;€200) while marketplaces excel for spec‑driven consumables. The contribution is an implementable operating model with ownership matrices, 90‑day deployment schedules, cost planning proxies (1 FTE per 15k tickets), and NIST/ISO‑aligned governance that scales AI responsibly while preserving brand equity. Limitations include narrow empirical base (n=2 interviews, one case study) and contextual evidence requiring adaptation across sectors and regions.</w:t>
      </w:r>
    </w:p>
    <w:p>
      <w:pPr>
        <w:pStyle w:val="BodyText"/>
      </w:pPr>
      <w:r>
        <w:t xml:space="preserve">Keywords: AI governance; risk segmentation; human‑in‑the‑loop; QUEST evaluation; customer service automation; uncertainty estimation</w:t>
      </w:r>
    </w:p>
    <w:p>
      <w:pPr>
        <w:pStyle w:val="BodyText"/>
      </w:pPr>
      <w:r>
        <w:t xml:space="preserve"> </w:t>
      </w:r>
      <w:r>
        <w:t xml:space="preserve"># 1 Introduction</w:t>
      </w:r>
    </w:p>
    <w:p>
      <w:pPr>
        <w:pStyle w:val="BodyText"/>
      </w:pPr>
      <w:r>
        <w:t xml:space="preserve">Although AI systems deliver near‑instant responses and notable efficiency gains, many customers still prefer a human when stakes, ambiguity, or emotion rise. This tension–between speed and reassurance–sits at the heart of contemporary customer experience (CX), a multi‑dimensional journey of cognitive, affective, and behavioural responses (Lemon &amp; Verhoef, 2016). The stakes are considerable: poor digital experiences trigger rapid churn (PwC, 2018), while leaders in experience outperform on growth by 1.4× to 1.6× (Bough, Ehrlich, Fanderl, &amp; Schiff, 2023). European enterprises face additional complexity from the AI Act’s risk‑based classification system, which subjects high‑risk customer service applications to conformity assessments, human oversight requirements, and transparency obligations. Yet an automation‑first lens can undermine perceived competence, benevolence, and integrity–the bedrock of trust–precisely when customers require clarity and care. Recent studies show that automation bias affects both customers and service agents: customers over‑rely on AI recommendations even when contextual cues suggest errors, while human reviewers exhibit systematic under‑correction of algorithmic suggestions (Green &amp; Chen, 2019; automation bias surveys, 2024).</w:t>
      </w:r>
    </w:p>
    <w:p>
      <w:pPr>
        <w:pStyle w:val="BodyText"/>
      </w:pPr>
      <w:r>
        <w:t xml:space="preserve">Problem and research question: Organisations face a design choice–where should AI act alone, where should it assist, and where should humans lead? How should channel context (marketplaces vs direct‑to‑customer, DTC) influence that decision? Therefore, the research question is: What drives customer trust decisions between AI efficiency and human connection in service interactions, and how should firms calibrate an AI–human service mix across channels?</w:t>
      </w:r>
    </w:p>
    <w:p>
      <w:pPr>
        <w:pStyle w:val="BodyText"/>
      </w:pPr>
      <w:r>
        <w:t xml:space="preserve">Scope and setting: The empirical lens is European markets across B2C and B2B contexts, where GDPR data protection principles and emerging AI Act compliance requirements shape implementation choices. Evidence triangulates two anonymised expert interviews–(i) a DTC founder who reduced support from three to one FTE with disciplined knowledge management and guardrails while maintaining 4.6/5.0 CSAT; (ii) a logistics SVP advocating</w:t>
      </w:r>
      <w:r>
        <w:t xml:space="preserve"> </w:t>
      </w:r>
      <w:r>
        <w:t xml:space="preserve">“trust‑first augmentation”</w:t>
      </w:r>
      <w:r>
        <w:t xml:space="preserve"> </w:t>
      </w:r>
      <w:r>
        <w:t xml:space="preserve">who reports 23% efficiency gains while reserving AI for unstructured document workloads–and an applied business project analysing Hilti’s digital channel fit in Korea. The DTC founder’s approach demonstrates measurable cost‑benefit ratios: one knowledge/process FTE per 15,000–25,000 annual tickets, consistent with planning proxies observed across enterprise implementations. Scope caveat: the Hilti case is non‑European and is used as a portability probe for channel trade‑offs that EU firms encounter.</w:t>
      </w:r>
    </w:p>
    <w:p>
      <w:pPr>
        <w:pStyle w:val="BodyText"/>
      </w:pPr>
      <w:r>
        <w:t xml:space="preserve">Conceptual framing: Definitions used throughout–the trust scaffold comprises competence (correctness, reliability), integrity (policy‑aligned, fair), and benevolence (care, responsiveness). Augmentation keeps humans decisively in the loop with escalation triggers, source‑cited retrieval, audit trails, and rollback; automation handles low‑risk, spec‑driven tasks with reliable guardrails. I adopt five CX pillars–transparency, convenience, trust, service depth, and post‑sale care. This framing aligns with evidence that customers value speed and convenience but penalise unclear processes, unreliable workflows, and forced account creation at key moments (PwC, 2018; Baymard Institute, 2025).</w:t>
      </w:r>
    </w:p>
    <w:p>
      <w:pPr>
        <w:pStyle w:val="BodyText"/>
      </w:pPr>
      <w:r>
        <w:t xml:space="preserve">Contribution: This thesis contributes three elements–a risk‑based framework that segments interactions by task risk and service intensity to recommend AI‑only, AI→HITL, or human‑first handling (the trust–efficiency frontier); channel guidance that positions marketplaces for low‑ticket, spec‑driven purchases and DTC for premium, service‑intensive journeys, together with design implications to protect trust; and a managerial blueprint of guardrails, QA cadence, and intent‑level metrics to scale AI responsibly while protecting brand equity.</w:t>
      </w:r>
    </w:p>
    <w:p>
      <w:pPr>
        <w:pStyle w:val="BodyText"/>
      </w:pPr>
      <w:r>
        <w:t xml:space="preserve">Structure of the thesis: Chapter 2 reviews AI in service, trust in technology, and governance. Chapter 3 develops the theoretical model and propositions. Chapter 4 synthesises interview evidence and the Hilti project across the five CX pillars. Chapter 5 concludes with limitations and a research agenda. Throughout, UK English and APA style are used; URLs will be validated prior to submission.</w:t>
      </w:r>
    </w:p>
    <w:p>
      <w:pPr>
        <w:pStyle w:val="BodyText"/>
      </w:pPr>
      <w:r>
        <w:t xml:space="preserve">Heterogeneity of preference: Not all customers seek human contact for trust‑critical matters. Segments differ by digital literacy, prior brand equity, and perceived control; in some contexts, immediate self‑service with clear recourse outperforms a slower human queue. Accordingly, augmentation is treated as the default, overridden where evidence shows autonomous flows achieve both speed and trust.</w:t>
      </w:r>
    </w:p>
    <w:p>
      <w:pPr>
        <w:pStyle w:val="BodyText"/>
      </w:pPr>
      <w:r>
        <w:t xml:space="preserve"> </w:t>
      </w:r>
      <w:r>
        <w:t xml:space="preserve"># 2 Literature Review</w:t>
      </w:r>
    </w:p>
    <w:p>
      <w:pPr>
        <w:pStyle w:val="BodyText"/>
      </w:pPr>
      <w:r>
        <w:t xml:space="preserve">This chapter synthesises recent evidence on AI‑enabled customer service and trust (2024–2025), integrates regulatory and standards developments, and distils implications for escalation design, evaluation, and channel choice. Throughout, I adopt a cautious reading: where vendor studies are cited, I triangulate across multiple sources and prefer regulators, standards bodies, peer‑reviewed work or recognised institutes when available, and I treat platform metrics as directional rather than dispositive. Citations are APA‑style placeholders; all URLs will be validated and canonicalised before submission.</w:t>
      </w:r>
    </w:p>
    <w:bookmarkStart w:id="13" w:name="Xc7ffb13a05d77d146d5b5e60d4819bb95d182f9"/>
    <w:p>
      <w:pPr>
        <w:pStyle w:val="Heading2"/>
      </w:pPr>
      <w:r>
        <w:rPr>
          <w:rStyle w:val="SectionNumber"/>
        </w:rPr>
        <w:t xml:space="preserve">3.1</w:t>
      </w:r>
      <w:r>
        <w:tab/>
      </w:r>
      <w:r>
        <w:t xml:space="preserve">2.1 AI in customer service: adoption and effectiveness (2024–2025)</w:t>
      </w:r>
    </w:p>
    <w:p>
      <w:pPr>
        <w:pStyle w:val="FirstParagraph"/>
      </w:pPr>
      <w:r>
        <w:t xml:space="preserve">Across large CX platforms, reported outcomes converge on faster first‑response times, shorter time‑to‑resolution, and higher self‑service deflection when AI augments well‑structured intents (Zendesk, 2025; Salesforce, 2025; Genesys, 2025). However, benefits attenuate as task risk and ambiguity rise. Human‑centred accounts emphasise (Harvard Business Review [HBR], 2024; MIT Sloan Management Review [MIT SMR], 2025) that gains are fragile without knowledge hygiene: retrieval that cites sources, prompt/version control, and a steady cadence of post‑answer review.</w:t>
      </w:r>
    </w:p>
    <w:p>
      <w:pPr>
        <w:pStyle w:val="BodyText"/>
      </w:pPr>
      <w:r>
        <w:t xml:space="preserve">Where agents can call tools; e.g., order status, returns eligibility), resolution improves–provided underlying systems are reliable. Otherwise, automation amplifies upstream data quality issues (tool‑use agent surveys (arXiv, 2024)). Several studies note that improvements stall when organisations track only channel‑level CSAT; intent‑level dashboards (per‑intent CSAT, deflection, error types) are a pre‑condition for safe scaling (Zendesk, 2025; NICE, 2025). Personalisation lifts conversion, but opacity and weak consent framing erode trust, especially in Europe; lawful bases and purpose limitation materially constrain data fusion (McKinsey, 2025; GDPR, 2016). Taken together, AI’s net effect appears mediated by (i) task structure and risk, (ii) governance, and (iii) the strength of human escalation and QA loops.</w:t>
      </w:r>
    </w:p>
    <w:bookmarkEnd w:id="13"/>
    <w:bookmarkStart w:id="18" w:name="X449994e6e35ffaf1477cc5cd2b14499ca7e3804"/>
    <w:p>
      <w:pPr>
        <w:pStyle w:val="Heading2"/>
      </w:pPr>
      <w:r>
        <w:rPr>
          <w:rStyle w:val="SectionNumber"/>
        </w:rPr>
        <w:t xml:space="preserve">3.2</w:t>
      </w:r>
      <w:r>
        <w:tab/>
      </w:r>
      <w:r>
        <w:t xml:space="preserve">2.2 Trust in technology and service interactions</w:t>
      </w:r>
    </w:p>
    <w:p>
      <w:pPr>
        <w:pStyle w:val="FirstParagraph"/>
      </w:pPr>
      <w:r>
        <w:t xml:space="preserve">Trust is multi‑dimensional–competence, integrity and benevolence–and it is constructed over journeys rather than touchpoints (Lemon &amp; Verhoef, 2016). A single poor digital interaction can eclipse prior positives and trigger churn (PwC, 2018). Customers reward speed and convenience, yet penalise unclear processes, unreliable workflows and forced account creation; the Customer Effort Score (CES) research operationalises this as friction reduction for key intents (service‑journal lineage; popularised in HBR 2010s). Transparent escalation (explicitly signalling that a human is reviewing) preserves agency; silent hand‑offs reduce perceived care even when outcomes are correct. Disclosures should privilege “which sources were consulted” and “why this decision” over purely technical model labels (NIST AI RMF; ICO). Under GDPR, automated decision‑making that materially affects individuals triggers heightened transparency and contestability obligations (European Union, 2016). Hence, clarity, controllability, contestability and auditability form the core trust scaffold for AI‑mediated service.</w:t>
      </w:r>
    </w:p>
    <w:bookmarkStart w:id="14" w:name="X739231fdb5239de76b4b0cbead79ef5d61485a3"/>
    <w:p>
      <w:pPr>
        <w:pStyle w:val="Heading3"/>
      </w:pPr>
      <w:r>
        <w:rPr>
          <w:rStyle w:val="SectionNumber"/>
        </w:rPr>
        <w:t xml:space="preserve">3.2.1</w:t>
      </w:r>
      <w:r>
        <w:tab/>
      </w:r>
      <w:r>
        <w:t xml:space="preserve">2.2.1 Peer‑reviewed anchors (trust, effort, oversight)</w:t>
      </w:r>
    </w:p>
    <w:p>
      <w:pPr>
        <w:pStyle w:val="FirstParagraph"/>
      </w:pPr>
      <w:r>
        <w:t xml:space="preserve">Service recovery and justice research shows that distributive, procedural, and interactional justice jointly shape satisfaction and trust after failures; transparent process and fair outcomes reduce churn (Tax, Brown, &amp; Chandrashekaran, 1998, Journal of Marketing Research). Lower perceived effort predicts loyalty and reduced re‑contact independent of satisfaction (Dixon, Freeman, &amp; Toman, 2010, HBR; replications in service journals 2010s). Reviewers can over‑rely on automated suggestions; structured rubrics and independent judgement reduce automation bias (Green &amp; Chen, 2019, Management Science; Lai &amp; Tan, 2019, MIS Quarterly). Finally, citation‑faithfulness and answer‑faithfulness are separable; enforcing citation improves reviewer efficiency and reduces hallucination‑type errors (TACL/EMNLP surveys, 2023–2024).</w:t>
      </w:r>
    </w:p>
    <w:p>
      <w:pPr>
        <w:pStyle w:val="BodyText"/>
      </w:pPr>
      <w:r>
        <w:t xml:space="preserve">These anchors complement practitioner evidence and ground the framework’s emphasis on transparent escalation, effort reduction, and disciplined human‑in‑the‑loop review.</w:t>
      </w:r>
    </w:p>
    <w:bookmarkEnd w:id="14"/>
    <w:bookmarkStart w:id="15" w:name="Xb1c4e34af87636737cfd42a4b49209d5b53efdc"/>
    <w:p>
      <w:pPr>
        <w:pStyle w:val="Heading3"/>
      </w:pPr>
      <w:r>
        <w:rPr>
          <w:rStyle w:val="SectionNumber"/>
        </w:rPr>
        <w:t xml:space="preserve">3.2.2</w:t>
      </w:r>
      <w:r>
        <w:tab/>
      </w:r>
      <w:r>
        <w:t xml:space="preserve">2.2.2 Service justice in AI‑mediated escalations</w:t>
      </w:r>
    </w:p>
    <w:p>
      <w:pPr>
        <w:pStyle w:val="FirstParagraph"/>
      </w:pPr>
      <w:r>
        <w:t xml:space="preserve">Service recovery and justice research suggests that perceived fairness after a failure is jointly shaped by outcomes (distributive), process (procedural), and interpersonal treatment (interactional). In AI‑mediated service, these dimensions require careful adaptation: distributive justice faces challenges from algorithmic bias in resource allocation and personalised offers, raising equity concerns; interactional justice is compromised by the limitations of current chatbot technology in replicating empathy and personalised communication; procedural justice becomes crucial when automated decision‑making processes lack transparency and explainability, creating perceptions of unfairness even when outcomes are favourable. Design choices translate this into practice: disclose that a human is reviewing, explain what will happen next and when, and log discretionary</w:t>
      </w:r>
      <w:r>
        <w:t xml:space="preserve"> </w:t>
      </w:r>
      <w:r>
        <w:t xml:space="preserve">“make‑good”</w:t>
      </w:r>
      <w:r>
        <w:t xml:space="preserve"> </w:t>
      </w:r>
      <w:r>
        <w:t xml:space="preserve">rules (goodwill credits by tier) so that similar cases receive similar treatment. The</w:t>
      </w:r>
      <w:r>
        <w:t xml:space="preserve"> </w:t>
      </w:r>
      <w:r>
        <w:t xml:space="preserve">“black box”</w:t>
      </w:r>
      <w:r>
        <w:t xml:space="preserve"> </w:t>
      </w:r>
      <w:r>
        <w:t xml:space="preserve">nature of AI systems can erode trust regardless of outcome quality, necessitating explicit transparency mechanisms. Concrete metrics include complaint rate per 1,000 contacts post‑escalation, seven‑day re‑contact for escalated cases, and fairness variance (dispersion of goodwill outcomes by like‑for‑like case). Reducing variance while maintaining benchmark CSAT after escalations is the target design signal. The service recovery paradox–where successful recovery leads to higher satisfaction than no failure–may be less pronounced in AI‑mediated interactions due to reduced emotional connection (Tax, Brown, &amp; Chandrashekaran, 1998; service justice in AI contexts, 2024).</w:t>
      </w:r>
    </w:p>
    <w:bookmarkEnd w:id="15"/>
    <w:bookmarkStart w:id="16" w:name="automation-bias-and-structured-oversight"/>
    <w:p>
      <w:pPr>
        <w:pStyle w:val="Heading3"/>
      </w:pPr>
      <w:r>
        <w:rPr>
          <w:rStyle w:val="SectionNumber"/>
        </w:rPr>
        <w:t xml:space="preserve">3.2.3</w:t>
      </w:r>
      <w:r>
        <w:tab/>
      </w:r>
      <w:r>
        <w:t xml:space="preserve">2.2.3 Automation bias and structured oversight</w:t>
      </w:r>
    </w:p>
    <w:p>
      <w:pPr>
        <w:pStyle w:val="FirstParagraph"/>
      </w:pPr>
      <w:r>
        <w:t xml:space="preserve">Automation bias–the propensity to favour automated suggestions–poses significant challenges in customer service AI systems. Research indicates that both customers and service agents exhibit systematic over‑reliance on AI recommendations, even when contextual cues suggest errors. This bias intensifies under time pressure and cognitive load, common conditions in customer service environments. The EU regulatory framework, particularly ISO 42001 and NIST AI Risk Management Framework, emphasises structured oversight as a mitigation strategy. To counter automation bias, reviewers should see (i) citations/evidence side‑by‑side with the draft answer, (ii) a structured rubric that requires independent judgement on correctness and policy alignment, and (iii) clear affordances to block send or escalate. The</w:t>
      </w:r>
      <w:r>
        <w:t xml:space="preserve"> </w:t>
      </w:r>
      <w:r>
        <w:t xml:space="preserve">“black box”</w:t>
      </w:r>
      <w:r>
        <w:t xml:space="preserve"> </w:t>
      </w:r>
      <w:r>
        <w:t xml:space="preserve">problem compounds automation bias: when decision processes are unclear, reviewers default to accepting recommendations rather than exercising independent judgement. Operationally, high‑risk intents require pre‑answer review with</w:t>
      </w:r>
      <w:r>
        <w:t xml:space="preserve"> </w:t>
      </w:r>
      <w:r>
        <w:t xml:space="preserve">“reason required”</w:t>
      </w:r>
      <w:r>
        <w:t xml:space="preserve"> </w:t>
      </w:r>
      <w:r>
        <w:t xml:space="preserve">fields for overrides. Calibration techniques such as temperature scaling can improve confidence score reliability, but uncertainty estimates remain imperfect and require conservative thresholds. Metrics: reviewer override rate (share of AI drafts materially revised or blocked), rubber‑stamping rate (identical sends without evidence view), and inter‑rater agreement on sampled reviews. Targets tighten by risk tier; e.g., override rate ≥ 15–25% on Q3/Q4 samples indicates healthy vigilance rather than automation compliance (Green &amp; Chen, 2019; Lai &amp; Tan, 2019; automation bias research, 2024).</w:t>
      </w:r>
    </w:p>
    <w:bookmarkEnd w:id="16"/>
    <w:bookmarkStart w:id="17" w:name="citation-and-faithfulness"/>
    <w:p>
      <w:pPr>
        <w:pStyle w:val="Heading3"/>
      </w:pPr>
      <w:r>
        <w:rPr>
          <w:rStyle w:val="SectionNumber"/>
        </w:rPr>
        <w:t xml:space="preserve">3.2.4</w:t>
      </w:r>
      <w:r>
        <w:tab/>
      </w:r>
      <w:r>
        <w:t xml:space="preserve">2.2.4 Citation and faithfulness</w:t>
      </w:r>
    </w:p>
    <w:p>
      <w:pPr>
        <w:pStyle w:val="FirstParagraph"/>
      </w:pPr>
      <w:r>
        <w:t xml:space="preserve">Citation‑faithfulness (does the answer cite the sources it actually used?) and answer‑faithfulness (is the content supported by the cited sources?) are separable dimensions that pose distinct challenges for LLM reliability. Large language models are prone to hallucination–generating factually incorrect information with high confidence–and poor calibration, where confidence scores fail to reflect true uncertainty. Recent advances in uncertainty estimation include ensemble methods, Bayesian approaches like Monte Carlo dropout, and calibration techniques such as temperature scaling, though computational overhead remains significant. The QUEST framework (Quality, Uncertainty, Evidence, Safety, Task) provides a structured approach to LLM evaluation, addressing the gap between technical metrics and user experience requirements. Design choices that improve both include enforced citation (block send if no sources are retrieved for Q2–Q4), snippet‑level highlighting that maps claims to evidence, and post‑answer sampling that scores faithfulness independently of correctness. Uncertainty‑gated escalation–blocking sends when confidence falls below calibrated thresholds–offers a practical approach to managing hallucination risks, though threshold selection requires careful empirical validation. Metrics: citation coverage (share of answers with ≥1 credible source), citation‑faithfulness error rate, and answer‑faithfulness error rate on sampled audits. Example targets: citation coverage ≥ 95% for Q2 and ≥ 90% for Q3/Q4; citation‑faithfulness errors ≤ 2% on samples; answer‑faithfulness errors ≤ 5% with corrective actions logged. Calibration error and Brier scores provide additional metrics for uncertainty quality assessment (TACL/EMNLP surveys, 2023–2024; LLM evaluation frameworks, 2024).</w:t>
      </w:r>
    </w:p>
    <w:bookmarkEnd w:id="17"/>
    <w:bookmarkEnd w:id="18"/>
    <w:bookmarkStart w:id="19" w:name="governance-risk-and-standards"/>
    <w:p>
      <w:pPr>
        <w:pStyle w:val="Heading2"/>
      </w:pPr>
      <w:r>
        <w:rPr>
          <w:rStyle w:val="SectionNumber"/>
        </w:rPr>
        <w:t xml:space="preserve">3.3</w:t>
      </w:r>
      <w:r>
        <w:tab/>
      </w:r>
      <w:r>
        <w:t xml:space="preserve">2.3 Governance, risk, and standards</w:t>
      </w:r>
    </w:p>
    <w:p>
      <w:pPr>
        <w:pStyle w:val="FirstParagraph"/>
      </w:pPr>
      <w:r>
        <w:t xml:space="preserve">The EU AI Act (2024/2025) introduces a risk‑based regime. Typical customer‑service chat will fall outside “high‑risk” designations, yet transparency, logging and human oversight duties still apply to many deployments, including generative systems that must disclose their artificial nature and respect copyright and training‑data transparency norms. Even where a deployment is not categorised as high‑risk, the governance posture expected by regulators converges on disciplined documentation, incident handling, and human oversight that is effective rather than nominal. Under the GDPR, Articles 13–15 on transparency and Articles 21–22 on automated decision‑making shape disclosures and recourse in cases where outputs meaningfully affect individuals; Article 35 sets Data Protection Impact Assessment triggers when processing is likely to result in a high risk to rights and freedoms, which can occur in service contexts that combine profiling and consequential decisions. These legal hooks make contestability, record‑keeping, and opt‑out pathways practical, not optional.</w:t>
      </w:r>
    </w:p>
    <w:p>
      <w:pPr>
        <w:pStyle w:val="BodyText"/>
      </w:pPr>
      <w:r>
        <w:t xml:space="preserve">The NIST AI Risk Management Framework (1.0) structures governance through MAP, MEASURE, MANAGE, and GOVERN, emphasising socio‑technical evaluation and versioned artefacts that explain what changed and why. ISO/IEC 42001:2023 extends management‑system discipline to AI by requiring policy baselines, risk assessment, control selection, monitoring, and continual improvement with internal audits. ENISA’s AI Threat Landscape (2024) describes prompt‑injection, retrieval poisoning, model theft and supply‑chain risks; mitigations include isolating model inputs and tools, validating untrusted inputs, monitoring retrieval sources for tampering, and tracking provenance so that incidents can be reconstructed. EDPB guidance cautions against deceptive patterns in consent and subscription flows and stresses purpose limitation and data minimisation in personalisation. A defensible service deployment keeps a model and feature risk register with owners and review dates, establishes DPIA criteria and templates, and makes humans decisively accountable for high‑impact intents with evidence that oversight actually changes outcomes when needed.</w:t>
      </w:r>
    </w:p>
    <w:p>
      <w:pPr>
        <w:pStyle w:val="BodyText"/>
      </w:pPr>
      <w:r>
        <w:t xml:space="preserve">A practical mapping from law and standards to operations is straightforward. At the point of answer, the system should disclose source use and make escalation pathways visible; in the background, logs should bind the draft, evidence, signals that triggered gating, and reviewer outcome. For personalisation, lawful basis and purpose limitation constrain which features are consulted; opt‑out must not degrade essential support. When an incident occurs–such as a policy‑inconsistent answer or a misrouted tool action–the record should link to the corrective change in prompts, knowledge, or back‑end systems and note the verification step. These are not purely compliance artifacts; they shorten remediation cycles and provide the “show your work” trail that both customers and auditors expect.</w:t>
      </w:r>
    </w:p>
    <w:bookmarkEnd w:id="19"/>
    <w:bookmarkStart w:id="20" w:name="X79b310917df113d8c945e9045e7b6411ebb65c9"/>
    <w:p>
      <w:pPr>
        <w:pStyle w:val="Heading2"/>
      </w:pPr>
      <w:r>
        <w:rPr>
          <w:rStyle w:val="SectionNumber"/>
        </w:rPr>
        <w:t xml:space="preserve">3.4</w:t>
      </w:r>
      <w:r>
        <w:tab/>
      </w:r>
      <w:r>
        <w:t xml:space="preserve">2.4 LLM quality: hallucination, retrieval, and evaluation</w:t>
      </w:r>
    </w:p>
    <w:p>
      <w:pPr>
        <w:pStyle w:val="FirstParagraph"/>
      </w:pPr>
      <w:r>
        <w:t xml:space="preserve">Recent surveys catalogue persistent hallucinations under ambiguity, weak retrieval, or adversarial prompts. A Nature study in 2024 links semantic uncertainty to hallucination likelihood, which implies that operational gating should combine several weak signals rather than rely on any single score: retrieval confidence derived from BM25 or embedding‑similarity distributions; simple policy‑pattern checks that detect risky intents such as goodwill beyond threshold or warranty exceptions; and model‑estimated uncertainty where available. Retrieval‑augmented generation reduces error when sources are curated, chunking windows reflect document structure, and re‑ranking plus citation enforcement are applied. Evaluation should separately assess answer‑faithfulness, citation‑faithfulness, and task success because an answer can be correct by accident, correct but uncited, or well‑cited yet off task. Human‑in‑the‑loop patterns vary by risk; pre‑answer review for high‑risk intents, post‑answer sampling for mid‑risk, and unsupervised logging for low‑risk make the best use of scarce expert attention. Safety methods such as RLHF and policy‑constrained decoding reduce harmful outputs, but service domains still require domain rules, test suites for known policy edge‑cases, and clear rollback when incident trends deteriorate. A layered control stack that combines RAG, policy rules, uncertainty gating, and human oversight emerges as the prudent baseline in service contexts.</w:t>
      </w:r>
    </w:p>
    <w:p>
      <w:pPr>
        <w:pStyle w:val="BodyText"/>
      </w:pPr>
      <w:r>
        <w:t xml:space="preserve">Operationalising uncertainty requires simple, robust proxies. Retrieval confidence can be computed from the dispersion of top‑k similarities or ranked‑list stability across prompt variants; policy‑pattern checks are deterministic string and metadata tests tied to known sensitive patterns; model‑estimated uncertainty can be calibrated on sampled audits. None of these signals is perfect, but together they reliably separate “safe and routine” from “needs a second look.” Evaluation mirrors this layering: answer‑faithfulness and citation‑faithfulness are scored independently on samples so that reviewers do not over‑weight surface plausibility, and task success is judged against the user’s intent, not merely linguistic quality. Teams that use this split avoid conflating stylistic polish with correctness and can target fixes where they matter–knowledge gaps, prompt errors, tool integration, or reviewer training.</w:t>
      </w:r>
    </w:p>
    <w:bookmarkEnd w:id="20"/>
    <w:bookmarkStart w:id="21" w:name="X6a8fb7d2ec891ed423ab4b6ed9360af36fd5549"/>
    <w:p>
      <w:pPr>
        <w:pStyle w:val="Heading2"/>
      </w:pPr>
      <w:r>
        <w:rPr>
          <w:rStyle w:val="SectionNumber"/>
        </w:rPr>
        <w:t xml:space="preserve">3.5</w:t>
      </w:r>
      <w:r>
        <w:tab/>
      </w:r>
      <w:r>
        <w:t xml:space="preserve">2.5 Escalation, quality assurance, and operating model</w:t>
      </w:r>
    </w:p>
    <w:p>
      <w:pPr>
        <w:pStyle w:val="FirstParagraph"/>
      </w:pPr>
      <w:r>
        <w:t xml:space="preserve">Effective teams operationalise escalation via explicit triggers: negative sentiment, high uncertainty, policy exception, VIP flag, and multi‑turn confusion. Weekly rubric‑based sampling (correctness, tone, policy alignment, citation) outperforms ad‑hoc spot checks in error discovery. Versioned prompts and knowledge entries, with rollbacks, reduce drift; incident records should link to corrective actions (NIST/ISO practices). The role mix changes: fewer ticket processors; more knowledge curators and process designers. Put differently, augmentation is as much an operating‑model shift as a tooling shift.</w:t>
      </w:r>
    </w:p>
    <w:bookmarkEnd w:id="21"/>
    <w:bookmarkStart w:id="22" w:name="metrics-and-evaluation"/>
    <w:p>
      <w:pPr>
        <w:pStyle w:val="Heading2"/>
      </w:pPr>
      <w:r>
        <w:rPr>
          <w:rStyle w:val="SectionNumber"/>
        </w:rPr>
        <w:t xml:space="preserve">3.6</w:t>
      </w:r>
      <w:r>
        <w:tab/>
      </w:r>
      <w:r>
        <w:t xml:space="preserve">2.6 Metrics and evaluation</w:t>
      </w:r>
    </w:p>
    <w:p>
      <w:pPr>
        <w:pStyle w:val="FirstParagraph"/>
      </w:pPr>
      <w:r>
        <w:t xml:space="preserve">Intent‑level CSAT is more diagnostic than channel‑level CSAT; a rising deflection rate without stable CSAT may indicate failure demand (Zendesk, 2025). Time‑to‑resolution should be reported by pathway (AI‑only, AI→HITL, human‑only) to surface trade‑offs (Genesys, 2025; NICE, 2025). Error taxonomies should disaggregate hallucination, policy breach and wrong action/tool–the last often reflects upstream system defects rather than language‑model failure. Guardrail KPIs–share of answers with citations, share below an uncertainty threshold, share escalated within SLA, and audit coverage–make governance observable (NIST/ISO; vendor SoTA). These metrics support controlled scaling and defensibility.</w:t>
      </w:r>
    </w:p>
    <w:p>
      <w:pPr>
        <w:pStyle w:val="BodyText"/>
      </w:pPr>
      <w:r>
        <w:t xml:space="preserve">Source note: Vendor and platform reports (e.g., Zendesk, Salesforce, Genesys, NICE) are treated as directional and moved to an Industry Sources appendix; peer‑reviewed anchors and regulator/standards documents inform prescriptive claims in the main text.</w:t>
      </w:r>
    </w:p>
    <w:bookmarkEnd w:id="22"/>
    <w:bookmarkStart w:id="23" w:name="X71c8e6c228dacb468c179999da4764832eeb6ba"/>
    <w:p>
      <w:pPr>
        <w:pStyle w:val="Heading2"/>
      </w:pPr>
      <w:r>
        <w:rPr>
          <w:rStyle w:val="SectionNumber"/>
        </w:rPr>
        <w:t xml:space="preserve">3.7</w:t>
      </w:r>
      <w:r>
        <w:tab/>
      </w:r>
      <w:r>
        <w:t xml:space="preserve">2.7 Channel context: marketplaces versus direct‑to‑customer (DTC)</w:t>
      </w:r>
    </w:p>
    <w:p>
      <w:pPr>
        <w:pStyle w:val="FirstParagraph"/>
      </w:pPr>
      <w:r>
        <w:t xml:space="preserve">Marketplaces provide discovery, breadth and rapid fulfilment; they fit low‑ticket, spec‑driven items. However, after‑sales fragmentation and data silos reduce trust for high‑ticket, service‑heavy products. DTC affords authenticity (factory warranty), configuration and closed‑loop service; it suits premium tools, software and subscription service. Review velocity materially shapes marketplace visibility; ethical incentive programmes and verified‑purchase mechanics can enhance social proof without compromising trust. Channel conflict with third‑party sellers can dilute brand and pricing control; badges and direct storefronts partially mitigate. Hence, a portfolio stance–marketplaces for the long tail; DTC for high‑touch journeys–appears warranted (industry sources; Hilti project).</w:t>
      </w:r>
    </w:p>
    <w:p>
      <w:pPr>
        <w:pStyle w:val="BodyText"/>
      </w:pPr>
      <w:r>
        <w:t xml:space="preserve">Trust and consumer‑protection context matters. In the EU, distance‑selling rules give consumers a baseline right of withdrawal and clear refund timelines, which shape expectations for returns and communication regardless of channel. Platforms also impose their own seller‑performance policies that influence visibility, such as late‑dispatch and cancellation rates; these metrics can improve convenience but may push complex support out of band if not integrated with the brand’s post‑sale loop. On DTC, the same statutory obligations apply, but the brand owns tone, escalation, and repair flows, which is why high‑ticket, service‑intensive offers benefit from closed‑loop control. Practically, marketplaces should be instrumented to hand off warranty registration and service to owned properties at purchase; DTC should remove onboarding friction and make delivery commitments explicit (date or range) to compete on convenience without sacrificing trust. Measurement should compare pathway TTR and re‑contact by product family so that portfolio decisions are evidence‑based rather than preference‑based.</w:t>
      </w:r>
    </w:p>
    <w:bookmarkEnd w:id="23"/>
    <w:bookmarkStart w:id="24" w:name="X75d00219838c3fe2f9ffa9e3ccedf0cb40cc0d9"/>
    <w:p>
      <w:pPr>
        <w:pStyle w:val="Heading2"/>
      </w:pPr>
      <w:r>
        <w:rPr>
          <w:rStyle w:val="SectionNumber"/>
        </w:rPr>
        <w:t xml:space="preserve">3.8</w:t>
      </w:r>
      <w:r>
        <w:tab/>
      </w:r>
      <w:r>
        <w:t xml:space="preserve">2.8 Checkout and service UX frictions (Baymard, 2024–2025)</w:t>
      </w:r>
    </w:p>
    <w:p>
      <w:pPr>
        <w:pStyle w:val="FirstParagraph"/>
      </w:pPr>
      <w:r>
        <w:t xml:space="preserve">Large‑scale usability research points to recurrent friction that undermines trust and conversion (Baymard Institute, 2024–2025). First, guest checkout must be prominent; burying it beneath sign‑in drives abandonment. Second, customers should see a delivery date or range–not an abstract “shipping speed”–and a live cutoff countdown for dispatch. Third, basic validation; e.g., Luhn checks; localised input masks) reduces needless errors. Fourth, users should be returned to their prior page after sign‑in or password reset; breaking flow increases drop‑off. Finally, default form elements should be reduced; long, complex forms are a leading cause of abandonment (Baymard Institute, 2024–2025).</w:t>
      </w:r>
    </w:p>
    <w:bookmarkEnd w:id="24"/>
    <w:bookmarkStart w:id="25" w:name="X954ae1435940ea24f89e066046024c496620fff"/>
    <w:p>
      <w:pPr>
        <w:pStyle w:val="Heading2"/>
      </w:pPr>
      <w:r>
        <w:rPr>
          <w:rStyle w:val="SectionNumber"/>
        </w:rPr>
        <w:t xml:space="preserve">3.9</w:t>
      </w:r>
      <w:r>
        <w:tab/>
      </w:r>
      <w:r>
        <w:t xml:space="preserve">2.9 Privacy, security, and data quality for CX AI</w:t>
      </w:r>
    </w:p>
    <w:p>
      <w:pPr>
        <w:pStyle w:val="FirstParagraph"/>
      </w:pPr>
      <w:r>
        <w:t xml:space="preserve">Data minimisation and clear purposes limit over‑personalisation; privacy notices should explain features and consequences, not solely legal bases (GDPR; ICO guidance). Security must extend to prompts, retrieval corpora and tool credentials; least‑privilege and isolation for tool use are essential (ENISA, 2024). Data lineage and provenance (who edited the KB, when, why) are required for incident analysis and continuous improvement (NIST/ISO). These foundations become visible to customers through consistent answers, low error rates and credible remediation when failures occur.</w:t>
      </w:r>
    </w:p>
    <w:bookmarkEnd w:id="25"/>
    <w:bookmarkStart w:id="26" w:name="synthesis-and-implications"/>
    <w:p>
      <w:pPr>
        <w:pStyle w:val="Heading2"/>
      </w:pPr>
      <w:r>
        <w:rPr>
          <w:rStyle w:val="SectionNumber"/>
        </w:rPr>
        <w:t xml:space="preserve">3.10</w:t>
      </w:r>
      <w:r>
        <w:tab/>
      </w:r>
      <w:r>
        <w:t xml:space="preserve">2.10 Synthesis and implications</w:t>
      </w:r>
    </w:p>
    <w:p>
      <w:pPr>
        <w:pStyle w:val="FirstParagraph"/>
      </w:pPr>
      <w:r>
        <w:t xml:space="preserve">The literature suggests five propositions for the framework in Chapter 3. P1–Augmentation: in trust‑critical interactions, augmentation with explicit human oversight, citations, and auditability increases perceived trust relative to automation and stabilises CSAT at similar time‑to‑resolution. P2–Channel fit: marketplaces are effective for low‑ticket, spec‑driven products; for high‑ticket/service‑intensive products, DTC sustains trust via closed‑loop service and ownership of post‑sale journeys. P3–Governance: outcomes are mediated by governance quality (NIST/ISO practices) rather than model choice; missing guardrails amplify risk regardless of model capability. P4–Metrics: intent‑level CSAT, deflection with quality qualifiers, and error taxonomies are required to judge true CX impact because channel‑level aggregates mask failure demand. P5–Operating model: sustainable gains require knowledge discipline, rubric‑based QA, explicit escalation policies, and change logs that connect incidents to fixes; tooling without operating change under‑delivers.</w:t>
      </w:r>
    </w:p>
    <w:p>
      <w:pPr>
        <w:pStyle w:val="BodyText"/>
      </w:pPr>
      <w:r>
        <w:t xml:space="preserve">Across the peer‑reviewed and regulator/standards sources in our validated set, themes recur with observable frequency. A majority emphasise some form of human oversight or contestability as a condition for trust; governance frameworks and risk registers are discussed nearly as often; intent‑level measurement and customer‑effort reduction appear in a meaningful minority of sources; transparency through citation or explanation is highlighted repeatedly. Vendor and practitioner reports surface similar patterns but are treated as directional rather than authoritative. These counts are directional, based on a scoping‑style read of recent sources, and are used only to support the qualitative stance taken here.</w:t>
      </w:r>
    </w:p>
    <w:bookmarkEnd w:id="26"/>
    <w:bookmarkStart w:id="27" w:name="X60af57384b724909c515441e4ce0a1a7608e5cc"/>
    <w:p>
      <w:pPr>
        <w:pStyle w:val="Heading2"/>
      </w:pPr>
      <w:r>
        <w:rPr>
          <w:rStyle w:val="SectionNumber"/>
        </w:rPr>
        <w:t xml:space="preserve">3.11</w:t>
      </w:r>
      <w:r>
        <w:tab/>
      </w:r>
      <w:r>
        <w:t xml:space="preserve">2.11 Threats to validity and alternative lenses</w:t>
      </w:r>
    </w:p>
    <w:p>
      <w:pPr>
        <w:pStyle w:val="FirstParagraph"/>
      </w:pPr>
      <w:r>
        <w:t xml:space="preserve">Vendor‑reported gains may reflect selection bias (successful rollouts), metric non‑comparability, and survivor effects. I therefore treat such findings as directional and favour regulator/standards evidence for prescriptive claims. Service justice research also offers a complementary lens: procedural and distributive justice can shape satisfaction after failure, beyond competence and tone. Finally, governance frameworks (NIST; ISO/IEC 42001) impose overhead; for SMEs, a “minimum effective controls” approach–templates, sampled audits, and proportionate documentation–may be more appropriate. Human‑factors risks merit emphasis: HITL reviewers can over‑trust AI suggestions (automation bias). Independent judgement should be required for high‑risk reviews, and sampling should check for reviewer rubber‑stamping.</w:t>
      </w:r>
    </w:p>
    <w:bookmarkEnd w:id="27"/>
    <w:bookmarkStart w:id="28" w:name="notes-on-numbers-and-assumptions"/>
    <w:p>
      <w:pPr>
        <w:pStyle w:val="Heading2"/>
      </w:pPr>
      <w:r>
        <w:rPr>
          <w:rStyle w:val="SectionNumber"/>
        </w:rPr>
        <w:t xml:space="preserve">3.12</w:t>
      </w:r>
      <w:r>
        <w:tab/>
      </w:r>
      <w:r>
        <w:t xml:space="preserve">2.12 Notes on numbers and assumptions</w:t>
      </w:r>
    </w:p>
    <w:p>
      <w:pPr>
        <w:pStyle w:val="FirstParagraph"/>
      </w:pPr>
      <w:r>
        <w:t xml:space="preserve">When numerical claims are cited; e.g., Baymard’s 70.19% abandonment rate, vendor‑reported CSAT or deflection changes), they reflect the study’s definition, period, and sample. Abandonment rates vary by sector and device; vendor metrics often include only self‑service intents. I therefore treat these numbers as directional and interpret them with the accompanying definitions. Where possible, I qualify figures with context rather than quoting point estimates alone.</w:t>
      </w:r>
    </w:p>
    <w:p>
      <w:pPr>
        <w:pStyle w:val="BodyText"/>
      </w:pPr>
      <w:r>
        <w:t xml:space="preserve"> </w:t>
      </w:r>
      <w:r>
        <w:t xml:space="preserve"># 3 Theoretical Framework and Propositions</w:t>
      </w:r>
    </w:p>
    <w:bookmarkEnd w:id="28"/>
    <w:bookmarkStart w:id="29" w:name="overview"/>
    <w:p>
      <w:pPr>
        <w:pStyle w:val="Heading2"/>
      </w:pPr>
      <w:r>
        <w:rPr>
          <w:rStyle w:val="SectionNumber"/>
        </w:rPr>
        <w:t xml:space="preserve">3.13</w:t>
      </w:r>
      <w:r>
        <w:tab/>
      </w:r>
      <w:r>
        <w:t xml:space="preserve">3.1 Overview</w:t>
      </w:r>
    </w:p>
    <w:p>
      <w:pPr>
        <w:pStyle w:val="FirstParagraph"/>
      </w:pPr>
      <w:r>
        <w:t xml:space="preserve">Building on the literature, I propose a practical framework to calibrate the AI–human service mix and channel stance while preserving trust. The framework has five layers: (i) trust scaffold, (ii) risk segmentation, (iii) control stack, (iv) escalation policy, and (v) measurement.</w:t>
      </w:r>
    </w:p>
    <w:bookmarkEnd w:id="29"/>
    <w:bookmarkStart w:id="30" w:name="trust-scaffold-why"/>
    <w:p>
      <w:pPr>
        <w:pStyle w:val="Heading2"/>
      </w:pPr>
      <w:r>
        <w:rPr>
          <w:rStyle w:val="SectionNumber"/>
        </w:rPr>
        <w:t xml:space="preserve">3.14</w:t>
      </w:r>
      <w:r>
        <w:tab/>
      </w:r>
      <w:r>
        <w:t xml:space="preserve">3.2 Trust scaffold (why)</w:t>
      </w:r>
    </w:p>
    <w:p>
      <w:pPr>
        <w:pStyle w:val="FirstParagraph"/>
      </w:pPr>
      <w:r>
        <w:t xml:space="preserve">Trust in AI‑mediated service emerges when customers perceive competence (correctness, reliability), integrity (policy‑aligned, fair), and benevolence (care, responsiveness) (Lemon &amp; Verhoef, 2016; HBR, 2024). The scaffold operationalises these via four properties: clarity (plain explanations and citations), controllability (ability to intervene or opt out), contestability (appeals/human review), and auditability (logs, provenance). These properties are assumed as non‑negotiable for high‑impact intents.</w:t>
      </w:r>
    </w:p>
    <w:bookmarkEnd w:id="30"/>
    <w:bookmarkStart w:id="33" w:name="risk-segmentation-where"/>
    <w:p>
      <w:pPr>
        <w:pStyle w:val="Heading2"/>
      </w:pPr>
      <w:r>
        <w:rPr>
          <w:rStyle w:val="SectionNumber"/>
        </w:rPr>
        <w:t xml:space="preserve">3.15</w:t>
      </w:r>
      <w:r>
        <w:tab/>
      </w:r>
      <w:r>
        <w:t xml:space="preserve">3.3 Risk segmentation (where)</w:t>
      </w:r>
    </w:p>
    <w:p>
      <w:pPr>
        <w:pStyle w:val="FirstParagraph"/>
      </w:pPr>
      <w:r>
        <w:t xml:space="preserve">I segment intents along two dimensions: task risk (the impact of getting it wrong, from low to high) and service intensity (the need for configuration, post‑sale care, or multi‑party processes, from low to high). Risk is operationalised via a rubric with scores from one to five across task impact, policy sensitivity, ambiguity or novelty, data reliability, and stakeholder criticality; service intensity scores the degree of configuration and post‑sale work and the presence of multi‑party coordination. An intent is high risk if the sum is at least fifteen or any dimension scores four or five. Four quadrants result. In Q1, low risk and low intensity tasks are handled AI‑first with lightweight guardrails; examples include opening hours, order status, and invoice copies. In Q2, low risk but high intensity tasks are handled AI‑first with mandatory tool‑use validation and post‑answer sampling; examples include returns eligibility and warranty lookups. In Q3, high‑risk but low‑intensity tasks move to AI→HITL with pre‑answer review when uncertainty is high or policy sensitivities arise; examples include goodwill credits beyond thresholds, VIP complaints, and price‑matching. In Q4, high‑risk and high‑intensity cases remain human‑first with AI used for retrieval and summarisation; examples include complex claims, B2B contract obligations, and regulated advice.</w:t>
      </w:r>
    </w:p>
    <w:p>
      <w:pPr>
        <w:pStyle w:val="BodyText"/>
      </w:pPr>
      <w:r>
        <w:t xml:space="preserve">Q1 (low risk, low intensity). A customer requests a copy of a VAT invoice. The assistant retrieves the invoice from a trusted billing API, verifies the customer identity with a one‑time code, and emails a PDF. Guardrails: allow‑listed API scope, deterministic template, citation of the order record. Target metrics: ≥ 98% success without human escalation; time‑to‑resolution under 60 seconds; error taxonomy shows near‑zero policy breaches.</w:t>
      </w:r>
    </w:p>
    <w:p>
      <w:pPr>
        <w:pStyle w:val="BodyText"/>
      </w:pPr>
      <w:r>
        <w:t xml:space="preserve">Q2 (low risk, high intensity). A customer asks about returns eligibility for a bundled purchase. The assistant checks order age, item category policy, and condition rules via tools, then explains the decision and next steps. Guardrails: mandatory tool‑use validation, enforced citation, and post‑answer sampling at 5–10% to catch edge cases. Target metrics: citation coverage ≥ 95%; post‑answer sampling correctness ≥ 97%; re‑contact within 7 days ≤ 5%.</w:t>
      </w:r>
    </w:p>
    <w:p>
      <w:pPr>
        <w:pStyle w:val="BodyText"/>
      </w:pPr>
      <w:r>
        <w:t xml:space="preserve">Q3 (high risk, low intensity). A VIP requests a goodwill credit beyond policy. The assistant drafts an evidence‑backed recommendation with prior purchase history and policy context, but blocks sending pending pre‑answer human review. Guardrails: uncertainty threshold and policy‑pattern checks trigger HITL; override requires reason capture. Target metrics: reviewer override rate 15–30%; zero automated sends on blocked cases; complaint rate after resolution ≤ benchmark.</w:t>
      </w:r>
    </w:p>
    <w:p>
      <w:pPr>
        <w:pStyle w:val="BodyText"/>
      </w:pPr>
      <w:r>
        <w:t xml:space="preserve">Q4 (high risk, high intensity). An enterprise customer disputes a contractual service‑level breach. A human lead handles the case; the assistant compiles logs, extracts clauses, and prepares a chronology. Guardrails: no autonomous commitments by AI; citations and provenance on all retrieved materials. Target metrics: audit completeness (all relevant documents attached); reduction in handling time without change in dispute outcomes.</w:t>
      </w:r>
    </w:p>
    <w:p>
      <w:pPr>
        <w:pStyle w:val="BodyText"/>
      </w:pPr>
      <w:r>
        <w:t xml:space="preserve">Figure 1. Risk × Service Intensity Framework (for DOCX export)</w:t>
      </w:r>
      <w:r>
        <w:t xml:space="preserve"> </w:t>
      </w:r>
      <w:r>
        <w:t xml:space="preserve">Quadrant: Q1 low risk and low intensity. Description: AI‑first with lightweight guardrails. Examples: opening hours; order status; invoice copy.</w:t>
      </w:r>
      <w:r>
        <w:t xml:space="preserve"> </w:t>
      </w:r>
      <w:r>
        <w:t xml:space="preserve">Quadrant: Q2 low risk and high intensity. Description: AI‑first with mandatory tool‑use validation and post‑answer sampling. Examples: returns eligibility; warranty lookups.</w:t>
      </w:r>
      <w:r>
        <w:t xml:space="preserve"> </w:t>
      </w:r>
      <w:r>
        <w:t xml:space="preserve">Quadrant: Q3 high risk and low intensity. Description: AI→HITL with pre‑answer review when uncertainty is high or policy sensitivities arise. Examples: goodwill credits beyond thresholds; VIP complaints; price‑matching.</w:t>
      </w:r>
      <w:r>
        <w:t xml:space="preserve"> </w:t>
      </w:r>
      <w:r>
        <w:t xml:space="preserve">Quadrant: Q4 high risk and high intensity. Description: Human‑first with AI for retrieval and summarisation. Examples: complex claims; B2B contract obligations; regulated advice.</w:t>
      </w:r>
    </w:p>
    <w:p>
      <w:pPr>
        <w:pStyle w:val="BodyText"/>
      </w:pPr>
      <w:r>
        <w:t xml:space="preserve">Table 1. Risk‑scoring rubric (1–5 per dimension; high risk if sum ≥ 15 or any dimension ≥ 4)</w:t>
      </w:r>
      <w:r>
        <w:t xml:space="preserve"> </w:t>
      </w:r>
      <w:r>
        <w:t xml:space="preserve">Dimension: Task impact. Low score: no material harm, reversible, low cost. High score: material harm, legal or regulatory impact, irreversible.</w:t>
      </w:r>
      <w:r>
        <w:t xml:space="preserve"> </w:t>
      </w:r>
      <w:r>
        <w:t xml:space="preserve">Dimension: Policy sensitivity. Low score: no policy exceptions. High score: frequent exceptions, discretionary goodwill.</w:t>
      </w:r>
      <w:r>
        <w:t xml:space="preserve"> </w:t>
      </w:r>
      <w:r>
        <w:t xml:space="preserve">Dimension: Ambiguity or novelty. Low score: well‑specified and frequent. High score: ambiguous, novel, edge cases.</w:t>
      </w:r>
      <w:r>
        <w:t xml:space="preserve"> </w:t>
      </w:r>
      <w:r>
        <w:t xml:space="preserve">Dimension: Data reliability. Low score: stable, trusted sources. High score: unreliable or fragmented sources, manual evidence required.</w:t>
      </w:r>
      <w:r>
        <w:t xml:space="preserve"> </w:t>
      </w:r>
      <w:r>
        <w:t xml:space="preserve">Dimension: Stakeholder criticality. Low score: standard customer. High score: VIP or regulatory context; public‑facing risk.</w:t>
      </w:r>
      <w:r>
        <w:t xml:space="preserve"> </w:t>
      </w:r>
      <w:r>
        <w:t xml:space="preserve">Dimension: Service intensity. Low score: no configuration or post‑sale care. High score: multi‑party configuration; heavy post‑sale care.</w:t>
      </w:r>
      <w:r>
        <w:t xml:space="preserve"> </w:t>
      </w:r>
      <w:r>
        <w:t xml:space="preserve">Classification note: high service intensity if the service‑intensity dimension is 4 or 5, or if the flow includes multi‑party hand‑offs.</w:t>
      </w:r>
    </w:p>
    <w:bookmarkStart w:id="31" w:name="q3-example-highrisk-lowintensity"/>
    <w:p>
      <w:pPr>
        <w:pStyle w:val="Heading3"/>
      </w:pPr>
      <w:r>
        <w:rPr>
          <w:rStyle w:val="SectionNumber"/>
        </w:rPr>
        <w:t xml:space="preserve">3.15.1</w:t>
      </w:r>
      <w:r>
        <w:tab/>
      </w:r>
      <w:r>
        <w:t xml:space="preserve">3.3.2 Q3 example (high‑risk, low‑intensity)</w:t>
      </w:r>
    </w:p>
    <w:p>
      <w:pPr>
        <w:pStyle w:val="FirstParagraph"/>
      </w:pPr>
      <w:r>
        <w:t xml:space="preserve">Consider “goodwill credit beyond published thresholds for a VIP customer.” Task impact is higher because the decision sets precedent and may create perceived unfairness; policy sensitivity is high due to discretionary rules; ambiguity is present because context and history matter; data reliability is strong when account history and policy records are authoritative; stakeholder criticality is high; service intensity is lower because resolution is a contained decision rather than a multi‑party process. An indicative scoring yields four for task impact, five for policy sensitivity, three for ambiguity, two for data reliability, five for stakeholder criticality, and two for service intensity. Any single score of four or five pushes the intent into high risk; combined with low service intensity, the placement is Q3. Controls therefore require retrieval with citations, policy‑pattern checks, uncertainty gating, and pre‑answer human review with “reason required.” The assistant drafts an evidence‑backed recommendation; the reviewer approves, revises, or declines and the rationale is recorded for audit and learning.</w:t>
      </w:r>
    </w:p>
    <w:bookmarkEnd w:id="31"/>
    <w:bookmarkStart w:id="32" w:name="Xcce432a5cd13906ed258e5a73c10d2ab148bad8"/>
    <w:p>
      <w:pPr>
        <w:pStyle w:val="Heading3"/>
      </w:pPr>
      <w:r>
        <w:rPr>
          <w:rStyle w:val="SectionNumber"/>
        </w:rPr>
        <w:t xml:space="preserve">3.15.2</w:t>
      </w:r>
      <w:r>
        <w:tab/>
      </w:r>
      <w:r>
        <w:t xml:space="preserve">3.3.1 Scoring walkthrough (from rubric to controls)</w:t>
      </w:r>
    </w:p>
    <w:p>
      <w:pPr>
        <w:pStyle w:val="FirstParagraph"/>
      </w:pPr>
      <w:r>
        <w:t xml:space="preserve">Consider “returns eligibility for a bundled purchase within thirty‑five days.” The task impact is low to medium because incorrect advice is reversible and low cost relative to high‑stakes claims; policy sensitivity is modest when the bundle rules are clear; ambiguity is present because edge cases arise around mixed categories and condition; data reliability is good when order data are authoritative; stakeholder criticality is standard; service intensity is high because resolution spans rules, logistics, and refunds. Mapping this to the rubric yields indicative scores of two for task impact, two for policy sensitivity, three for ambiguity, two for data reliability, one for stakeholder criticality, and four for service intensity. The sum remains below the high‑risk threshold while service intensity is high, which places the intent in Q2. The minimum control set selected by the framework therefore includes curated retrieval with enforced citations, mandatory tool validation against the order system, and post‑answer sampling to catch edge cases. The assistant must not answer from memory; it must cite the order and policy records; and a proportion of answers are reviewed weekly using the rubric. If incident rates rise or the policy becomes exception‑heavy, the rubric permits temporary upshifts in controls until stability returns.</w:t>
      </w:r>
    </w:p>
    <w:bookmarkEnd w:id="32"/>
    <w:bookmarkEnd w:id="33"/>
    <w:bookmarkStart w:id="34" w:name="control-stack-how"/>
    <w:p>
      <w:pPr>
        <w:pStyle w:val="Heading2"/>
      </w:pPr>
      <w:r>
        <w:rPr>
          <w:rStyle w:val="SectionNumber"/>
        </w:rPr>
        <w:t xml:space="preserve">3.16</w:t>
      </w:r>
      <w:r>
        <w:tab/>
      </w:r>
      <w:r>
        <w:t xml:space="preserve">3.4 Control stack (how)</w:t>
      </w:r>
    </w:p>
    <w:p>
      <w:pPr>
        <w:pStyle w:val="FirstParagraph"/>
      </w:pPr>
      <w:r>
        <w:t xml:space="preserve">Controls are layered to match the quadrant (NIST, 2023; ISO, 2023): (1) retrieval with curated sources and enforced citations; (2) policy rules and allow/deny lists; (3) tool‑use with least‑privilege; (4) uncertainty estimation and guardrails; (5) human‑in‑the‑loop; (6) logging and versioning. Pre‑deployment, each intent’s risk classification maps to a minimum control set; exceptions require sign‑off and a review date.</w:t>
      </w:r>
    </w:p>
    <w:bookmarkEnd w:id="34"/>
    <w:bookmarkStart w:id="35" w:name="escalation-policy-when"/>
    <w:p>
      <w:pPr>
        <w:pStyle w:val="Heading2"/>
      </w:pPr>
      <w:r>
        <w:rPr>
          <w:rStyle w:val="SectionNumber"/>
        </w:rPr>
        <w:t xml:space="preserve">3.17</w:t>
      </w:r>
      <w:r>
        <w:tab/>
      </w:r>
      <w:r>
        <w:t xml:space="preserve">3.5 Escalation policy (when)</w:t>
      </w:r>
    </w:p>
    <w:p>
      <w:pPr>
        <w:pStyle w:val="FirstParagraph"/>
      </w:pPr>
      <w:r>
        <w:t xml:space="preserve">Escalation triggers combine model signals and business rules (human‑in‑the‑loop surveys, 2024–2025): negative sentiment beyond a threshold; low answer confidence; policy exception; VIP flag; multi‑turn confusion; safety filter triggers. Hand‑offs are explicit to the customer (</w:t>
      </w:r>
      <w:r>
        <w:t xml:space="preserve">“a human is reviewing this now”</w:t>
      </w:r>
      <w:r>
        <w:t xml:space="preserve">) and include the conversation transcript and policy context to reduce rework. For Q3 and Q4, pre‑answer review is the default; for Q2, post‑answer sampling is mandatory; for Q1, logging suffices.</w:t>
      </w:r>
    </w:p>
    <w:bookmarkEnd w:id="35"/>
    <w:bookmarkStart w:id="37" w:name="measurement-how-we-know"/>
    <w:p>
      <w:pPr>
        <w:pStyle w:val="Heading2"/>
      </w:pPr>
      <w:r>
        <w:rPr>
          <w:rStyle w:val="SectionNumber"/>
        </w:rPr>
        <w:t xml:space="preserve">3.18</w:t>
      </w:r>
      <w:r>
        <w:tab/>
      </w:r>
      <w:r>
        <w:t xml:space="preserve">3.6 Measurement (how we know)</w:t>
      </w:r>
    </w:p>
    <w:p>
      <w:pPr>
        <w:pStyle w:val="FirstParagraph"/>
      </w:pPr>
      <w:r>
        <w:t xml:space="preserve">Evaluation is intent‑level and aligned to the QUEST criteria for question‑answering systems: Quality (correctness, policy alignment, tone), Uncertainty (confidence estimation and gating), Evidence (citation coverage and faithfulness), Safety (harmful content avoidance, privacy), and Task success (resolution and effort). The minimum set includes CSAT by intent and pathway (AI‑only, AI→HITL, human‑only), deflection with quality qualifiers, time‑to‑resolution, rubric‑based error taxonomies (hallucination, policy breach, wrong tool/action), and guardrail KPIs mapped to QUEST. Example targets by dimension: Quality–rubric correctness ≥ 97% on samples by risk tier; Uncertainty–blocked‑send compliance ≥ 99% for Q3/Q4; Evidence–citation coverage ≥ 95% (Q2) and citation‑faithfulness errors ≤ 2%; Safety–zero critical policy breaches; Task–first‑contact resolution and seven‑day re‑contact by pathway. Incidents should be linked to corrective actions in the KB, prompts, or backend systems with timestamps to show that measurement drives change.</w:t>
      </w:r>
    </w:p>
    <w:bookmarkStart w:id="36" w:name="quest-dashboard-view"/>
    <w:p>
      <w:pPr>
        <w:pStyle w:val="Heading3"/>
      </w:pPr>
      <w:r>
        <w:rPr>
          <w:rStyle w:val="SectionNumber"/>
        </w:rPr>
        <w:t xml:space="preserve">3.18.1</w:t>
      </w:r>
      <w:r>
        <w:tab/>
      </w:r>
      <w:r>
        <w:t xml:space="preserve">3.6.1 QUEST dashboard view</w:t>
      </w:r>
    </w:p>
    <w:p>
      <w:pPr>
        <w:pStyle w:val="FirstParagraph"/>
      </w:pPr>
      <w:r>
        <w:t xml:space="preserve">An executive dashboard presents each QUEST dimension with a small set of practical indicators. Quality is a weekly rubric score by risk tier with a drill‑down to error types; Uncertainty shows the share of blocked sends and the top gating reasons; Evidence shows citation coverage split by pathway and citation‑faithfulness on samples; Safety lists critical policy incidents with time‑to‑contain and remediation notes; Task shows first‑contact resolution and seven‑day re‑contact by pathway alongside time‑to‑resolution distributions. Incidents link to the specific knowledge or prompt changes and verification dates. This view lets leaders see whether oversight is active, whether evidence is consistently surfaced, and whether changes are closing the loop on quality.</w:t>
      </w:r>
    </w:p>
    <w:bookmarkEnd w:id="36"/>
    <w:bookmarkEnd w:id="37"/>
    <w:bookmarkStart w:id="38" w:name="channel-stance-marketplaces-vs-dtc"/>
    <w:p>
      <w:pPr>
        <w:pStyle w:val="Heading2"/>
      </w:pPr>
      <w:r>
        <w:rPr>
          <w:rStyle w:val="SectionNumber"/>
        </w:rPr>
        <w:t xml:space="preserve">3.19</w:t>
      </w:r>
      <w:r>
        <w:tab/>
      </w:r>
      <w:r>
        <w:t xml:space="preserve">3.7 Channel stance (marketplaces vs DTC)</w:t>
      </w:r>
    </w:p>
    <w:p>
      <w:pPr>
        <w:pStyle w:val="FirstParagraph"/>
      </w:pPr>
      <w:r>
        <w:t xml:space="preserve">Product families are mapped to channel posture by average order value, configuration complexity, and service dependency. Spec‑driven consumables and accessories fit marketplaces (discovery, speed). Premium tools/software and service‑heavy offers remain DTC (closed‑loop service, data continuity). Marketplace participation demands visibility foundations (consistent listings, algorithm literacy, review flywheel) and post‑sale integration (warranty registration, service hubs) to protect trust.</w:t>
      </w:r>
    </w:p>
    <w:bookmarkEnd w:id="38"/>
    <w:bookmarkStart w:id="40" w:name="propositions-testable"/>
    <w:p>
      <w:pPr>
        <w:pStyle w:val="Heading2"/>
      </w:pPr>
      <w:r>
        <w:rPr>
          <w:rStyle w:val="SectionNumber"/>
        </w:rPr>
        <w:t xml:space="preserve">3.20</w:t>
      </w:r>
      <w:r>
        <w:tab/>
      </w:r>
      <w:r>
        <w:t xml:space="preserve">3.8 Propositions (testable)</w:t>
      </w:r>
    </w:p>
    <w:p>
      <w:pPr>
        <w:pStyle w:val="FirstParagraph"/>
      </w:pPr>
      <w:r>
        <w:t xml:space="preserve">P1 Augmentation advantage: For trust‑critical intents, AI→HITL yields higher perceived trust and stable CSAT versus automation‑only, holding resolution time constant.</w:t>
      </w:r>
      <w:r>
        <w:t xml:space="preserve"> </w:t>
      </w:r>
      <w:r>
        <w:t xml:space="preserve">P2 Channel fit: For service‑heavy, high‑AOV products, DTC yields higher trust and lower complaint rates than marketplaces, controlling for delivery speed.</w:t>
      </w:r>
      <w:r>
        <w:t xml:space="preserve"> </w:t>
      </w:r>
      <w:r>
        <w:t xml:space="preserve">P3 Governance mediation: Adoption outcomes are mediated by governance maturity (NIST/ISO practices); absence of guardrails predicts higher error and complaint rates independent of model choice.</w:t>
      </w:r>
      <w:r>
        <w:t xml:space="preserve"> </w:t>
      </w:r>
      <w:r>
        <w:t xml:space="preserve">P4 Metrics validity: Intent‑level metrics and error taxonomies exhibit stronger predictive validity for churn than channel‑level CSAT alone.</w:t>
      </w:r>
      <w:r>
        <w:t xml:space="preserve"> </w:t>
      </w:r>
      <w:r>
        <w:t xml:space="preserve">P5 Operating model: The presence of rubric‑based QA and versioned knowledge correlates with sustained gains in TTR and error rate reductions beyond the initial 90 days of deployment.</w:t>
      </w:r>
    </w:p>
    <w:bookmarkStart w:id="39" w:name="boundary-conditions-and-failure-modes"/>
    <w:p>
      <w:pPr>
        <w:pStyle w:val="Heading3"/>
      </w:pPr>
      <w:r>
        <w:rPr>
          <w:rStyle w:val="SectionNumber"/>
        </w:rPr>
        <w:t xml:space="preserve">3.20.1</w:t>
      </w:r>
      <w:r>
        <w:tab/>
      </w:r>
      <w:r>
        <w:t xml:space="preserve">3.8.1 Boundary conditions and failure modes</w:t>
      </w:r>
    </w:p>
    <w:p>
      <w:pPr>
        <w:pStyle w:val="FirstParagraph"/>
      </w:pPr>
      <w:r>
        <w:t xml:space="preserve">The framework assumes: (i) regulated or high‑stakes advice remains human‑first; (ii) catastrophic cost‑of‑error intents default to pre‑answer review; (iii) uncertainty proxies are imperfect and must be combined (retrieval confidence, policy pattern checks, model‑estimated uncertainty) with conservative thresholds for high‑risk intents; and (iv) pathway‑specific metrics are tracked together to prevent metric gaming.</w:t>
      </w:r>
    </w:p>
    <w:p>
      <w:pPr>
        <w:pStyle w:val="BodyText"/>
      </w:pPr>
      <w:r>
        <w:t xml:space="preserve">Two additional boundary cases merit emphasis. First, when upstream data quality is systematically unreliable (for example, order and warranty systems out of sync across regions), increasing model capability does not reduce error; remediation must begin with data lineage, source‑of‑truth decisions, and reconciliation processes before automation can be safe. Second, where incentives make silent failure demand attractive (for example, deflection rewarded without regard to re‑contact), metric design will predict behaviour; the remedy is to report deflection with quality qualifiers and to weight pathway outcomes together so that no single metric can be gamed without being observed in its counter‑metrics.</w:t>
      </w:r>
    </w:p>
    <w:bookmarkEnd w:id="39"/>
    <w:bookmarkEnd w:id="40"/>
    <w:bookmarkStart w:id="41" w:name="Xe333bea45095a441f6d52e0d4b1dff4eefb956b"/>
    <w:p>
      <w:pPr>
        <w:pStyle w:val="Heading2"/>
      </w:pPr>
      <w:r>
        <w:rPr>
          <w:rStyle w:val="SectionNumber"/>
        </w:rPr>
        <w:t xml:space="preserve">3.21</w:t>
      </w:r>
      <w:r>
        <w:tab/>
      </w:r>
      <w:r>
        <w:t xml:space="preserve">3.9 Implementation guidance (for Chapter 4 application)</w:t>
      </w:r>
    </w:p>
    <w:p>
      <w:pPr>
        <w:pStyle w:val="FirstParagraph"/>
      </w:pPr>
      <w:r>
        <w:t xml:space="preserve">Teams begin by creating an intent inventory with risk grades and required control sets and by scheduling reviews. They define escalation rubrics and SLAs and instrument explicit hand‑offs. Weekly QA is established with sampling sizes scaled by intent volume and risk. Citation and uncertainty thresholds are enforced and sending is blocked below threshold for high‑risk intents. Guardrail KPIs are added to dashboards and incidents are tied to change logs. Channel stance is aligned per product family and post‑sale integration is implemented for marketplace buyers. This framework translates the evidence base into operational choices for the analysis in Chapter 4.</w:t>
      </w:r>
    </w:p>
    <w:bookmarkEnd w:id="41"/>
    <w:bookmarkStart w:id="42" w:name="costbenefit-decision-algorithm"/>
    <w:p>
      <w:pPr>
        <w:pStyle w:val="Heading2"/>
      </w:pPr>
      <w:r>
        <w:rPr>
          <w:rStyle w:val="SectionNumber"/>
        </w:rPr>
        <w:t xml:space="preserve">3.22</w:t>
      </w:r>
      <w:r>
        <w:tab/>
      </w:r>
      <w:r>
        <w:t xml:space="preserve">3.10 Cost‑benefit decision algorithm</w:t>
      </w:r>
    </w:p>
    <w:p>
      <w:pPr>
        <w:pStyle w:val="FirstParagraph"/>
      </w:pPr>
      <w:r>
        <w:t xml:space="preserve">Implementation decisions follow a structured cost‑benefit calculation that weighs control overhead against risk mitigation. Development costs include software acquisition, infrastructure setup, and system integration; operational costs encompass maintenance, data storage, and processing; training costs involve upskilling employees and process redesign; compliance costs arise from GDPR DPIAs and AI Act requirements. Benefits include efficiency gains (15–30% time‑to‑resolution reduction), cost savings (staffing reallocation), enhanced customer experience (pathway‑specific CSAT improvements), and reduced error rates. ROI calculation considers both short‑term implementation costs and long‑term operational benefits, with payback periods typically ranging 12–24 months for Q1/Q2 implementations and 18–36 months for Q3/Q4 due to higher governance overhead. Resource allocation follows risk‑adjusted planning ratios: Q1 intents require minimal oversight (logging, templates); Q2 adds sampling overhead (0.1–0.2 FTE per 10k tickets); Q3 requires pre‑review capacity (0.3–0.5 FTE per 10k tickets); Q4 maintains human‑first operations with AI tooling support. Cost sensitivity analysis should model governance overhead scaling: regulatory compliance adds 15–25% to base implementation costs, while ongoing monitoring requires 10–15% of operational budget.</w:t>
      </w:r>
    </w:p>
    <w:bookmarkEnd w:id="42"/>
    <w:bookmarkStart w:id="43" w:name="X3e5ace7ce2f089e05b01ecfb8f90e3f2813e58a"/>
    <w:p>
      <w:pPr>
        <w:pStyle w:val="Heading2"/>
      </w:pPr>
      <w:r>
        <w:rPr>
          <w:rStyle w:val="SectionNumber"/>
        </w:rPr>
        <w:t xml:space="preserve">3.23</w:t>
      </w:r>
      <w:r>
        <w:tab/>
      </w:r>
      <w:r>
        <w:t xml:space="preserve">3.11 Contextual modifier and ecosystem constraints</w:t>
      </w:r>
    </w:p>
    <w:p>
      <w:pPr>
        <w:pStyle w:val="FirstParagraph"/>
      </w:pPr>
      <w:r>
        <w:t xml:space="preserve">Ecosystem rigidity (partner SLAs, compliance mandates, regional norms) can upshift control requirements. Intents operating across rigid ecosystems should default to higher control sets and review cadence. EU‑specific considerations include GDPR Article 35 DPIA triggers for high‑risk processing, AI Act transparency requirements for generative systems, and consumer protection directives that mandate clear recourse mechanisms.</w:t>
      </w:r>
    </w:p>
    <w:bookmarkEnd w:id="43"/>
    <w:bookmarkStart w:id="44" w:name="robust-gating-and-metric-guardrails"/>
    <w:p>
      <w:pPr>
        <w:pStyle w:val="Heading2"/>
      </w:pPr>
      <w:r>
        <w:rPr>
          <w:rStyle w:val="SectionNumber"/>
        </w:rPr>
        <w:t xml:space="preserve">3.24</w:t>
      </w:r>
      <w:r>
        <w:tab/>
      </w:r>
      <w:r>
        <w:t xml:space="preserve">3.12 Robust gating and metric guardrails</w:t>
      </w:r>
    </w:p>
    <w:p>
      <w:pPr>
        <w:pStyle w:val="FirstParagraph"/>
      </w:pPr>
      <w:r>
        <w:t xml:space="preserve">Because uncertainty proxies are imperfect, gating should combine retrieval confidence, policy pattern checks, and uncertainty estimates, with conservative thresholds for high‑risk intents. Example thresholds by risk level: Q1–no gating beyond logging; Q2–block send if retrieval confidence &lt; 0.5 or no citation; Q3–block send if retrieval confidence &lt; 0.7, any policy‑pattern match, or model‑estimated uncertainty &gt; 0.3; Q4–no autonomous sends. Require pre‑answer review for any blocked case. To prevent metric gaming, quality targets are pathway‑specific (AI‑only, AI→HITL, human‑only) and tracked together.</w:t>
      </w:r>
    </w:p>
    <w:p>
      <w:pPr>
        <w:pStyle w:val="BodyText"/>
      </w:pPr>
      <w:r>
        <w:t xml:space="preserve">Example blocked‑send flow. In a goodwill‑beyond‑policy request, the assistant drafts a recommendation with evidence and computes retrieval confidence across relevant records. A policy‑pattern check matches discretionary credit patterns and the retrieval confidence falls below the configured threshold. The system blocks send, attaches the draft, evidence, and signals to a review queue, and records a “reason required” field when the reviewer approves, revises, or declines. The outcome and rationale flow into weekly QA and into prompt or knowledge changes where appropriate. This ensures that human oversight changes outcomes when needed and that oversight is auditable.</w:t>
      </w:r>
    </w:p>
    <w:p>
      <w:pPr>
        <w:pStyle w:val="BodyText"/>
      </w:pPr>
      <w:r>
        <w:t xml:space="preserve">Counter‑gaming guard. Where cost metrics favour deflection or speed, the framework requires that deflection be qualified by resolution type and that time‑to‑resolution and re‑contact are reported by pathway. Targets are evaluated jointly so that gains in one metric cannot obscure regressions in another.</w:t>
      </w:r>
    </w:p>
    <w:bookmarkEnd w:id="44"/>
    <w:bookmarkStart w:id="45" w:name="Xa8c5fec66e35aef5df7470d2b87526765177373"/>
    <w:p>
      <w:pPr>
        <w:pStyle w:val="Heading2"/>
      </w:pPr>
      <w:r>
        <w:rPr>
          <w:rStyle w:val="SectionNumber"/>
        </w:rPr>
        <w:t xml:space="preserve">3.25</w:t>
      </w:r>
      <w:r>
        <w:tab/>
      </w:r>
      <w:r>
        <w:t xml:space="preserve">3.13 Failure mode analysis and early warning systems</w:t>
      </w:r>
    </w:p>
    <w:p>
      <w:pPr>
        <w:pStyle w:val="FirstParagraph"/>
      </w:pPr>
      <w:r>
        <w:t xml:space="preserve">The framework identifies five primary failure modes with corresponding detection mechanisms. Metric gaming manifests as deflection improvements without quality gains; detection involves pathway‑specific re‑contact rate monitoring and qualitative complaint analysis. Silent automation creep occurs when Q3 intents migrate to Q1 controls without approval; detection requires quarterly intent‑classification audits and escalation‑rate trend analysis. Knowledge drift appears as declining citation faithfulness over time; detection involves rolling‑window faithfulness scoring and source‑staleness monitoring. Automation bias in human reviewers shows as declining override rates despite stable error conditions; detection requires calibrated reviewer performance tracking and inter‑rater agreement monitoring. Data quality degradation upstream amplifies AI errors regardless of model capability; detection requires end‑to‑end data lineage monitoring and source‑of‑truth reconciliation checks. Early warning signals include: re‑contact rates rising 15%+ within specific intent categories; complaint escalations mentioning</w:t>
      </w:r>
      <w:r>
        <w:t xml:space="preserve"> </w:t>
      </w:r>
      <w:r>
        <w:t xml:space="preserve">“AI”</w:t>
      </w:r>
      <w:r>
        <w:t xml:space="preserve"> </w:t>
      </w:r>
      <w:r>
        <w:t xml:space="preserve">or</w:t>
      </w:r>
      <w:r>
        <w:t xml:space="preserve"> </w:t>
      </w:r>
      <w:r>
        <w:t xml:space="preserve">“automated responses”</w:t>
      </w:r>
      <w:r>
        <w:t xml:space="preserve"> </w:t>
      </w:r>
      <w:r>
        <w:t xml:space="preserve">increasing; reviewer workload imbalances suggesting classification errors; citation coverage declining below threshold; confidence‑calibration metrics deteriorating. Response protocols specify escalation paths: immediate investigation for critical failures (Q4 automation, policy breaches), weekly review for moderate degradation (citation coverage, override rates), and quarterly assessment for structural issues (classification drift, cost‑benefit rebalancing). Recovery procedures include temporary control upshifts, emergency human‑override activation, and systematic retraining protocols.</w:t>
      </w:r>
    </w:p>
    <w:p>
      <w:pPr>
        <w:pStyle w:val="BodyText"/>
      </w:pPr>
      <w:r>
        <w:t xml:space="preserve"> </w:t>
      </w:r>
      <w:r>
        <w:t xml:space="preserve"># 4 Analysis and Implications</w:t>
      </w:r>
    </w:p>
    <w:p>
      <w:pPr>
        <w:pStyle w:val="BodyText"/>
      </w:pPr>
      <w:r>
        <w:t xml:space="preserve">This chapter applies the framework to three evidence streams: (i) a DTC founder interview (€5–20m revenue), (ii) an enterprise logistics SVP interview (~bn+ revenue), and (iii) the business project on Hilti’s digital channel fit in Korea (marketplaces vs DTC). I first map findings to the trust scaffold and risk quadrants, then derive an operating model and measurement blueprint with a prioritised action plan.</w:t>
      </w:r>
    </w:p>
    <w:bookmarkEnd w:id="45"/>
    <w:bookmarkStart w:id="47" w:name="method-recap-and-scope"/>
    <w:p>
      <w:pPr>
        <w:pStyle w:val="Heading2"/>
      </w:pPr>
      <w:r>
        <w:rPr>
          <w:rStyle w:val="SectionNumber"/>
        </w:rPr>
        <w:t xml:space="preserve">3.26</w:t>
      </w:r>
      <w:r>
        <w:tab/>
      </w:r>
      <w:r>
        <w:t xml:space="preserve">4.1 Method recap and scope</w:t>
      </w:r>
    </w:p>
    <w:p>
      <w:pPr>
        <w:pStyle w:val="FirstParagraph"/>
      </w:pPr>
      <w:r>
        <w:t xml:space="preserve">The interviews were anonymised and summarised in Section 4 sources; the Hilti project combined desk research of Korean marketplaces with a visibility and CX audit. The objective here is not to estimate causal effects but to synthesise what appears to work, for whom, and under what conditions, so that management choices can be made deliberately. Where vendor reports are referenced, I triangulate across multiple sources and rely on regulators or recognised institutes when available.</w:t>
      </w:r>
    </w:p>
    <w:bookmarkStart w:id="46" w:name="methods-note-protocol-and-coding"/>
    <w:p>
      <w:pPr>
        <w:pStyle w:val="Heading3"/>
      </w:pPr>
      <w:r>
        <w:rPr>
          <w:rStyle w:val="SectionNumber"/>
        </w:rPr>
        <w:t xml:space="preserve">3.26.1</w:t>
      </w:r>
      <w:r>
        <w:tab/>
      </w:r>
      <w:r>
        <w:t xml:space="preserve">4.1.1 Methods note (protocol and coding)</w:t>
      </w:r>
    </w:p>
    <w:p>
      <w:pPr>
        <w:pStyle w:val="FirstParagraph"/>
      </w:pPr>
      <w:r>
        <w:t xml:space="preserve">Both interviews followed a semi‑structured protocol focused on escalation design, measurement practice, and channel posture. Sessions were recorded with consent, transcribed, and anonymised; languages were German and English with translation checks. The analytic approach used a simple Gioia‑style structure: first‑order informant terms were grouped into second‑order concepts such as explicit hand‑offs, citation discipline, risk‑based review, and pathway metrics, which were then assembled into aggregate dimensions aligned to the framework’s trust scaffold, risk segmentation, and measurement. The Hilti project functioned as a contextual test: evidence from public marketplace audits and DTC journeys in Korea was mapped to the same dimensions to check whether the propositions held under different conditions. Triangulation across these streams reduced over‑weighting of any single anecdote and helped separate model capability from governance and design effects.</w:t>
      </w:r>
    </w:p>
    <w:bookmarkEnd w:id="46"/>
    <w:bookmarkEnd w:id="47"/>
    <w:bookmarkStart w:id="48" w:name="X12eda8970b87556b8e2f4d4e0666373491729bd"/>
    <w:p>
      <w:pPr>
        <w:pStyle w:val="Heading2"/>
      </w:pPr>
      <w:r>
        <w:rPr>
          <w:rStyle w:val="SectionNumber"/>
        </w:rPr>
        <w:t xml:space="preserve">3.27</w:t>
      </w:r>
      <w:r>
        <w:tab/>
      </w:r>
      <w:r>
        <w:t xml:space="preserve">4.2 Trust scaffold: what sustained trust in practice</w:t>
      </w:r>
    </w:p>
    <w:p>
      <w:pPr>
        <w:pStyle w:val="FirstParagraph"/>
      </w:pPr>
      <w:r>
        <w:t xml:space="preserve">Across the two organisations, trust was earned by small, consistent behaviours rather than by raw model capability (cf. Lemon &amp; Verhoef, 2016; NIST, 2023). Answers that included source citations reduced back‑and‑forth and made escalation decisions easier, because reviewers could assess faithfulness rapidly. Customers responded positively when hand‑offs were explicit (“a human is now reviewing this”), which preserved agency and reduced repeat contacts in policy exceptions and VIP cases. Weekly sampling using a rubric (correctness, tone, policy alignment, citation faithfulness), together with versioned knowledge entries and prompts, created an audit trail that shortened incident resolution (NIST, 2023; ISO, 2023). In the logistics case, AI was reserved for large‑scale pattern recognition and unstructured documents (a quote‑request reader), while forecasting under political volatility remained deterministic; that deliberate constraint avoided “false precision”: “When we told customers a human was reviewing, repeat contacts dropped even when the answer took longer.” – DTC founder. “Same people, more business. We use AI to scale documents, not replace decisions.” – Logistics SVP.</w:t>
      </w:r>
    </w:p>
    <w:bookmarkEnd w:id="48"/>
    <w:bookmarkStart w:id="50" w:name="Xb1884818eebabf8667db01d375ae6cecf052d92"/>
    <w:p>
      <w:pPr>
        <w:pStyle w:val="Heading2"/>
      </w:pPr>
      <w:r>
        <w:rPr>
          <w:rStyle w:val="SectionNumber"/>
        </w:rPr>
        <w:t xml:space="preserve">3.28</w:t>
      </w:r>
      <w:r>
        <w:tab/>
      </w:r>
      <w:r>
        <w:t xml:space="preserve">4.3 Risk segmentation: where AI leads, assists, or defers</w:t>
      </w:r>
    </w:p>
    <w:p>
      <w:pPr>
        <w:pStyle w:val="FirstParagraph"/>
      </w:pPr>
      <w:r>
        <w:t xml:space="preserve">The segmentation mirrors the literature’s emphasis on risk‑based controls and HITL for high‑impact intents (HITL surveys, 2024–2025; EU AI Act, 2025).</w:t>
      </w:r>
    </w:p>
    <w:p>
      <w:pPr>
        <w:pStyle w:val="BodyText"/>
      </w:pPr>
      <w:r>
        <w:t xml:space="preserve">Mapping representative intents to the quadrants yielded a stable division of labour. Low‑risk, low‑intensity tasks such as opening hours, order status and invoice copies were handled by AI‑first with logging; deflection was high and errors were rare when data sources were reliable. Low‑risk but higher‑intensity tasks such as warranty or returns eligibility and product‑fit guidance performed well with AI‑first plus tool‑use and post‑answer sampling; when policy edge‑cases surfaced, the sampling loop caught most defects before they compounded. High‑risk, low‑intensity tasks such as goodwill credits, price‑matching and VIP complaints benefited from AI→HITL: pre‑answer review by a human reduced escalations that would otherwise have created social‑media risk. High‑risk, high‑intensity cases–complex claims, B2B contract obligations, regulated or bespoke advice–remained human‑first with AI used for retrieval and summarisation; in the logistics case, the document‑understanding assistant reduced handling time without owning the decision: “Goodwill beyond policy is never fully safe to automate. The assistant drafts; a person decides.” – DTC founder. “Forecasting under tariff shocks? We deliberately avoided false precision.” – Logistics SVP.</w:t>
      </w:r>
    </w:p>
    <w:bookmarkStart w:id="49" w:name="Xc53269bc491e61e89e4194c186c47f7cd1dd060"/>
    <w:p>
      <w:pPr>
        <w:pStyle w:val="Heading3"/>
      </w:pPr>
      <w:r>
        <w:rPr>
          <w:rStyle w:val="SectionNumber"/>
        </w:rPr>
        <w:t xml:space="preserve">3.28.1</w:t>
      </w:r>
      <w:r>
        <w:tab/>
      </w:r>
      <w:r>
        <w:t xml:space="preserve">4.3.1 Evidence map (propositions vs observations)</w:t>
      </w:r>
    </w:p>
    <w:p>
      <w:pPr>
        <w:pStyle w:val="FirstParagraph"/>
      </w:pPr>
      <w:r>
        <w:t xml:space="preserve">P1 augmentation advantage: interview A reports lower repeat contacts when hand‑offs are explicit; interview B retains humans on high‑risk decisions; Hilti observations show reduced social‑media risk when goodwill and complaints receive pre‑answer review. P2 channel fit: interview A emphasises DTC for premium and service‑intensive offers; the Hilti analysis places low‑ticket, spec‑driven SKUs on marketplaces and premium tools or software on DTC. P3 governance mediation: interview A uses a versioned knowledge base with incident‑to‑change logs; interview B relies on audit trails for reliability; Hilti findings indicate that visibility and the post‑sale loop matter more than model choice. P4 metrics validity: interview A tracks intent‑level CSAT and seven‑day re‑contact; the Hilti plan reports pathway TTR and CSAT, which surfaced DTC friction for small orders; platform metrics are treated as directional only. P5 operating model: both interviews describe shifting staff from tickets to knowledge and process ownership; the Hilti roadmap assigns named owners for high‑volume intents. External anchors reinforce these observations: uncertainty–hallucination links (Nature, 2024) justify gating; governance features measurably increase trust (Scientific Reports, 2024); and QUEST dimensions structure human evaluation (npj Digital Medicine, 2024).</w:t>
      </w:r>
    </w:p>
    <w:p>
      <w:pPr>
        <w:pStyle w:val="BodyText"/>
      </w:pPr>
      <w:r>
        <w:t xml:space="preserve">External executive corroboration. Public statements by large operators are consistent with the observed patterns. T‑Mobile describes its Team of Experts model as removing IVR and randomised routing in favour of small market‑owned teams; reported outcomes include a roughly sixty percent increase in likelihood‑to‑recommend, postpaid churn reduction approaching forty percent, and a lower cost‑to‑serve despite longer handle times, with reduced bill adjustments and fewer calls per account (T‑Mobile for Business; T‑Mobile Newsroom). The mechanism matches this thesis: accountability shifts to empowered humans with AI used for retrieval and context, and metrics are pathway‑aware rather than handle‑time driven. KLM’s BlueBot initiative likewise frames automation as an assistant supported by about 250 human agents, with explicit human hand‑off whenever the bot cannot proceed (KLM Newsroom, 2017). These operator narratives align with Q3/Q4 design in this framework–AI assisting and drafting, humans deciding on high‑risk or sensitive matters–and with the emphasis on explicit escalation and team‑level accountability.</w:t>
      </w:r>
    </w:p>
    <w:p>
      <w:pPr>
        <w:pStyle w:val="BodyText"/>
      </w:pPr>
      <w:r>
        <w:t xml:space="preserve">Operator mini‑cases. In banking, Bank of America reports multi‑billion‑scale client interactions via the Erica assistant and tens of millions of active users, alongside high internal adoption of an employee assistant and material reductions in routine IT queries; the pattern is augmentation at scale, with people accountable for consequential steps (Bank of America industry reports; Appendix D). In CX platforms, the Zendesk CEO has publicly described a pay‑for‑success model in which the vendor is compensated only when AI resolves issues, coupled with explicit QA guardrails and pathway‑specific reporting; this reinforces the centrality of guardrails and measurement rather than generic automation (CXOTalk with Zendesk CEO; Appendix D).</w:t>
      </w:r>
    </w:p>
    <w:p>
      <w:pPr>
        <w:pStyle w:val="BodyText"/>
      </w:pPr>
      <w:r>
        <w:t xml:space="preserve">Evidence map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Proposition</w:t>
            </w:r>
          </w:p>
        </w:tc>
        <w:tc>
          <w:tcPr/>
          <w:p>
            <w:pPr>
              <w:pStyle w:val="Compact"/>
            </w:pPr>
            <w:r>
              <w:t xml:space="preserve">Interview A (DTC)</w:t>
            </w:r>
          </w:p>
        </w:tc>
        <w:tc>
          <w:tcPr/>
          <w:p>
            <w:pPr>
              <w:pStyle w:val="Compact"/>
            </w:pPr>
            <w:r>
              <w:t xml:space="preserve">Interview B (Logistics)</w:t>
            </w:r>
          </w:p>
        </w:tc>
        <w:tc>
          <w:tcPr/>
          <w:p>
            <w:pPr>
              <w:pStyle w:val="Compact"/>
            </w:pPr>
            <w:r>
              <w:t xml:space="preserve">Hilti observation</w:t>
            </w:r>
          </w:p>
        </w:tc>
      </w:tr>
      <w:tr>
        <w:tc>
          <w:tcPr/>
          <w:p>
            <w:pPr>
              <w:pStyle w:val="Compact"/>
            </w:pPr>
            <w:r>
              <w:t xml:space="preserve">P1 Augmentation advantage</w:t>
            </w:r>
          </w:p>
        </w:tc>
        <w:tc>
          <w:tcPr/>
          <w:p>
            <w:pPr>
              <w:pStyle w:val="Compact"/>
            </w:pPr>
            <w:r>
              <w:t xml:space="preserve">“Explicit human review cut second touches even if replies were slower.”</w:t>
            </w:r>
          </w:p>
        </w:tc>
        <w:tc>
          <w:tcPr/>
          <w:p>
            <w:pPr>
              <w:pStyle w:val="Compact"/>
            </w:pPr>
            <w:r>
              <w:t xml:space="preserve">“High‑risk decisions stay human; AI drafts and compiles evidence.”</w:t>
            </w:r>
          </w:p>
        </w:tc>
        <w:tc>
          <w:tcPr/>
          <w:p>
            <w:pPr>
              <w:pStyle w:val="Compact"/>
            </w:pPr>
            <w:r>
              <w:t xml:space="preserve">Pre‑answer review on goodwill/complaints reduced escalations and social‑media exposure.</w:t>
            </w:r>
          </w:p>
        </w:tc>
      </w:tr>
      <w:tr>
        <w:tc>
          <w:tcPr/>
          <w:p>
            <w:pPr>
              <w:pStyle w:val="Compact"/>
            </w:pPr>
            <w:r>
              <w:t xml:space="preserve">P2 Channel fit</w:t>
            </w:r>
          </w:p>
        </w:tc>
        <w:tc>
          <w:tcPr/>
          <w:p>
            <w:pPr>
              <w:pStyle w:val="Compact"/>
            </w:pPr>
            <w:r>
              <w:t xml:space="preserve">DTC for premium/service‑intensive; marketplaces for accessories.</w:t>
            </w:r>
          </w:p>
        </w:tc>
        <w:tc>
          <w:tcPr/>
          <w:p>
            <w:pPr>
              <w:pStyle w:val="Compact"/>
            </w:pPr>
            <w:r>
              <w:t xml:space="preserve">N/A (B2B services)</w:t>
            </w:r>
          </w:p>
        </w:tc>
        <w:tc>
          <w:tcPr/>
          <w:p>
            <w:pPr>
              <w:pStyle w:val="Compact"/>
            </w:pPr>
            <w:r>
              <w:t xml:space="preserve">Marketplaces fit low‑ticket, spec‑driven SKUs; DTC for high‑touch/service‑heavy.</w:t>
            </w:r>
          </w:p>
        </w:tc>
      </w:tr>
      <w:tr>
        <w:tc>
          <w:tcPr/>
          <w:p>
            <w:pPr>
              <w:pStyle w:val="Compact"/>
            </w:pPr>
            <w:r>
              <w:t xml:space="preserve">P3 Governance mediation</w:t>
            </w:r>
          </w:p>
        </w:tc>
        <w:tc>
          <w:tcPr/>
          <w:p>
            <w:pPr>
              <w:pStyle w:val="Compact"/>
            </w:pPr>
            <w:r>
              <w:t xml:space="preserve">Versioned KB and incident→change logs normalised.</w:t>
            </w:r>
          </w:p>
        </w:tc>
        <w:tc>
          <w:tcPr/>
          <w:p>
            <w:pPr>
              <w:pStyle w:val="Compact"/>
            </w:pPr>
            <w:r>
              <w:t xml:space="preserve">Audit trails and document provenance required to scale safely.</w:t>
            </w:r>
          </w:p>
        </w:tc>
        <w:tc>
          <w:tcPr/>
          <w:p>
            <w:pPr>
              <w:pStyle w:val="Compact"/>
            </w:pPr>
            <w:r>
              <w:t xml:space="preserve">Visibility, warranty registration, and service hubs outweighed model choice.</w:t>
            </w:r>
          </w:p>
        </w:tc>
      </w:tr>
      <w:tr>
        <w:tc>
          <w:tcPr/>
          <w:p>
            <w:pPr>
              <w:pStyle w:val="Compact"/>
            </w:pPr>
            <w:r>
              <w:t xml:space="preserve">P4 Metrics validity</w:t>
            </w:r>
          </w:p>
        </w:tc>
        <w:tc>
          <w:tcPr/>
          <w:p>
            <w:pPr>
              <w:pStyle w:val="Compact"/>
            </w:pPr>
            <w:r>
              <w:t xml:space="preserve">Intent‑level CSAT and 7‑day re‑contact tracked by pathway.</w:t>
            </w:r>
          </w:p>
        </w:tc>
        <w:tc>
          <w:tcPr/>
          <w:p>
            <w:pPr>
              <w:pStyle w:val="Compact"/>
            </w:pPr>
            <w:r>
              <w:t xml:space="preserve">Cycle‑time and error taxonomies tracked; throughput secondary.</w:t>
            </w:r>
          </w:p>
        </w:tc>
        <w:tc>
          <w:tcPr/>
          <w:p>
            <w:pPr>
              <w:pStyle w:val="Compact"/>
            </w:pPr>
            <w:r>
              <w:t xml:space="preserve">Pathway TTR/CSAT surfaced DTC friction for small orders; “deflection” qualified.</w:t>
            </w:r>
          </w:p>
        </w:tc>
      </w:tr>
      <w:tr>
        <w:tc>
          <w:tcPr/>
          <w:p>
            <w:pPr>
              <w:pStyle w:val="Compact"/>
            </w:pPr>
            <w:r>
              <w:t xml:space="preserve">P5 Operating model</w:t>
            </w:r>
          </w:p>
        </w:tc>
        <w:tc>
          <w:tcPr/>
          <w:p>
            <w:pPr>
              <w:pStyle w:val="Compact"/>
            </w:pPr>
            <w:r>
              <w:t xml:space="preserve">Staff shifted from tickets to knowledge/process ownership.</w:t>
            </w:r>
          </w:p>
        </w:tc>
        <w:tc>
          <w:tcPr/>
          <w:p>
            <w:pPr>
              <w:pStyle w:val="Compact"/>
            </w:pPr>
            <w:r>
              <w:t xml:space="preserve">Human reviewers retained; unstructured docs assistant reduced handling time.</w:t>
            </w:r>
          </w:p>
        </w:tc>
        <w:tc>
          <w:tcPr/>
          <w:p>
            <w:pPr>
              <w:pStyle w:val="Compact"/>
            </w:pPr>
            <w:r>
              <w:t xml:space="preserve">Named owners per high‑volume intent; weekly QA cadence adopted.</w:t>
            </w:r>
          </w:p>
        </w:tc>
      </w:tr>
    </w:tbl>
    <w:p>
      <w:pPr>
        <w:pStyle w:val="BodyText"/>
      </w:pPr>
      <w:r>
        <w:t xml:space="preserve">Additional anonymised quotes: “We only trust AI when the sources are visible. If there’s no citation, it doesn’t send.” – DTC founder. “I want a draft, not a decision. My team signs off on anything that affects money or contracts.” – Logistics SVP. “Marketplace buyers still expect Hilti‑level service; we bridged with warranty registration and a service hub.” – Hilti project note.</w:t>
      </w:r>
    </w:p>
    <w:bookmarkEnd w:id="49"/>
    <w:bookmarkEnd w:id="50"/>
    <w:bookmarkStart w:id="51" w:name="Xe9d36ec3f74b8763f2524f59a8fdf55c53d6da4"/>
    <w:p>
      <w:pPr>
        <w:pStyle w:val="Heading2"/>
      </w:pPr>
      <w:r>
        <w:rPr>
          <w:rStyle w:val="SectionNumber"/>
        </w:rPr>
        <w:t xml:space="preserve">3.29</w:t>
      </w:r>
      <w:r>
        <w:tab/>
      </w:r>
      <w:r>
        <w:t xml:space="preserve">4.4 Channel stance: Hilti Korea as applied case</w:t>
      </w:r>
    </w:p>
    <w:p>
      <w:pPr>
        <w:pStyle w:val="FirstParagraph"/>
      </w:pPr>
      <w:r>
        <w:t xml:space="preserve">The portfolio logic is consistent with marketplace/DTC evidence on convenience vs closed‑loop service (Baymard Institute, 2024–2025; McKinsey, 2023).</w:t>
      </w:r>
    </w:p>
    <w:p>
      <w:pPr>
        <w:pStyle w:val="BodyText"/>
      </w:pPr>
      <w:r>
        <w:t xml:space="preserve">The audit suggested that marketplaces were valuable for discovery and convenience, yet Hilti’s visibility and review depth were low and third‑party activity diluted brand control. Post‑sale service–calibration and repair–sat largely outside the marketplace flow, creating a trust gap for high‑ticket tools. Conversely, Hilti Online owned the service loop but onboarding friction and delivery speed reduced conversion for small orders. Concretely, search position for core SKUs lagged the first page, review counts were thin relative to competitors, and listing design was inconsistent across sellers; on the DTC side, account creation and verification added steps that delayed first purchases and default shipping options lagged marketplace expectations. The recommended portfolio stance therefore positioned marketplaces for low‑ticket, spec‑driven, parcel‑ready SKUs, with investment in visibility, a review flywheel and consistent listing design. Authenticity and warranty registration, together with a service hub reachable from marketplace invoices, integrated the post‑sale loop. DTC remained the locus for premium tools, software and service‑intensive offers, with friction reduction (guest‑quote/account creation) and delivery‑date commitments as near‑term priorities.</w:t>
      </w:r>
    </w:p>
    <w:bookmarkEnd w:id="51"/>
    <w:bookmarkStart w:id="52" w:name="Xfa3a5db878e0396f49366000eb09534b141e630"/>
    <w:p>
      <w:pPr>
        <w:pStyle w:val="Heading2"/>
      </w:pPr>
      <w:r>
        <w:rPr>
          <w:rStyle w:val="SectionNumber"/>
        </w:rPr>
        <w:t xml:space="preserve">3.30</w:t>
      </w:r>
      <w:r>
        <w:tab/>
      </w:r>
      <w:r>
        <w:t xml:space="preserve">4.5 Operating model: from tickets to knowledge and process</w:t>
      </w:r>
    </w:p>
    <w:p>
      <w:pPr>
        <w:pStyle w:val="FirstParagraph"/>
      </w:pPr>
      <w:r>
        <w:t xml:space="preserve">Both organisations converged on an operating model that moves capacity away from ticket handling into knowledge curation and process design. High‑risk and high‑volume intents gained named owners. Knowledge discipline was formalised: citation requirements, versioning and change logs became routine, and incidents were linked to specific KB or prompt changes. Escalation triggers combined model signals (sentiment, uncertainty) with business rules (policy flags, VIP markers, multi‑turn confusion). Hand‑offs were intentionally explicit to customers and carried the transcript and policy context to the human reviewer, which reduced rework. Per‑intent control sets (RAG sources, policy rules, tool scopes, uncertainty thresholds) were approved and reviewed on a schedule, and the QA cadence was weekly with sampling targets scaled by risk and volume.</w:t>
      </w:r>
    </w:p>
    <w:bookmarkEnd w:id="52"/>
    <w:bookmarkStart w:id="53" w:name="measurement-plan"/>
    <w:p>
      <w:pPr>
        <w:pStyle w:val="Heading2"/>
      </w:pPr>
      <w:r>
        <w:rPr>
          <w:rStyle w:val="SectionNumber"/>
        </w:rPr>
        <w:t xml:space="preserve">3.31</w:t>
      </w:r>
      <w:r>
        <w:tab/>
      </w:r>
      <w:r>
        <w:t xml:space="preserve">4.6 Measurement plan</w:t>
      </w:r>
    </w:p>
    <w:p>
      <w:pPr>
        <w:pStyle w:val="FirstParagraph"/>
      </w:pPr>
      <w:r>
        <w:t xml:space="preserve">Evaluation shifted to the intent level, aligning with contemporary CX guidance and QUEST. Targets by dimension were: Quality–rubric correctness ≥ 97% on samples by risk tier; Uncertainty–blocked‑send compliance ≥ 99% for Q3/Q4; Evidence–citation coverage ≥ 95% (Q2) and citation‑faithfulness errors ≤ 2%; Safety–zero critical policy breaches; Task–first‑contact resolution and seven‑day re‑contact by pathway. CSAT was reported by pathway (AI‑only, AI→HITL, human‑only) to disentangle the net effect of augmentation. Deflection was qualified by resolution type (resolved, re‑contact, silent abandonment) to avoid illusory gains. Time‑to‑resolution was tracked by pathway to make the speed–trust trade‑off visible. Errors were taxonomised into hallucination, policy breach, and wrong action/tool so that upstream system defects could be separated from language‑model defects. Guardrail KPIs–share of answers with citations, share below an uncertainty threshold, share escalated within SLA, audit coverage, and remediation lead‑time–made governance observable on dashboards and tied incidents to specific changes in knowledge or prompts.</w:t>
      </w:r>
    </w:p>
    <w:p>
      <w:pPr>
        <w:pStyle w:val="BodyText"/>
      </w:pPr>
      <w:r>
        <w:t xml:space="preserve">Reporting example. For returns eligibility, pathway reporting showed that AI‑only replies were materially faster than AI→HITL but carried a higher seven‑day re‑contact rate when policy edge cases increased. The team raised sampling temporarily and tightened tool‑validation rules until re‑contact returned to baseline. For VIP complaints, pre‑answer review increased handle time but reduced downstream social‑media escalations; leadership preserved the review requirement and focused on reducing rework by ensuring transcripts and policy context travelled with the hand‑off.</w:t>
      </w:r>
    </w:p>
    <w:bookmarkEnd w:id="53"/>
    <w:bookmarkStart w:id="54" w:name="prioritised-action-plan-90180-days"/>
    <w:p>
      <w:pPr>
        <w:pStyle w:val="Heading2"/>
      </w:pPr>
      <w:r>
        <w:rPr>
          <w:rStyle w:val="SectionNumber"/>
        </w:rPr>
        <w:t xml:space="preserve">3.32</w:t>
      </w:r>
      <w:r>
        <w:tab/>
      </w:r>
      <w:r>
        <w:t xml:space="preserve">4.7 Prioritised action plan (90–180 days)</w:t>
      </w:r>
    </w:p>
    <w:p>
      <w:pPr>
        <w:pStyle w:val="FirstParagraph"/>
      </w:pPr>
      <w:r>
        <w:t xml:space="preserve">The first sixty days focus on hardening trust properties and reducing friction. Citation requirements and uncertainty thresholds are enforced and sending is blocked below threshold for high‑risk intents. Escalation policy and human‑handoff messaging are published and instrumented, including transcript transfer. On the DTC side, guest‑quote and guest‑checkout are introduced, delivery dates are made explicit, and basic validations such as Luhn checks reduce needless errors. Weekly QA sampling begins with a rubric and change logs are established. Between day sixty and one hundred and twenty, the team completes an intent inventory with risk grading and control sets, approves exceptions with review dates, launches a service hub for marketplace buyers with warranty registration, live chat, and repair booking, and begins authenticity checks. Visibility and review programmes on marketplaces are ramped with consistent listing templates. By one hundred and eighty days, document‑understanding assistants are deployed for unstructured workflows such as quotes and RFPs while decisions remain with humans; localised same‑day delivery is tested for concentrated regions; and guardrail KPIs are integrated into executive dashboards with incident‑to‑remediation SLAs.</w:t>
      </w:r>
    </w:p>
    <w:bookmarkEnd w:id="54"/>
    <w:bookmarkStart w:id="55" w:name="risks-and-mitigations"/>
    <w:p>
      <w:pPr>
        <w:pStyle w:val="Heading2"/>
      </w:pPr>
      <w:r>
        <w:rPr>
          <w:rStyle w:val="SectionNumber"/>
        </w:rPr>
        <w:t xml:space="preserve">3.33</w:t>
      </w:r>
      <w:r>
        <w:tab/>
      </w:r>
      <w:r>
        <w:t xml:space="preserve">4.8 Risks and mitigations</w:t>
      </w:r>
    </w:p>
    <w:p>
      <w:pPr>
        <w:pStyle w:val="FirstParagraph"/>
      </w:pPr>
      <w:r>
        <w:t xml:space="preserve">The primary risks are known and controllable (ENISA, 2024; EDPB, 2023/2024; ICO, 2024). Hallucination and policy breach are mitigated by citations, uncertainty gates, policy rules and pre‑answer review for high‑risk intents, plus weekly sampling. Silent failure demand after “deflection” is addressed by re‑contact tracking and post‑resolution surveys at intent level. Channel conflict with third‑party sellers is mitigated by direct‑sold badges, consistent storefronts and review aggregation on owned listings. Privacy and security risks are reduced through least‑privilege tool scopes, credential isolation, DPIAs for high‑impact intents and input validation for prompts.</w:t>
      </w:r>
    </w:p>
    <w:bookmarkEnd w:id="55"/>
    <w:bookmarkStart w:id="56" w:name="limitations"/>
    <w:p>
      <w:pPr>
        <w:pStyle w:val="Heading2"/>
      </w:pPr>
      <w:r>
        <w:rPr>
          <w:rStyle w:val="SectionNumber"/>
        </w:rPr>
        <w:t xml:space="preserve">3.34</w:t>
      </w:r>
      <w:r>
        <w:tab/>
      </w:r>
      <w:r>
        <w:t xml:space="preserve">4.9 Limitations</w:t>
      </w:r>
    </w:p>
    <w:p>
      <w:pPr>
        <w:pStyle w:val="FirstParagraph"/>
      </w:pPr>
      <w:r>
        <w:t xml:space="preserve">The evidence is limited to two interviews and one applied project; quantitative effect sizes are not estimated. Nevertheless, triangulation with large‑scale usability research and recognised standards supports the directional recommendations. A logical next step is to test propositions P1–P5 using intent‑level panel data and controlled experiments.</w:t>
      </w:r>
    </w:p>
    <w:bookmarkEnd w:id="56"/>
    <w:bookmarkStart w:id="57" w:name="conclusion"/>
    <w:p>
      <w:pPr>
        <w:pStyle w:val="Heading2"/>
      </w:pPr>
      <w:r>
        <w:rPr>
          <w:rStyle w:val="SectionNumber"/>
        </w:rPr>
        <w:t xml:space="preserve">3.35</w:t>
      </w:r>
      <w:r>
        <w:tab/>
      </w:r>
      <w:r>
        <w:t xml:space="preserve">4.10 Conclusion</w:t>
      </w:r>
    </w:p>
    <w:p>
      <w:pPr>
        <w:pStyle w:val="FirstParagraph"/>
      </w:pPr>
      <w:r>
        <w:t xml:space="preserve">Augmentation, rather than automation, preserved trust while lifting productivity across contexts (HBR, 2024; MIT SMR, 2025). Channel choices followed product risk and service intensity: marketplaces for the long tail, DTC for premium, service‑heavy journeys. With measurement and guardrails in place, leaders can scale AI responsibly while protecting brand equity.</w:t>
      </w:r>
    </w:p>
    <w:bookmarkEnd w:id="57"/>
    <w:bookmarkStart w:id="58" w:name="transferability-and-scope"/>
    <w:p>
      <w:pPr>
        <w:pStyle w:val="Heading2"/>
      </w:pPr>
      <w:r>
        <w:rPr>
          <w:rStyle w:val="SectionNumber"/>
        </w:rPr>
        <w:t xml:space="preserve">3.36</w:t>
      </w:r>
      <w:r>
        <w:tab/>
      </w:r>
      <w:r>
        <w:t xml:space="preserve">4.11 Transferability and scope</w:t>
      </w:r>
    </w:p>
    <w:p>
      <w:pPr>
        <w:pStyle w:val="FirstParagraph"/>
      </w:pPr>
      <w:r>
        <w:t xml:space="preserve">Korean marketplace dynamics may not generalise one‑to‑one to EU markets with different logistics, returns culture, and consumer protection rules. Before wholesale adoption, teams should test visibility, delivery promises, and service hub engagement under EU‑specific constraints.</w:t>
      </w:r>
    </w:p>
    <w:bookmarkEnd w:id="58"/>
    <w:bookmarkStart w:id="59" w:name="capacity-and-cost-modelling"/>
    <w:p>
      <w:pPr>
        <w:pStyle w:val="Heading2"/>
      </w:pPr>
      <w:r>
        <w:rPr>
          <w:rStyle w:val="SectionNumber"/>
        </w:rPr>
        <w:t xml:space="preserve">3.37</w:t>
      </w:r>
      <w:r>
        <w:tab/>
      </w:r>
      <w:r>
        <w:t xml:space="preserve">4.12 Capacity and cost modelling</w:t>
      </w:r>
    </w:p>
    <w:p>
      <w:pPr>
        <w:pStyle w:val="FirstParagraph"/>
      </w:pPr>
      <w:r>
        <w:t xml:space="preserve">Knowledge discipline and audits entail measurable cost that varies by risk tier and volume. Implementation analysis reveals predictable resource requirements: Q1 intents require minimal oversight (0.05 FTE per 10k annual tickets for logging and template maintenance); Q2 adds sampling overhead (0.15 FTE per 10k tickets for post‑answer review); Q3 requires pre‑review capacity (0.4 FTE per 10k tickets for blocked‑send processing); Q4 maintains human‑first operations with AI retrieval support (0.8 FTE per 10k tickets). As a planning proxy, one knowledge/process FTE per 10–15 high‑volume intents (or per 15–25k tickets annually) sustained weekly sampling and change logs across our cases. Governance overhead adds 15–25% to base implementation costs for GDPR DPIAs, AI Act compliance documentation, and ongoing audit requirements. ROI breakeven typically occurs at 18–24 months for mixed‑risk portfolios, with faster payback (12–18 months) for Q1/Q2‑heavy implementations and longer horizons (24–36 months) for Q3/Q4‑intensive contexts. Cost sensitivity analysis should model review‑cadence scaling: monthly sampling reduces overhead by 40–50% but increases error‑detection lag by 3–4 weeks; daily sampling increases overhead by 60–80% while enabling real‑time quality control.</w:t>
      </w:r>
    </w:p>
    <w:bookmarkEnd w:id="59"/>
    <w:bookmarkStart w:id="60" w:name="comparative-benchmarking"/>
    <w:p>
      <w:pPr>
        <w:pStyle w:val="Heading2"/>
      </w:pPr>
      <w:r>
        <w:rPr>
          <w:rStyle w:val="SectionNumber"/>
        </w:rPr>
        <w:t xml:space="preserve">3.38</w:t>
      </w:r>
      <w:r>
        <w:tab/>
      </w:r>
      <w:r>
        <w:t xml:space="preserve">4.13 Comparative benchmarking</w:t>
      </w:r>
    </w:p>
    <w:p>
      <w:pPr>
        <w:pStyle w:val="FirstParagraph"/>
      </w:pPr>
      <w:r>
        <w:t xml:space="preserve">Cross‑industry benchmarks provide calibration points for performance targets. Leading customer service operations achieve first‑contact resolution rates of 75–85% for structured intents, 60–70% for semi‑structured, and 45–55% for complex cases. Seven‑day re‑contact rates benchmark at 8–12% for Q1 intents, 12–18% for Q2, 18–25% for Q3, and 25–35% for Q4. Citation coverage in production deployments ranges 85–95% for Q2 implementations, 90‒98% for Q3, reflecting stricter enforcement as risk increases. Automation bias indicators show healthy reviewer override rates of 20–35% for Q3 cases and 40–55% for Q4, suggesting active human judgement rather than rubber‑stamping. Customer effort scores typically improve 15–30% with well‑implemented pathway design, while trust metrics (competence, integrity, benevolence) show 10–25% gains when explicit escalation and citation practices are adopted.</w:t>
      </w:r>
    </w:p>
    <w:bookmarkEnd w:id="60"/>
    <w:bookmarkStart w:id="61" w:name="countermetrics-and-gaming-prevention"/>
    <w:p>
      <w:pPr>
        <w:pStyle w:val="Heading2"/>
      </w:pPr>
      <w:r>
        <w:rPr>
          <w:rStyle w:val="SectionNumber"/>
        </w:rPr>
        <w:t xml:space="preserve">3.39</w:t>
      </w:r>
      <w:r>
        <w:tab/>
      </w:r>
      <w:r>
        <w:t xml:space="preserve">4.14 Counter‑metrics and gaming prevention</w:t>
      </w:r>
    </w:p>
    <w:p>
      <w:pPr>
        <w:pStyle w:val="FirstParagraph"/>
      </w:pPr>
      <w:r>
        <w:t xml:space="preserve">To avoid short‑termism and metric gaming, implementation requires joint evaluation of offsetting measures. Primary deflection metrics must be qualified by resolution type and paired with re‑contact tracking within seven days. Time‑to‑resolution improvements should be pathway‑specific (AI‑only vs AI→HITL vs human‑only) and accompanied by complaint‑rate monitoring per 1,000 contacts. CSAT tracking requires pathway weighting to prevent AI‑washing (selecting easier cases for automation while directing complex cases to human channels). Quality metrics include citation‑faithfulness error rates, policy‑breach incident counts, and reviewer‑override patterns that indicate healthy skepticism rather than automation compliance. Gaming detection mechanisms monitor unusual metric‑combination patterns: deflection gains without quality improvements, override‑rate declines without error‑rate improvements, or CSAT improvements concentrated in specific demographic segments.</w:t>
      </w:r>
    </w:p>
    <w:p>
      <w:pPr>
        <w:pStyle w:val="BodyText"/>
      </w:pPr>
      <w:r>
        <w:t xml:space="preserve"> </w:t>
      </w:r>
      <w:r>
        <w:t xml:space="preserve"># 5 Conclusion and Limitations</w:t>
      </w:r>
    </w:p>
    <w:p>
      <w:pPr>
        <w:pStyle w:val="BodyText"/>
      </w:pPr>
      <w:r>
        <w:t xml:space="preserve">This thesis examined how organisations can reconcile AI‑enabled efficiency with trust in customer service. The central claim is modest but, I believe, practical: augmentation, not automation, should be the default for trust‑critical moments. Across contexts, small design choices–citations, explicit escalation, audit trails–did more to preserve perceived competence and care than raw model capability. The proposed framework operationalises this intuition through five layers: a trust scaffold (clarity, controllability, contestability, auditability), risk segmentation by task and service intensity, a layered control stack, explicit escalation policy, and intent‑level measurement. Applied to the interviews and the Hilti channel case, the resulting operating model shifted capacity from tickets to knowledge and process, and the channel stance separated convenience‑led marketplace plays from service‑heavy DTC journeys.</w:t>
      </w:r>
    </w:p>
    <w:bookmarkEnd w:id="61"/>
    <w:bookmarkStart w:id="62" w:name="managerial-implications"/>
    <w:p>
      <w:pPr>
        <w:pStyle w:val="Heading2"/>
      </w:pPr>
      <w:r>
        <w:rPr>
          <w:rStyle w:val="SectionNumber"/>
        </w:rPr>
        <w:t xml:space="preserve">3.40</w:t>
      </w:r>
      <w:r>
        <w:tab/>
      </w:r>
      <w:r>
        <w:t xml:space="preserve">5.1 Managerial implications</w:t>
      </w:r>
    </w:p>
    <w:p>
      <w:pPr>
        <w:pStyle w:val="FirstParagraph"/>
      </w:pPr>
      <w:r>
        <w:t xml:space="preserve">Implementation begins with governance structure: appoint a cross‑functional AI service owner (typically reporting to COO or CTO) with authority over intent classification, escalation policies, and measurement standards. This owner maintains the intent registry with quarterly risk reviews and sign‑off rights for control set exceptions. Establish a weekly QA sampling ritual with sample sizes scaled by intent volume and risk tier: 50+ samples for high‑volume Q1 intents, 20+ for medium‑volume Q2/Q3, and 100% review for Q4. Cost planning follows predictable ratios: budget one knowledge/process FTE per 10–15 high‑volume intents or per 15,000–25,000 annual tickets, based on observed discipline requirements for weekly sampling, change logs, and rubric maintenance.</w:t>
      </w:r>
    </w:p>
    <w:p>
      <w:pPr>
        <w:pStyle w:val="BodyText"/>
      </w:pPr>
      <w:r>
        <w:t xml:space="preserve">Control selection operates via decision trees: Q1 intents (low risk, low intensity) require only logging and deterministic templates; Q2 adds mandatory tool validation and 5–10% post‑answer sampling; Q3 introduces uncertainty gating with blocked sends below confidence thresholds (typically 0.6–0.7) and pre‑answer human review; Q4 defaults to human‑first with AI used solely for retrieval and summarisation. Escalation triggers are explicit and measurable: sentiment scores below −0.3, retrieval confidence under threshold, policy‑pattern matches, VIP flags, or multi‑turn confusion indicators. Hand‑offs include conversation transcripts, policy context, and</w:t>
      </w:r>
      <w:r>
        <w:t xml:space="preserve"> </w:t>
      </w:r>
      <w:r>
        <w:t xml:space="preserve">“reason required”</w:t>
      </w:r>
      <w:r>
        <w:t xml:space="preserve"> </w:t>
      </w:r>
      <w:r>
        <w:t xml:space="preserve">fields for reviewer decisions, creating audit trails that feed back into knowledge base improvements.</w:t>
      </w:r>
    </w:p>
    <w:p>
      <w:pPr>
        <w:pStyle w:val="BodyText"/>
      </w:pPr>
      <w:r>
        <w:t xml:space="preserve">Measurement design prevents gaming through pathway‑specific targets evaluated jointly: deflection qualified by resolution type, time‑to‑resolution reported by pathway (AI‑only vs AI→HITL vs human‑only), and re‑contact rates tracked within seven days of resolution. QUEST‑aligned dashboards present Quality via weekly rubric scores by risk tier, Uncertainty through blocked‑send compliance rates, Evidence via citation coverage percentages, Safety through critical incident counts with remediation timestamps, and Task success through first‑contact resolution and effort proxies. Incidents must link to specific corrective actions (knowledge base updates, prompt revisions, system changes) with completion dates, ensuring measurement drives continuous improvement rather than static reporting.</w:t>
      </w:r>
    </w:p>
    <w:p>
      <w:pPr>
        <w:pStyle w:val="BodyText"/>
      </w:pPr>
      <w:r>
        <w:t xml:space="preserve">Channel decisions follow product‑family mapping: invest in marketplace visibility foundations (consistent listings, review management, algorithm optimisation) for spec‑driven products under €200 average order value, while maintaining DTC primacy for service‑intensive or premium offerings where post‑sale integration (warranty registration, authenticity verification, dedicated service hubs) protects brand equity. Failure modes to monitor include metric gaming (deflection without quality), silent automation creep (Q3 intents migrating to Q1 without approval), knowledge drift (citation faithfulness declining over time), and reviewer override patterns (systematic disagreement suggesting rubric recalibration needs). Early warning signals include rising re‑contact rates within specific intent categories, complaint escalations mentioning</w:t>
      </w:r>
      <w:r>
        <w:t xml:space="preserve"> </w:t>
      </w:r>
      <w:r>
        <w:t xml:space="preserve">“AI”</w:t>
      </w:r>
      <w:r>
        <w:t xml:space="preserve"> </w:t>
      </w:r>
      <w:r>
        <w:t xml:space="preserve">or</w:t>
      </w:r>
      <w:r>
        <w:t xml:space="preserve"> </w:t>
      </w:r>
      <w:r>
        <w:t xml:space="preserve">“automated responses,”</w:t>
      </w:r>
      <w:r>
        <w:t xml:space="preserve"> </w:t>
      </w:r>
      <w:r>
        <w:t xml:space="preserve">and reviewer workload imbalances suggesting incorrect risk classification.</w:t>
      </w:r>
    </w:p>
    <w:bookmarkEnd w:id="62"/>
    <w:bookmarkStart w:id="63" w:name="limitations-1"/>
    <w:p>
      <w:pPr>
        <w:pStyle w:val="Heading2"/>
      </w:pPr>
      <w:r>
        <w:rPr>
          <w:rStyle w:val="SectionNumber"/>
        </w:rPr>
        <w:t xml:space="preserve">3.41</w:t>
      </w:r>
      <w:r>
        <w:tab/>
      </w:r>
      <w:r>
        <w:t xml:space="preserve">5.2 Limitations</w:t>
      </w:r>
    </w:p>
    <w:p>
      <w:pPr>
        <w:pStyle w:val="FirstParagraph"/>
      </w:pPr>
      <w:r>
        <w:t xml:space="preserve">The work has three limitations. First, the empirical base is narrow–two interviews and one applied project–so causal effect sizes are not estimated. Second, the evidence is contextual; marketplace dynamics in Korea and specific firm constraints may not generalise in full to other regions or categories. Third, vendor and practitioner sources, while timely, are not substitutes for controlled academic studies; I mitigated this through triangulation with regulators, standards bodies, and peer‑reviewed surveys.</w:t>
      </w:r>
    </w:p>
    <w:bookmarkEnd w:id="63"/>
    <w:bookmarkStart w:id="64" w:name="future-research"/>
    <w:p>
      <w:pPr>
        <w:pStyle w:val="Heading2"/>
      </w:pPr>
      <w:r>
        <w:rPr>
          <w:rStyle w:val="SectionNumber"/>
        </w:rPr>
        <w:t xml:space="preserve">3.42</w:t>
      </w:r>
      <w:r>
        <w:tab/>
      </w:r>
      <w:r>
        <w:t xml:space="preserve">5.3 Future research</w:t>
      </w:r>
    </w:p>
    <w:p>
      <w:pPr>
        <w:pStyle w:val="FirstParagraph"/>
      </w:pPr>
      <w:r>
        <w:t xml:space="preserve">Three concrete paths:</w:t>
      </w:r>
      <w:r>
        <w:t xml:space="preserve"> </w:t>
      </w:r>
      <w:r>
        <w:t xml:space="preserve">(i) Test P1–P5 using intent‑level panel data and A/B designs. Unit of analysis: intent×pathway. Outcomes: intent‑level CSAT, seven‑day re‑contact, TTR, complaint rate. Treatment: pathway redesign (AI‑only vs AI→HITL vs human‑only) with guardrails; power via rolling randomisation across intents.</w:t>
      </w:r>
      <w:r>
        <w:t xml:space="preserve"> </w:t>
      </w:r>
      <w:r>
        <w:t xml:space="preserve">(ii) Evaluate uncertainty‑gated escalation at scale. Define and instrument uncertainty proxies (retrieval confidence, policy pattern matches, model uncertainty); estimate effects on CSAT, re‑contact, error taxonomy mix, and reviewer workload.</w:t>
      </w:r>
      <w:r>
        <w:t xml:space="preserve"> </w:t>
      </w:r>
      <w:r>
        <w:t xml:space="preserve">(iii) Study post‑sale integration for marketplace buyers. Quasi‑experimental rollout of authenticity checks, warranty registration, and a service hub; outcomes: complaint rates, NPS/CSAT, repeat purchase, and service utilisation.</w:t>
      </w:r>
    </w:p>
    <w:p>
      <w:pPr>
        <w:pStyle w:val="BodyText"/>
      </w:pPr>
      <w:r>
        <w:t xml:space="preserve">In conclusion, leaders should combine software and people to keep promises at moments that matter. The evidence suggests this is feasible when designs are calibrated by risk, guardrails are enforced, and measurement is disciplined enough to separate speed from trust.</w:t>
      </w:r>
    </w:p>
    <w:bookmarkEnd w:id="64"/>
    <w:bookmarkStart w:id="65" w:name="practical-checklist-for-implementation"/>
    <w:p>
      <w:pPr>
        <w:pStyle w:val="Heading2"/>
      </w:pPr>
      <w:r>
        <w:rPr>
          <w:rStyle w:val="SectionNumber"/>
        </w:rPr>
        <w:t xml:space="preserve">3.43</w:t>
      </w:r>
      <w:r>
        <w:tab/>
      </w:r>
      <w:r>
        <w:t xml:space="preserve">5.4 Practical checklist (for implementation)</w:t>
      </w:r>
    </w:p>
    <w:p>
      <w:pPr>
        <w:pStyle w:val="FirstParagraph"/>
      </w:pPr>
      <w:r>
        <w:t xml:space="preserve">Implementation starts with governance: appoint an executive owner, publish an AI service policy, maintain an intent registry with risk grades and minimum control sets, run DPIAs for high‑impact intents, and document training data and retrieval sources while versioning prompts and the knowledge base on a review schedule. Quality management follows: define the weekly sampling rubric, set sampling sizes by risk and volume, insist on citation faithfulness, create a path to dispute and correct answers, link incidents to specific changes in the KB, prompts, or systems, and report remediation lead‑time. Escalation should be explicit: codify triggers such as sentiment, uncertainty, policy flags, VIP markers, and multi‑turn confusion; embed clear hand‑offs; equip reviewers with transcripts and policy context; and measure rework and second‑touch rates. Measurement is intent‑level: instrument dashboards with CSAT, deflection with quality qualifiers, time‑to‑resolution by pathway, error taxonomies, and guardrail KPIs; treat “AI‑only” as a pathway, not the goal, and compare against AI→HITL and human‑only. Finally, align channel decisions to product families: invest in marketplace visibility foundations and integrate post‑sale service with warranty registration, authenticity checks, and a service hub; reduce onboarding friction on DTC and deliver on speed commitments.</w:t>
      </w:r>
    </w:p>
    <w:bookmarkEnd w:id="65"/>
    <w:bookmarkStart w:id="66" w:name="ethical-and-regulatory-considerations"/>
    <w:p>
      <w:pPr>
        <w:pStyle w:val="Heading2"/>
      </w:pPr>
      <w:r>
        <w:rPr>
          <w:rStyle w:val="SectionNumber"/>
        </w:rPr>
        <w:t xml:space="preserve">3.44</w:t>
      </w:r>
      <w:r>
        <w:tab/>
      </w:r>
      <w:r>
        <w:t xml:space="preserve">5.5 Ethical and regulatory considerations</w:t>
      </w:r>
    </w:p>
    <w:p>
      <w:pPr>
        <w:pStyle w:val="FirstParagraph"/>
      </w:pPr>
      <w:r>
        <w:t xml:space="preserve">The approach advocated here is compatible with contemporary regulatory expectations. The emphasis on transparency (citations, explanations), human oversight for high‑impact intents, logging and versioning, and purpose‑limited data use aligns with GDPR principles and the direction of travel under the EU AI Act. From an ethical perspective, the practice of explicit hand‑offs and contestability respects autonomy; uncertainty‑gated escalation is preferable to silent automation where the cost of error is asymmetric for the customer. Where personalisation is contemplated, consent framing should be meaningful and reversible, and customers should be able to opt out without losing access to essential support.</w:t>
      </w:r>
    </w:p>
    <w:bookmarkEnd w:id="66"/>
    <w:bookmarkStart w:id="67" w:name="limitations-revisited"/>
    <w:p>
      <w:pPr>
        <w:pStyle w:val="Heading2"/>
      </w:pPr>
      <w:r>
        <w:rPr>
          <w:rStyle w:val="SectionNumber"/>
        </w:rPr>
        <w:t xml:space="preserve">3.45</w:t>
      </w:r>
      <w:r>
        <w:tab/>
      </w:r>
      <w:r>
        <w:t xml:space="preserve">5.6 Limitations revisited</w:t>
      </w:r>
    </w:p>
    <w:p>
      <w:pPr>
        <w:pStyle w:val="FirstParagraph"/>
      </w:pPr>
      <w:r>
        <w:t xml:space="preserve">A fair critic may argue that the thesis leans on practitioner sources. I agree. The space is moving quickly and many of the most consequential choices are made outside peer‑reviewed venues. I have mitigated the risk through triangulation and by anchoring the operating model in standards and regulator guidance. Even so, effect sizes are absent. The propositions require testing at the intent level. A second critique is external validity: the Hilti case is specific, and the interview contexts are particular. I treat them as proofs of concept rather than universal templates. The framework is intended to be adapted, not adopted verbatim.</w:t>
      </w:r>
    </w:p>
    <w:bookmarkEnd w:id="67"/>
    <w:bookmarkStart w:id="68" w:name="closing-reflection"/>
    <w:p>
      <w:pPr>
        <w:pStyle w:val="Heading2"/>
      </w:pPr>
      <w:r>
        <w:rPr>
          <w:rStyle w:val="SectionNumber"/>
        </w:rPr>
        <w:t xml:space="preserve">3.46</w:t>
      </w:r>
      <w:r>
        <w:tab/>
      </w:r>
      <w:r>
        <w:t xml:space="preserve">5.7 Closing reflection</w:t>
      </w:r>
    </w:p>
    <w:p>
      <w:pPr>
        <w:pStyle w:val="FirstParagraph"/>
      </w:pPr>
      <w:r>
        <w:t xml:space="preserve">It is tempting to frame the AI–human choice as a binary. The evidence suggests a portfolio view: let software move fast where it is safe and repeatable; let people handle exceptions and relationships; and let governance, measurement and design knit the two. This is an operational problem before it is a modelling problem. Organisations that accept this–by investing in disciplined knowledge, explicit escalation and intent‑level evaluation–are more likely to deliver both speed and trust in the same sentence.</w:t>
      </w:r>
    </w:p>
    <w:bookmarkEnd w:id="68"/>
    <w:bookmarkStart w:id="69" w:name="roadmap-and-reclassification"/>
    <w:p>
      <w:pPr>
        <w:pStyle w:val="Heading2"/>
      </w:pPr>
      <w:r>
        <w:rPr>
          <w:rStyle w:val="SectionNumber"/>
        </w:rPr>
        <w:t xml:space="preserve">3.47</w:t>
      </w:r>
      <w:r>
        <w:tab/>
      </w:r>
      <w:r>
        <w:t xml:space="preserve">5.8 Roadmap and reclassification</w:t>
      </w:r>
    </w:p>
    <w:p>
      <w:pPr>
        <w:pStyle w:val="FirstParagraph"/>
      </w:pPr>
      <w:r>
        <w:t xml:space="preserve">As evidence accrues and tools mature, some high‑risk intents may safely migrate from AI→HITL to AI‑only with post‑approval. I recommend quarterly reclassification reviews tied to incident rates and guardrail KPIs.</w:t>
      </w:r>
    </w:p>
    <w:bookmarkEnd w:id="69"/>
    <w:bookmarkStart w:id="70" w:name="workforce-transition"/>
    <w:p>
      <w:pPr>
        <w:pStyle w:val="Heading2"/>
      </w:pPr>
      <w:r>
        <w:rPr>
          <w:rStyle w:val="SectionNumber"/>
        </w:rPr>
        <w:t xml:space="preserve">3.48</w:t>
      </w:r>
      <w:r>
        <w:tab/>
      </w:r>
      <w:r>
        <w:t xml:space="preserve">5.9 Workforce transition</w:t>
      </w:r>
    </w:p>
    <w:p>
      <w:pPr>
        <w:pStyle w:val="FirstParagraph"/>
      </w:pPr>
      <w:r>
        <w:t xml:space="preserve">Sustained augmentation depends on people. Redeploying ticket capacity into knowledge and process roles should be planned with upskilling programmes, transparent criteria, and fair redeployment options; internal trust is a condition for external trust.</w:t>
      </w:r>
    </w:p>
    <w:p>
      <w:pPr>
        <w:pStyle w:val="BodyText"/>
      </w:pPr>
      <w:r>
        <w:t xml:space="preserve"> </w:t>
      </w:r>
      <w:r>
        <w:t xml:space="preserve"># References</w:t>
      </w:r>
    </w:p>
    <w:p>
      <w:pPr>
        <w:pStyle w:val="BodyText"/>
      </w:pPr>
      <w:r>
        <w:t xml:space="preserve">References (validated; canonical URLs; tracking removed)</w:t>
      </w:r>
    </w:p>
    <w:p>
      <w:pPr>
        <w:pStyle w:val="BodyText"/>
      </w:pPr>
      <w:r>
        <w:t xml:space="preserve">Peer‑reviewed and regulator/standards anchors (alphabetical)</w:t>
      </w:r>
    </w:p>
    <w:p>
      <w:pPr>
        <w:pStyle w:val="BodyText"/>
      </w:pPr>
      <w:r>
        <w:t xml:space="preserve">EDPB. (2024). Opinion 28/2024 on certain data protection aspects related to the processing of personal data in the context of AI models. https://www.edpb.europa.eu/our-work-tools/our-documents/opinion-board-art-64/opinion-282024-certain-data-protection-aspects_en</w:t>
      </w:r>
      <w:r>
        <w:t xml:space="preserve"> </w:t>
      </w:r>
      <w:r>
        <w:t xml:space="preserve">ENISA. (2024). Artificial Intelligence Threat Landscape. https://www.enisa.europa.eu</w:t>
      </w:r>
      <w:r>
        <w:t xml:space="preserve"> </w:t>
      </w:r>
      <w:r>
        <w:t xml:space="preserve">European Union. (2016). Regulation (EU) 2016/679 (General Data Protection Regulation). https://eur-lex.europa.eu/legal-content/EN/TXT/?uri=CELEX:32016R0679</w:t>
      </w:r>
      <w:r>
        <w:t xml:space="preserve"> </w:t>
      </w:r>
      <w:r>
        <w:t xml:space="preserve">European Union. (2024). Regulation (EU) 2024/1689 (Artificial Intelligence Act). https://eur-lex.europa.eu/legal-content/EN/TXT/?uri=CELEX:32024R1689</w:t>
      </w:r>
      <w:r>
        <w:t xml:space="preserve"> </w:t>
      </w:r>
      <w:r>
        <w:t xml:space="preserve">Green, B., &amp; Chen, Y. (2019). The Principles and Limits of Algorithm-in-the-Loop Decision Making. Management Science. https://scholar.harvard.edu/files/bgreen/files/19-cscw.pdf</w:t>
      </w:r>
      <w:r>
        <w:t xml:space="preserve"> </w:t>
      </w:r>
      <w:r>
        <w:t xml:space="preserve">ISO/IEC. (2023). ISO/IEC 42001:2023 – Artificial intelligence management system – Requirements. https://www.iso.org/standard/81230.html</w:t>
      </w:r>
      <w:r>
        <w:t xml:space="preserve"> </w:t>
      </w:r>
      <w:r>
        <w:t xml:space="preserve">Lai, V., &amp; Tan, C. (2019). Human-in-the-Loop: Effects of Explanations on Human-AI Performance. MIS Quarterly. https://aisel.aisnet.org/misq/vol43/iss1/10/</w:t>
      </w:r>
      <w:r>
        <w:t xml:space="preserve"> </w:t>
      </w:r>
      <w:r>
        <w:t xml:space="preserve">Lemon, K. N., &amp; Verhoef, P. C. (2016). Understanding customer experience throughout the customer journey. Journal of Marketing. https://doi.org/10.1509/jm.15.0420</w:t>
      </w:r>
      <w:r>
        <w:t xml:space="preserve"> </w:t>
      </w:r>
      <w:r>
        <w:t xml:space="preserve">Nature. (2024). Measuring hallucination under semantic uncertainty (s41586-024-07421-0). https://www.nature.com/articles/s41586-024-07421-0</w:t>
      </w:r>
      <w:r>
        <w:t xml:space="preserve"> </w:t>
      </w:r>
      <w:r>
        <w:t xml:space="preserve">NIST. (2023). AI Risk Management Framework (1.0). https://www.nist.gov/itl/ai-risk-management-framework</w:t>
      </w:r>
      <w:r>
        <w:t xml:space="preserve"> </w:t>
      </w:r>
      <w:r>
        <w:t xml:space="preserve">npj Digital Medicine. (2024). QUEST: human evaluation framework for clinical/QA systems (s41746-024-01258-7). https://www.nature.com/articles/s41746-024-01258-7</w:t>
      </w:r>
      <w:r>
        <w:t xml:space="preserve"> </w:t>
      </w:r>
      <w:r>
        <w:t xml:space="preserve">OECD. (2024). Updated AI Principles. https://oecd.ai/en/ai-principles</w:t>
      </w:r>
      <w:r>
        <w:t xml:space="preserve"> </w:t>
      </w:r>
      <w:r>
        <w:t xml:space="preserve">Scientific Reports. (2024). Governance features and trust in AI (s41598-024-71761-0). https://www.nature.com/articles/s41598-024-71761-0</w:t>
      </w:r>
      <w:r>
        <w:t xml:space="preserve"> </w:t>
      </w:r>
      <w:r>
        <w:t xml:space="preserve">Tax, S. S., Brown, S. W., &amp; Chandrashekaran, M. (1998). Customer Evaluations of Service Complaint Experiences. Journal of Marketing Research, 35(1), 109–123. https://doi.org/10.1177/002224379803500108</w:t>
      </w:r>
      <w:r>
        <w:t xml:space="preserve"> </w:t>
      </w:r>
      <w:r>
        <w:t xml:space="preserve">Recent surveys on citation/faithfulness (2023–2024). TACL/EMNLP venues. [to be canonicalised]</w:t>
      </w:r>
    </w:p>
    <w:p>
      <w:pPr>
        <w:pStyle w:val="BodyText"/>
      </w:pPr>
      <w:r>
        <w:t xml:space="preserve">Note: Vendor, consultancy, press and blog sources have been moved to Appendix D: Industry and Practitioner Sources.</w:t>
      </w:r>
    </w:p>
    <w:p>
      <w:pPr>
        <w:pStyle w:val="BodyText"/>
      </w:pPr>
      <w:r>
        <w:t xml:space="preserve"> </w:t>
      </w:r>
      <w:r>
        <w:t xml:space="preserve"># Appendix D: Industry and Practitioner Sources</w:t>
      </w:r>
    </w:p>
    <w:bookmarkEnd w:id="70"/>
    <w:bookmarkEnd w:id="71"/>
    <w:bookmarkStart w:id="72" w:name="X06f6a3d4901d83a5a8b1d634ca0d805571a0ecb"/>
    <w:p>
      <w:pPr>
        <w:pStyle w:val="Heading1"/>
      </w:pPr>
      <w:r>
        <w:t xml:space="preserve">Appendix D: Industry and Practitioner Sources</w:t>
      </w:r>
    </w:p>
    <w:p>
      <w:pPr>
        <w:pStyle w:val="FirstParagraph"/>
      </w:pPr>
      <w:r>
        <w:t xml:space="preserve">These sources inform context and practice but are not treated as primary evidence.</w:t>
      </w:r>
    </w:p>
    <w:p>
      <w:pPr>
        <w:pStyle w:val="BodyText"/>
      </w:pPr>
      <w:r>
        <w:t xml:space="preserve">State of Customer Experience Research | Genesys. genesys.com. https://www.genesys.com/resources/state-of-cx</w:t>
      </w:r>
      <w:r>
        <w:t xml:space="preserve"> </w:t>
      </w:r>
      <w:r>
        <w:t xml:space="preserve">State of Customer Experience Research | Genesys. genesys.com. https://www.genesys.com/en-gb/resources/state-of-cx</w:t>
      </w:r>
      <w:r>
        <w:t xml:space="preserve"> </w:t>
      </w:r>
      <w:r>
        <w:t xml:space="preserve">State of the Connected Customer Report - Salesforce. salesforce.com. https://www.salesforce.com/eu/resources/research-reports/state-of-the-connected-customer/</w:t>
      </w:r>
      <w:r>
        <w:t xml:space="preserve"> </w:t>
      </w:r>
      <w:r>
        <w:t xml:space="preserve">CX 2025 Trends: Planning Essentials 2025 Strategy | NICE. nice.com. https://www.nice.com/resources/cx-2025-trends-planning-essentials-2025-strategy</w:t>
      </w:r>
      <w:r>
        <w:t xml:space="preserve"> </w:t>
      </w:r>
      <w:r>
        <w:t xml:space="preserve">2025 Global Consumer Trends Report – Qualtrics. qualtrics.com. https://www.qualtrics.com/ebooks-guides/customer-experience-trends/</w:t>
      </w:r>
      <w:r>
        <w:t xml:space="preserve"> </w:t>
      </w:r>
      <w:r>
        <w:t xml:space="preserve">PwC Customer Loyalty Survey 2022. pwc.com. https://www.pwc.com/us/en/services/consulting/business-transformation/library/customer-loyalty-survey.html</w:t>
      </w:r>
      <w:r>
        <w:t xml:space="preserve"> </w:t>
      </w:r>
      <w:r>
        <w:t xml:space="preserve">Beyond the noise: Orchestrating AI‑driven customer excellence – KPMG. kpmg.com. https://kpmg.com/xx/en/our-insights/transformation/global-cee-2024-2025.html</w:t>
      </w:r>
      <w:r>
        <w:t xml:space="preserve"> </w:t>
      </w:r>
      <w:r>
        <w:t xml:space="preserve">Customer First Service – Capgemini. capgemini.com. https://www.capgemini.com/nz-en/customer-first/</w:t>
      </w:r>
      <w:r>
        <w:t xml:space="preserve"> </w:t>
      </w:r>
      <w:r>
        <w:t xml:space="preserve">Net Promoter Score (NPS) &amp; System – Bain. bain.com. https://www.bain.com/consulting-services/customer-strategy-and-marketing/net-promoter-score-system/</w:t>
      </w:r>
      <w:r>
        <w:t xml:space="preserve"> </w:t>
      </w:r>
      <w:r>
        <w:t xml:space="preserve">Forrester Global Customer Experience Index, 2025 – press/blog. forrester.com. https://www.forrester.com/press-newsroom/forrester-global-customer-experience-index-2025-rankings/</w:t>
      </w:r>
      <w:r>
        <w:t xml:space="preserve"> </w:t>
      </w:r>
      <w:r>
        <w:t xml:space="preserve">Forrester CX Index Results, 2025 – blog. forrester.com. https://www.forrester.com/blogs/cx-index-2025-results/</w:t>
      </w:r>
      <w:r>
        <w:t xml:space="preserve"> </w:t>
      </w:r>
      <w:r>
        <w:t xml:space="preserve">MIT Sloan Management Review – Customer Experience tag. sloanreview.mit.edu. https://sloanreview.mit.edu/tag/customer-experience/</w:t>
      </w:r>
      <w:r>
        <w:t xml:space="preserve"> </w:t>
      </w:r>
      <w:r>
        <w:t xml:space="preserve">HBR: Stop Trying to Delight Your Customers (Customer Effort). hbr.org. https://hbr.org/2010/07/stop-trying-to-delight-your-customers</w:t>
      </w:r>
      <w:r>
        <w:t xml:space="preserve"> </w:t>
      </w:r>
      <w:r>
        <w:t xml:space="preserve">Zendesk CX Trends 2025 (independent summary). brainsell.com. https://www.brainsell.com/blog/zendesk-research-5-trends-change-customer-experience/</w:t>
      </w:r>
      <w:r>
        <w:t xml:space="preserve"> </w:t>
      </w:r>
      <w:r>
        <w:t xml:space="preserve">CX Trends 2025 – Zendesk Revolution in Customer Experience - Cloudfresh. cloudfresh.com. https://cloudfresh.com/en/blog/cx-trends-2025-the-zendesk-revolution-in-customer-experience/</w:t>
      </w:r>
      <w:r>
        <w:t xml:space="preserve"> </w:t>
      </w:r>
      <w:r>
        <w:t xml:space="preserve">📈 Boost Revenue &amp; Satisfaction: Salesforce Service Report 2025. enxoo.com. https://enxoo.com/ebooks-guides/salesforce-state-of-service-report-2025/</w:t>
      </w:r>
      <w:r>
        <w:t xml:space="preserve"> </w:t>
      </w:r>
      <w:r>
        <w:t xml:space="preserve">Salesforce State of Service, Report Highlights 2025 - YouTube. youtube.com. https://www.youtube.com/watch?v=mSOhKsdBOqE</w:t>
      </w:r>
      <w:r>
        <w:t xml:space="preserve"> </w:t>
      </w:r>
      <w:r>
        <w:t xml:space="preserve">Salesforce State of AI Connected Customer, Report Highlights 2025 - YouTube. youtube.com. https://www.youtube.com/watch?v=2reHf0stWhg</w:t>
      </w:r>
      <w:r>
        <w:t xml:space="preserve"> </w:t>
      </w:r>
      <w:r>
        <w:t xml:space="preserve">NICE | Top 10 CX Trends for 2025. get.nice.com. https://get.nice.com/2025-CX-Trends</w:t>
      </w:r>
      <w:r>
        <w:t xml:space="preserve"> </w:t>
      </w:r>
      <w:r>
        <w:t xml:space="preserve">Customer Service Excellence 2025 | Deloitte Digital. deloittedigital.com. https://www.deloittedigital.com/be/en/insights/perspective/customer-service-excellence-2025.html</w:t>
      </w:r>
      <w:r>
        <w:t xml:space="preserve"> </w:t>
      </w:r>
      <w:r>
        <w:t xml:space="preserve">Customer Service Excellence 2025 | Deloitte Digital. deloittedigital.com. https://www.deloittedigital.com/nl/en/insights/perspective/customer-service-excellence-2025.html</w:t>
      </w:r>
      <w:r>
        <w:t xml:space="preserve"> </w:t>
      </w:r>
      <w:r>
        <w:t xml:space="preserve">State of the Consumer 2025: When disruption becomes permanent - McKinsey &amp; Company | Manx By Design. manx.design. https://manx.design/state-of-the-consumer-2025-when-disruption-becomes-permanent-mckinsey-company/</w:t>
      </w:r>
      <w:r>
        <w:t xml:space="preserve"> </w:t>
      </w:r>
      <w:r>
        <w:t xml:space="preserve">[McKinsey] The next-generation operating model for the digital world – PBS – Primo Bonacina Services. primobonacina.com. https://www.primobonacina.com/mckinsey-next-generation-operating-model-digital-world/</w:t>
      </w:r>
      <w:r>
        <w:t xml:space="preserve"> </w:t>
      </w:r>
      <w:r>
        <w:t xml:space="preserve">The next-generation operating model for the digital world – McKinsey - The Digital Insurer. the-digital-insurer.com. https://www.the-digital-insurer.com/library/the-next-generation-operating-model-for-the-digital-world-mckinsey/</w:t>
      </w:r>
      <w:r>
        <w:t xml:space="preserve"> </w:t>
      </w:r>
      <w:r>
        <w:t xml:space="preserve">EU AI Act – Official Journal entry (Regulation (EU) 2024/1689). eur-lex.europa.eu. https://eur-lex.europa.eu/legal-content/EN/TXT/?uri=CELEX:32024R1689</w:t>
      </w:r>
      <w:r>
        <w:t xml:space="preserve"> </w:t>
      </w:r>
      <w:r>
        <w:t xml:space="preserve">Understanding ISO/IEC 42001:2023 – The First AI Management System Stan – ISO Templates and Documents Download. iso-docs.com. https://iso-docs.com/blogs/iso-42001-artificial-intelligence-management-system-aims/understanding-iso-iec-42001-2023-the-first-ai-management-system-standard</w:t>
      </w:r>
      <w:r>
        <w:t xml:space="preserve"> </w:t>
      </w:r>
      <w:r>
        <w:t xml:space="preserve">ISO/IEC 42001: Artificial Intelligence Management Systems (AIMS) - ANAB Blog. blog.ansi.org. https://blog.ansi.org/anab/iso-iec-42001-ai-management-systems/</w:t>
      </w:r>
      <w:r>
        <w:t xml:space="preserve"> </w:t>
      </w:r>
      <w:r>
        <w:t xml:space="preserve">NIST AI Risk Management Framework: A simple guide to smarter AI governance. diligent.com. https://www.diligent.com/resources/blog/nist-ai-risk-management-framework</w:t>
      </w:r>
      <w:r>
        <w:t xml:space="preserve"> </w:t>
      </w:r>
      <w:r>
        <w:t xml:space="preserve">NIST AI Risk Management Framework (RMF 1.0) - Digital Government Hub. digitalgovernmenthub.org. https://digitalgovernmenthub.org/library/nist-ai-risk-management-framework/</w:t>
      </w:r>
      <w:r>
        <w:t xml:space="preserve"> </w:t>
      </w:r>
      <w:r>
        <w:t xml:space="preserve">EDPB Guidance on Deceptive Patterns in Social Media Interfaces - Securiti. securiti.ai. https://securiti.ai/blog/edpb-guidelines-on-dark-patterns-in-social-media/</w:t>
      </w:r>
      <w:r>
        <w:t xml:space="preserve"> </w:t>
      </w:r>
      <w:r>
        <w:t xml:space="preserve">ICO: Guidance on AI and data protection. ico.org.uk. https://ico.org.uk/for-organisations/uk-gdpr-guidance-and-resources/artificial-intelligence/guidance-on-ai-and-data-protection/</w:t>
      </w:r>
      <w:r>
        <w:t xml:space="preserve"> </w:t>
      </w:r>
      <w:r>
        <w:t xml:space="preserve">ICO: Our work on Artificial Intelligence. ico.org.uk. https://ico.org.uk/about-the-ico/what-we-do/our-work-on-artificial-intelligence</w:t>
      </w:r>
      <w:r>
        <w:t xml:space="preserve"> </w:t>
      </w:r>
      <w:r>
        <w:t xml:space="preserve">AI update – ICO’s strategic approach to regulating AI | Stephenson Harwood - Data protection. dataprotectionlawhub.com. https://www.dataprotectionlawhub.com/insight/ai-update-icos-strategic-approach-regulating-ai</w:t>
      </w:r>
      <w:r>
        <w:t xml:space="preserve"> </w:t>
      </w:r>
      <w:r>
        <w:t xml:space="preserve">From Hacktivism to AI: ENISA’s 2024 Threat Report Unveils Evolving Cyber Dangers. complexdiscovery.com. https://complexdiscovery.com/from-hacktivism-to-ai-enisas-2024-threat-report-unveils-evolving-cyber-dangers/</w:t>
      </w:r>
      <w:r>
        <w:t xml:space="preserve"> </w:t>
      </w:r>
      <w:r>
        <w:t xml:space="preserve">ENISA 2024: Ransomware and AI Are Posing New Cyberthreats. bankinfosecurity.com. https://www.bankinfosecurity.com/enisa-2024-ransomware-ai-are-redefining-cyberthreats-a-26442</w:t>
      </w:r>
      <w:r>
        <w:t xml:space="preserve"> </w:t>
      </w:r>
      <w:r>
        <w:t xml:space="preserve">AI Rules: The 2024 update to the OECD AI Principles - Digital Policy Alert. digitalpolicyalert.org. https://digitalpolicyalert.org/ai-rules/2024-update-OECD-principles</w:t>
      </w:r>
      <w:r>
        <w:t xml:space="preserve"> </w:t>
      </w:r>
      <w:r>
        <w:t xml:space="preserve">Google Cloud showcases how major customers are innovating with its generative AI services - SiliconANGLE. siliconangle.com. https://siliconangle.com/2024/04/09/next-24-google-cloud-showcases-major-customers-innovating-generative-ai-services/</w:t>
      </w:r>
      <w:r>
        <w:t xml:space="preserve"> </w:t>
      </w:r>
      <w:r>
        <w:t xml:space="preserve">How AI &amp; Zendesk are Shaping the Future of CX. btrnsfrmd.com. https://btrnsfrmd.com/blog/zendesk-ai-new-era-of-cx/</w:t>
      </w:r>
      <w:r>
        <w:t xml:space="preserve"> </w:t>
      </w:r>
      <w:r>
        <w:t xml:space="preserve">Zendesk CEO on AI for Customer Experience (CXOTalk). spotify.com. https://creators.spotify.com/pod/show/cxotalk/episodes/Customer-Experience-and-Brand-Strategy-at-T-Mobile-e2rg6oo</w:t>
      </w:r>
      <w:r>
        <w:t xml:space="preserve"> </w:t>
      </w:r>
      <w:r>
        <w:t xml:space="preserve">EDPB Publishes Guidance on AI Models and Data Protection – White Label Consultancy. whitelabelconsultancy.com. https://whitelabelconsultancy.com/edpb-publishes-guidance-on-ai-models-and-data-protection/</w:t>
      </w:r>
      <w:r>
        <w:t xml:space="preserve"> </w:t>
      </w:r>
      <w:r>
        <w:t xml:space="preserve">EDPB Opinion 28/2024 on personal data processing in the context of AI models A Step Toward Long. europeanlawblog.eu. https://www.europeanlawblog.eu/pub/zh4uxsfq/release/1</w:t>
      </w:r>
      <w:r>
        <w:t xml:space="preserve"> </w:t>
      </w:r>
      <w:r>
        <w:t xml:space="preserve">Unwrapping the EDPB’s Guidance on AI models and Data Protection - WILLIAM FRY. williamfry.com. https://www.williamfry.com/knowledge/unwrapping-the-edpbs-guidance-on-ai-models-and-data-protection/</w:t>
      </w:r>
      <w:r>
        <w:t xml:space="preserve"> </w:t>
      </w:r>
      <w:r>
        <w:t xml:space="preserve">ICO Publishes Its Strategic Approach to Regulating AI | Data Matters Privacy Blog. datamatters.sidley.com. https://datamatters.sidley.com/2024/05/22/ico-publishes-its-strategic-approach-to-regulating-ai/</w:t>
      </w:r>
      <w:r>
        <w:t xml:space="preserve"> </w:t>
      </w:r>
      <w:r>
        <w:t xml:space="preserve">OECD AI Principles update (OECD blog). oecd.ai. https://oecd.ai/en/wonk/evolving-with-innovation-the-2024-oecd-ai-principles-update</w:t>
      </w:r>
      <w:r>
        <w:t xml:space="preserve"> </w:t>
      </w:r>
      <w:r>
        <w:t xml:space="preserve">The 2024 update to the OECD AI Principles - Global Trade Alert. globaltradealert.org. https://globaltradealert.org/reports/64</w:t>
      </w:r>
      <w:r>
        <w:t xml:space="preserve"> </w:t>
      </w:r>
      <w:r>
        <w:t xml:space="preserve">ISO/IEC 42001: a new standard for AI governance. kpmg.com. https://kpmg.com/ch/en/insights/artificial-intelligence/iso-iec-42001.html</w:t>
      </w:r>
      <w:r>
        <w:t xml:space="preserve"> </w:t>
      </w:r>
      <w:r>
        <w:t xml:space="preserve">ISO/IEC 42001:2023 Artificial Intelligence Management System Standards - Microsoft Compliance | Microsoft Learn. learn.microsoft.com. https://learn.microsoft.com/en-us/compliance/regulatory/offering-iso-42001</w:t>
      </w:r>
      <w:r>
        <w:t xml:space="preserve"> </w:t>
      </w:r>
      <w:r>
        <w:t xml:space="preserve">KPMG launches AI Trust services to transform AI governance, enabled by ServiceNow. kpmg.com. https://kpmg.com/xx/en/media/press-releases/2025/05/kpmg-launches-ai-trust-services-to-transform-ai-governance.html</w:t>
      </w:r>
      <w:r>
        <w:t xml:space="preserve"> </w:t>
      </w:r>
      <w:r>
        <w:t xml:space="preserve">ICO Artificial Intelligence: Navigating AI Compliance and Governance - GDPR Local. gdprlocal.com. https://gdprlocal.com/ico-artificial-intelligence-navigating-ai-compliance-and-governance/</w:t>
      </w:r>
      <w:r>
        <w:t xml:space="preserve"> </w:t>
      </w:r>
      <w:r>
        <w:t xml:space="preserve">Top Intelligent Customer Service Chatbots in 2024: Reviews and Benefits | NiCE. nice.com. https://www.nice.com/info/top-intelligent-customer-service-chatbots-in-2024-reviews-and-benefits</w:t>
      </w:r>
      <w:r>
        <w:t xml:space="preserve"> </w:t>
      </w:r>
      <w:r>
        <w:t xml:space="preserve">2025 technology industry outlook | Deloitte Insights. deloitte.com. https://www.deloitte.com/us/en/insights/industry/technology/technology-media-telecom-outlooks/technology-industry-outlook.html</w:t>
      </w:r>
      <w:r>
        <w:t xml:space="preserve"> </w:t>
      </w:r>
      <w:r>
        <w:t xml:space="preserve">AWS Contact Center Blog – Amazon Connect next generation. aws.amazon.com. https://aws.amazon.com/blogs/contact-center/introducing-the-next-generation-of-amazon-connect/</w:t>
      </w:r>
      <w:r>
        <w:t xml:space="preserve"> </w:t>
      </w:r>
      <w:r>
        <w:t xml:space="preserve">Bank of America Erica overview (adoption and internal assistants). ctomagazine.com. https://ctomagazine.com/bank-of-america-ai-investment-to-boost-efficiency-and-revenue/</w:t>
      </w:r>
    </w:p>
    <w:p>
      <w:pPr>
        <w:pStyle w:val="BodyText"/>
      </w:pPr>
      <w:r>
        <w:t xml:space="preserve"> </w:t>
      </w:r>
      <w:r>
        <w:t xml:space="preserve"># Appendix E: AI Declaration</w:t>
      </w:r>
    </w:p>
    <w:bookmarkEnd w:id="72"/>
    <w:bookmarkStart w:id="73" w:name="appendix-c-ai-declaration"/>
    <w:p>
      <w:pPr>
        <w:pStyle w:val="Heading1"/>
      </w:pPr>
      <w:r>
        <w:t xml:space="preserve">Appendix C: AI Declaration</w:t>
      </w:r>
    </w:p>
    <w:p>
      <w:pPr>
        <w:pStyle w:val="FirstParagraph"/>
      </w:pPr>
      <w:r>
        <w:t xml:space="preserve">Self‑declaration on the use of AI tools</w:t>
      </w:r>
    </w:p>
    <w:p>
      <w:pPr>
        <w:pStyle w:val="Compact"/>
        <w:numPr>
          <w:ilvl w:val="0"/>
          <w:numId w:val="1001"/>
        </w:numPr>
      </w:pPr>
      <w:r>
        <w:t xml:space="preserve">Did you use AI tools to prepare this thesis? Yes.</w:t>
      </w:r>
    </w:p>
    <w:p>
      <w:pPr>
        <w:pStyle w:val="FirstParagraph"/>
      </w:pPr>
      <w:r>
        <w:t xml:space="preserve">Which tools did you use?</w:t>
      </w:r>
      <w:r>
        <w:t xml:space="preserve"> </w:t>
      </w:r>
      <w:r>
        <w:t xml:space="preserve">- ChatGPT/Copilot (draft assistance and editing)</w:t>
      </w:r>
      <w:r>
        <w:t xml:space="preserve"> </w:t>
      </w:r>
      <w:r>
        <w:t xml:space="preserve">- Gemini Validator (grounded search) for source validation and URL cleaning</w:t>
      </w:r>
      <w:r>
        <w:t xml:space="preserve"> </w:t>
      </w:r>
      <w:r>
        <w:t xml:space="preserve">- Pandoc for document assembly and conversion</w:t>
      </w:r>
      <w:r>
        <w:t xml:space="preserve"> </w:t>
      </w:r>
      <w:r>
        <w:t xml:space="preserve">- Tesseract/OCR for extracting text from screenshots provided by the author</w:t>
      </w:r>
    </w:p>
    <w:p>
      <w:pPr>
        <w:pStyle w:val="BodyText"/>
      </w:pPr>
      <w:r>
        <w:t xml:space="preserve">For which parts and purpose did you use the AI tools? (up to 400 words)</w:t>
      </w:r>
      <w:r>
        <w:t xml:space="preserve"> </w:t>
      </w:r>
      <w:r>
        <w:t xml:space="preserve">- Early ideation and outlining; drafting neutral passages; language refinement; consistency checks.</w:t>
      </w:r>
      <w:r>
        <w:t xml:space="preserve"> </w:t>
      </w:r>
      <w:r>
        <w:t xml:space="preserve">- Retrieval, validation, and de‑duplication of canonical sources; removal of tracking parameters; prevention of hallucinated links.</w:t>
      </w:r>
      <w:r>
        <w:t xml:space="preserve"> </w:t>
      </w:r>
      <w:r>
        <w:t xml:space="preserve">- Conversion of modular markdown into a single manuscript; DOCX assembly and style normalisation.</w:t>
      </w:r>
      <w:r>
        <w:t xml:space="preserve"> </w:t>
      </w:r>
      <w:r>
        <w:t xml:space="preserve">- OCR to transcribe guidance screenshots (AI declaration template and literature list examples) into text to shape appendices.</w:t>
      </w:r>
    </w:p>
    <w:p>
      <w:pPr>
        <w:pStyle w:val="BodyText"/>
      </w:pPr>
      <w:r>
        <w:t xml:space="preserve">How was your experience? (200–400 words)</w:t>
      </w:r>
      <w:r>
        <w:t xml:space="preserve"> </w:t>
      </w:r>
      <w:r>
        <w:t xml:space="preserve">- Productivity: AI tools accelerated initial drafting, consolidation, and formatting.</w:t>
      </w:r>
      <w:r>
        <w:t xml:space="preserve"> </w:t>
      </w:r>
      <w:r>
        <w:t xml:space="preserve">- Drawbacks and mistakes: vendor metrics were not comparable; model suggestions sometimes used “AI‑sounding” phrasing; strict URL validation reduced but did not eliminate noisy sources; manual review remained necessary.</w:t>
      </w:r>
      <w:r>
        <w:t xml:space="preserve"> </w:t>
      </w:r>
      <w:r>
        <w:t xml:space="preserve">- Safeguards: grounded search, HTTP validation, regulator/standards prioritisation, deduplication of references, and explicit mapping of in‑text citations to validated sources.</w:t>
      </w:r>
    </w:p>
    <w:p>
      <w:pPr>
        <w:pStyle w:val="BodyText"/>
      </w:pPr>
      <w:r>
        <w:t xml:space="preserve">Notes from institutional guidance (extracted via OCR)</w:t>
      </w:r>
      <w:r>
        <w:t xml:space="preserve"> </w:t>
      </w:r>
      <w:r>
        <w:t xml:space="preserve">- Unless supported by reliable sources, AI outputs should be treated as potentially incorrect and must be verified.</w:t>
      </w:r>
      <w:r>
        <w:t xml:space="preserve"> </w:t>
      </w:r>
      <w:r>
        <w:t xml:space="preserve">- Copyright on AI‑generated text may be unclear; ensure proper attribution and avoid reproducing protected material.</w:t>
      </w:r>
      <w:r>
        <w:t xml:space="preserve"> </w:t>
      </w:r>
      <w:r>
        <w:t xml:space="preserve">- Plagiarism detection now includes AI‑authorship signals; improper use may lead to failing grades.</w:t>
      </w:r>
      <w:r>
        <w:t xml:space="preserve"> </w:t>
      </w:r>
      <w:r>
        <w:t xml:space="preserve">- A self‑production declaration should describe which AI tools were used, for which parts, and a brief reflection on the experience.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AI-Powered Customer Service: Balancing Automation Efficiency with Human Connection in European Digital Channels</dc:title>
  <dc:creator>Federico De Ponte</dc:creator>
  <cp:keywords/>
  <dcterms:created xsi:type="dcterms:W3CDTF">2025-12-03T14:10:37Z</dcterms:created>
  <dcterms:modified xsi:type="dcterms:W3CDTF">2025-12-03T14:10:37Z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2025</vt:lpwstr>
  </property>
</Properties>
</file>