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789E" w14:textId="482A662B" w:rsidR="006E33D4" w:rsidRPr="00177DE4" w:rsidRDefault="007217CC">
      <w:pPr>
        <w:pStyle w:val="Ttulo1"/>
        <w:rPr>
          <w:rFonts w:ascii="Daytona" w:hAnsi="Daytona"/>
          <w:sz w:val="32"/>
          <w:szCs w:val="32"/>
        </w:rPr>
      </w:pPr>
      <w:bookmarkStart w:id="0" w:name="sentivis-documento-mestre"/>
      <w:r w:rsidRPr="00177DE4">
        <w:rPr>
          <w:rFonts w:ascii="Daytona" w:hAnsi="Daytona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F04B02A" wp14:editId="60E9F118">
            <wp:simplePos x="0" y="0"/>
            <wp:positionH relativeFrom="column">
              <wp:posOffset>43815</wp:posOffset>
            </wp:positionH>
            <wp:positionV relativeFrom="paragraph">
              <wp:posOffset>757555</wp:posOffset>
            </wp:positionV>
            <wp:extent cx="1819275" cy="1819275"/>
            <wp:effectExtent l="0" t="0" r="0" b="0"/>
            <wp:wrapThrough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hrough>
            <wp:docPr id="259049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77DE4">
        <w:rPr>
          <w:rFonts w:ascii="Daytona" w:hAnsi="Daytona"/>
          <w:sz w:val="32"/>
          <w:szCs w:val="32"/>
        </w:rPr>
        <w:t>Sentivis</w:t>
      </w:r>
      <w:proofErr w:type="spellEnd"/>
      <w:r w:rsidRPr="00177DE4">
        <w:rPr>
          <w:rFonts w:ascii="Daytona" w:hAnsi="Daytona"/>
          <w:sz w:val="32"/>
          <w:szCs w:val="32"/>
        </w:rPr>
        <w:t xml:space="preserve"> — </w:t>
      </w:r>
      <w:proofErr w:type="spellStart"/>
      <w:r w:rsidRPr="00177DE4">
        <w:rPr>
          <w:rFonts w:ascii="Daytona" w:hAnsi="Daytona"/>
          <w:sz w:val="32"/>
          <w:szCs w:val="32"/>
        </w:rPr>
        <w:t>Documento</w:t>
      </w:r>
      <w:proofErr w:type="spellEnd"/>
      <w:r w:rsidRPr="00177DE4">
        <w:rPr>
          <w:rFonts w:ascii="Daytona" w:hAnsi="Daytona"/>
          <w:sz w:val="32"/>
          <w:szCs w:val="32"/>
        </w:rPr>
        <w:t xml:space="preserve"> Mestre </w:t>
      </w:r>
    </w:p>
    <w:p w14:paraId="5C685436" w14:textId="77777777" w:rsidR="007217CC" w:rsidRPr="00177DE4" w:rsidRDefault="007217CC">
      <w:pPr>
        <w:pStyle w:val="Ttulo2"/>
        <w:rPr>
          <w:rFonts w:ascii="Daytona" w:hAnsi="Daytona"/>
          <w:sz w:val="24"/>
          <w:szCs w:val="24"/>
        </w:rPr>
      </w:pPr>
      <w:bookmarkStart w:id="1" w:name="objetivo"/>
    </w:p>
    <w:p w14:paraId="4D5C9BF4" w14:textId="77777777" w:rsidR="007217CC" w:rsidRPr="00177DE4" w:rsidRDefault="007217CC">
      <w:pPr>
        <w:pStyle w:val="Ttulo2"/>
        <w:rPr>
          <w:rFonts w:ascii="Daytona" w:hAnsi="Daytona"/>
          <w:sz w:val="24"/>
          <w:szCs w:val="24"/>
        </w:rPr>
      </w:pPr>
    </w:p>
    <w:p w14:paraId="10D70DAC" w14:textId="77777777" w:rsidR="007217CC" w:rsidRPr="00177DE4" w:rsidRDefault="007217CC">
      <w:pPr>
        <w:pStyle w:val="Ttulo2"/>
        <w:rPr>
          <w:rFonts w:ascii="Daytona" w:hAnsi="Daytona"/>
          <w:sz w:val="24"/>
          <w:szCs w:val="24"/>
        </w:rPr>
      </w:pPr>
    </w:p>
    <w:p w14:paraId="5FA7CC9F" w14:textId="77777777" w:rsidR="007217CC" w:rsidRPr="00177DE4" w:rsidRDefault="007217CC">
      <w:pPr>
        <w:pStyle w:val="Ttulo2"/>
        <w:rPr>
          <w:rFonts w:ascii="Daytona" w:hAnsi="Daytona"/>
          <w:sz w:val="24"/>
          <w:szCs w:val="24"/>
        </w:rPr>
      </w:pPr>
    </w:p>
    <w:p w14:paraId="1D627DDF" w14:textId="77777777" w:rsidR="007217CC" w:rsidRDefault="007217CC">
      <w:pPr>
        <w:pStyle w:val="Ttulo2"/>
        <w:rPr>
          <w:rFonts w:ascii="Daytona" w:hAnsi="Daytona"/>
          <w:sz w:val="24"/>
          <w:szCs w:val="24"/>
        </w:rPr>
      </w:pPr>
    </w:p>
    <w:p w14:paraId="2D418B36" w14:textId="77777777" w:rsidR="00177DE4" w:rsidRDefault="00177DE4" w:rsidP="00177DE4"/>
    <w:p w14:paraId="2D9DD54D" w14:textId="77777777" w:rsidR="00177DE4" w:rsidRPr="00177DE4" w:rsidRDefault="00177DE4" w:rsidP="00177DE4"/>
    <w:p w14:paraId="63A8E1C3" w14:textId="77777777" w:rsidR="007217CC" w:rsidRPr="00177DE4" w:rsidRDefault="007217CC">
      <w:pPr>
        <w:pStyle w:val="Ttulo2"/>
        <w:rPr>
          <w:rFonts w:ascii="Daytona" w:hAnsi="Daytona"/>
          <w:sz w:val="24"/>
          <w:szCs w:val="24"/>
        </w:rPr>
      </w:pPr>
    </w:p>
    <w:p w14:paraId="005A2550" w14:textId="6683A6F5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proofErr w:type="spellStart"/>
      <w:r w:rsidRPr="00177DE4">
        <w:rPr>
          <w:rFonts w:ascii="Daytona" w:hAnsi="Daytona"/>
          <w:sz w:val="24"/>
          <w:szCs w:val="24"/>
        </w:rPr>
        <w:t>Objetivo</w:t>
      </w:r>
      <w:proofErr w:type="spellEnd"/>
    </w:p>
    <w:p w14:paraId="1D560E5C" w14:textId="37D2D0B1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Este </w:t>
      </w:r>
      <w:proofErr w:type="spellStart"/>
      <w:r w:rsidRPr="00177DE4">
        <w:rPr>
          <w:rFonts w:ascii="Daytona" w:hAnsi="Daytona"/>
          <w:sz w:val="20"/>
          <w:szCs w:val="20"/>
        </w:rPr>
        <w:t>documento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consolida</w:t>
      </w:r>
      <w:proofErr w:type="spellEnd"/>
      <w:r w:rsidRPr="00177DE4">
        <w:rPr>
          <w:rFonts w:ascii="Daytona" w:hAnsi="Daytona"/>
          <w:sz w:val="20"/>
          <w:szCs w:val="20"/>
        </w:rPr>
        <w:t xml:space="preserve"> o </w:t>
      </w:r>
      <w:proofErr w:type="spellStart"/>
      <w:r w:rsidRPr="00177DE4">
        <w:rPr>
          <w:rFonts w:ascii="Daytona" w:hAnsi="Daytona"/>
          <w:sz w:val="20"/>
          <w:szCs w:val="20"/>
        </w:rPr>
        <w:t>que</w:t>
      </w:r>
      <w:proofErr w:type="spellEnd"/>
      <w:r w:rsidRPr="00177DE4">
        <w:rPr>
          <w:rFonts w:ascii="Daytona" w:hAnsi="Daytona"/>
          <w:sz w:val="20"/>
          <w:szCs w:val="20"/>
        </w:rPr>
        <w:t xml:space="preserve"> já está definido no projeto Sentivis, separa hipóteses do que é comprovado, registra decisões e organiza a base principal para derivação futura de apresentações, materiais institucionais e estudos complementares.</w:t>
      </w:r>
    </w:p>
    <w:p w14:paraId="09719DEB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" w:name="regra-de-precedência"/>
      <w:bookmarkEnd w:id="1"/>
      <w:r w:rsidRPr="00177DE4">
        <w:rPr>
          <w:rFonts w:ascii="Daytona" w:hAnsi="Daytona"/>
          <w:sz w:val="24"/>
          <w:szCs w:val="24"/>
        </w:rPr>
        <w:t>Regra de precedência</w:t>
      </w:r>
    </w:p>
    <w:p w14:paraId="66C3EE9A" w14:textId="77777777" w:rsidR="006E33D4" w:rsidRPr="00177DE4" w:rsidRDefault="00000000">
      <w:pPr>
        <w:pStyle w:val="Compact"/>
        <w:numPr>
          <w:ilvl w:val="0"/>
          <w:numId w:val="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Decisão validada mais recente na conversa</w:t>
      </w:r>
    </w:p>
    <w:p w14:paraId="05A56690" w14:textId="77777777" w:rsidR="006E33D4" w:rsidRPr="00177DE4" w:rsidRDefault="00000000">
      <w:pPr>
        <w:pStyle w:val="Compact"/>
        <w:numPr>
          <w:ilvl w:val="0"/>
          <w:numId w:val="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Documentação técnica estruturada do projeto</w:t>
      </w:r>
    </w:p>
    <w:p w14:paraId="355C42E8" w14:textId="77777777" w:rsidR="006E33D4" w:rsidRPr="00177DE4" w:rsidRDefault="00000000">
      <w:pPr>
        <w:pStyle w:val="Compact"/>
        <w:numPr>
          <w:ilvl w:val="0"/>
          <w:numId w:val="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Materiais de branding e comunicação</w:t>
      </w:r>
    </w:p>
    <w:p w14:paraId="2F7F98A5" w14:textId="77777777" w:rsidR="006E33D4" w:rsidRPr="00177DE4" w:rsidRDefault="00000000">
      <w:pPr>
        <w:pStyle w:val="Compact"/>
        <w:numPr>
          <w:ilvl w:val="0"/>
          <w:numId w:val="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Hipóteses e itens pendentes de estudo</w:t>
      </w:r>
    </w:p>
    <w:p w14:paraId="4D0FCE0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" w:name="legenda-de-status"/>
      <w:bookmarkEnd w:id="2"/>
      <w:r w:rsidRPr="00177DE4">
        <w:rPr>
          <w:rFonts w:ascii="Daytona" w:hAnsi="Daytona"/>
          <w:sz w:val="24"/>
          <w:szCs w:val="24"/>
        </w:rPr>
        <w:t>Legenda de status</w:t>
      </w:r>
    </w:p>
    <w:p w14:paraId="725FC572" w14:textId="77777777" w:rsidR="006E33D4" w:rsidRPr="00177DE4" w:rsidRDefault="00000000">
      <w:pPr>
        <w:pStyle w:val="Compact"/>
        <w:numPr>
          <w:ilvl w:val="0"/>
          <w:numId w:val="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Definido</w:t>
      </w:r>
      <w:r w:rsidRPr="00177DE4">
        <w:rPr>
          <w:rFonts w:ascii="Daytona" w:hAnsi="Daytona"/>
          <w:sz w:val="20"/>
          <w:szCs w:val="20"/>
        </w:rPr>
        <w:t>: alinhado e utilizável</w:t>
      </w:r>
    </w:p>
    <w:p w14:paraId="5F269DA0" w14:textId="77777777" w:rsidR="006E33D4" w:rsidRPr="00177DE4" w:rsidRDefault="00000000">
      <w:pPr>
        <w:pStyle w:val="Compact"/>
        <w:numPr>
          <w:ilvl w:val="0"/>
          <w:numId w:val="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Em validação</w:t>
      </w:r>
      <w:r w:rsidRPr="00177DE4">
        <w:rPr>
          <w:rFonts w:ascii="Daytona" w:hAnsi="Daytona"/>
          <w:sz w:val="20"/>
          <w:szCs w:val="20"/>
        </w:rPr>
        <w:t>: existe base, mas ainda exige comprovação ampliada</w:t>
      </w:r>
    </w:p>
    <w:p w14:paraId="6779DCAA" w14:textId="77777777" w:rsidR="006E33D4" w:rsidRPr="00177DE4" w:rsidRDefault="00000000">
      <w:pPr>
        <w:pStyle w:val="Compact"/>
        <w:numPr>
          <w:ilvl w:val="0"/>
          <w:numId w:val="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Pendente de estudo</w:t>
      </w:r>
      <w:r w:rsidRPr="00177DE4">
        <w:rPr>
          <w:rFonts w:ascii="Daytona" w:hAnsi="Daytona"/>
          <w:sz w:val="20"/>
          <w:szCs w:val="20"/>
        </w:rPr>
        <w:t>: hipótese ou decisão ainda não formalizada</w:t>
      </w:r>
    </w:p>
    <w:p w14:paraId="491341EB" w14:textId="77777777" w:rsidR="006E33D4" w:rsidRPr="00177DE4" w:rsidRDefault="00000000">
      <w:pPr>
        <w:pStyle w:val="Compact"/>
        <w:numPr>
          <w:ilvl w:val="0"/>
          <w:numId w:val="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Estudo futuro</w:t>
      </w:r>
      <w:r w:rsidRPr="00177DE4">
        <w:rPr>
          <w:rFonts w:ascii="Daytona" w:hAnsi="Daytona"/>
          <w:sz w:val="20"/>
          <w:szCs w:val="20"/>
        </w:rPr>
        <w:t>: tema reconhecido como relevante, mas fora do escopo do entregável atual e a ser aprofundado em etapa posterior</w:t>
      </w:r>
    </w:p>
    <w:p w14:paraId="02D4BE40" w14:textId="77777777" w:rsidR="006E33D4" w:rsidRDefault="00000000">
      <w:pPr>
        <w:pStyle w:val="Compact"/>
        <w:numPr>
          <w:ilvl w:val="0"/>
          <w:numId w:val="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Não usar em material externo</w:t>
      </w:r>
      <w:r w:rsidRPr="00177DE4">
        <w:rPr>
          <w:rFonts w:ascii="Daytona" w:hAnsi="Daytona"/>
          <w:sz w:val="20"/>
          <w:szCs w:val="20"/>
        </w:rPr>
        <w:t>: rascunho, promessa não comprovada ou ponto sensível</w:t>
      </w:r>
    </w:p>
    <w:p w14:paraId="20F6A7EF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743E35E6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40CEE178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071896E3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4A95B7E0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4" w:name="identidade-central-do-projeto"/>
      <w:bookmarkEnd w:id="0"/>
      <w:bookmarkEnd w:id="3"/>
      <w:r w:rsidRPr="00177DE4">
        <w:rPr>
          <w:rFonts w:ascii="Daytona" w:hAnsi="Daytona"/>
          <w:sz w:val="32"/>
          <w:szCs w:val="32"/>
        </w:rPr>
        <w:lastRenderedPageBreak/>
        <w:t>1. Identidade central do projeto</w:t>
      </w:r>
    </w:p>
    <w:p w14:paraId="6CBBF50C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" w:name="o-que-é-a-sentivis"/>
      <w:r w:rsidRPr="00177DE4">
        <w:rPr>
          <w:rFonts w:ascii="Daytona" w:hAnsi="Daytona"/>
          <w:sz w:val="24"/>
          <w:szCs w:val="24"/>
        </w:rPr>
        <w:t>1.1 O que é a Sentivis</w:t>
      </w:r>
    </w:p>
    <w:p w14:paraId="01B4C40D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A Sentivis é uma agtech de inteligência de campo voltada ao monitoramento agroambiental e à organização de dados da fazenda para apoiar decisões mais consistentes no manejo. Seu foco inicial está nos cafés especiais, sem limitar a possibilidade de adaptação futura para outras culturas de maior valor agregado.</w:t>
      </w:r>
    </w:p>
    <w:p w14:paraId="0ED1CF6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" w:name="proposta-central-de-valor"/>
      <w:bookmarkEnd w:id="5"/>
      <w:r w:rsidRPr="00177DE4">
        <w:rPr>
          <w:rFonts w:ascii="Daytona" w:hAnsi="Daytona"/>
          <w:sz w:val="24"/>
          <w:szCs w:val="24"/>
        </w:rPr>
        <w:t>1.2 Proposta central de valor</w:t>
      </w:r>
    </w:p>
    <w:p w14:paraId="220EBAD4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A proposta central da Sentivis é dar ao produtor e aos parceiros da cadeia uma nova camada de clareza sobre o que acontece na fazenda, sem romper a lógica tradicional do manejo. A solução mede o ambiente real da propriedade, organiza dados de forma histórica e rastreável, compara o contexto local com referências oficiais e os transforma em informações utilizáveis para decisão.</w:t>
      </w:r>
    </w:p>
    <w:p w14:paraId="2A220CA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" w:name="cultura-inicial-de-foco"/>
      <w:bookmarkEnd w:id="6"/>
      <w:r w:rsidRPr="00177DE4">
        <w:rPr>
          <w:rFonts w:ascii="Daytona" w:hAnsi="Daytona"/>
          <w:sz w:val="24"/>
          <w:szCs w:val="24"/>
        </w:rPr>
        <w:t>1.3 Cultura inicial de foco</w:t>
      </w:r>
    </w:p>
    <w:p w14:paraId="774CB1B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449CEA2" w14:textId="77777777" w:rsidR="006E33D4" w:rsidRPr="00177DE4" w:rsidRDefault="00000000">
      <w:pPr>
        <w:pStyle w:val="Compact"/>
        <w:numPr>
          <w:ilvl w:val="0"/>
          <w:numId w:val="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Foco inicial em cafés especiais</w:t>
      </w:r>
    </w:p>
    <w:p w14:paraId="2E88F618" w14:textId="77777777" w:rsidR="006E33D4" w:rsidRPr="00177DE4" w:rsidRDefault="00000000">
      <w:pPr>
        <w:pStyle w:val="Compact"/>
        <w:numPr>
          <w:ilvl w:val="0"/>
          <w:numId w:val="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Arquitetura potencialmente adaptável para outras culturas no futuro</w:t>
      </w:r>
    </w:p>
    <w:p w14:paraId="5755B702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8" w:name="o-que-a-sentivis-não-deve-prometer"/>
      <w:bookmarkEnd w:id="7"/>
      <w:r w:rsidRPr="00177DE4">
        <w:rPr>
          <w:rFonts w:ascii="Daytona" w:hAnsi="Daytona"/>
          <w:sz w:val="24"/>
          <w:szCs w:val="24"/>
        </w:rPr>
        <w:t xml:space="preserve">1.4 O que a Sentivis </w:t>
      </w:r>
      <w:proofErr w:type="gramStart"/>
      <w:r w:rsidRPr="00177DE4">
        <w:rPr>
          <w:rFonts w:ascii="Daytona" w:hAnsi="Daytona"/>
          <w:sz w:val="24"/>
          <w:szCs w:val="24"/>
        </w:rPr>
        <w:t>não</w:t>
      </w:r>
      <w:proofErr w:type="gramEnd"/>
      <w:r w:rsidRPr="00177DE4">
        <w:rPr>
          <w:rFonts w:ascii="Daytona" w:hAnsi="Daytona"/>
          <w:sz w:val="24"/>
          <w:szCs w:val="24"/>
        </w:rPr>
        <w:t xml:space="preserve"> deve prometer</w:t>
      </w:r>
    </w:p>
    <w:p w14:paraId="0E5A9BB9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514D36F" w14:textId="77777777" w:rsidR="006E33D4" w:rsidRPr="00177DE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prometer ganhos percentuais de produtividade, economia de água, energia ou insumos sem validação robusta</w:t>
      </w:r>
    </w:p>
    <w:p w14:paraId="4B003140" w14:textId="77777777" w:rsidR="006E33D4" w:rsidRPr="00177DE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afirmar qualidade garantida do café ou prêmio comercial como fato comprovado</w:t>
      </w:r>
    </w:p>
    <w:p w14:paraId="616E3B9D" w14:textId="77777777" w:rsidR="006E33D4" w:rsidRPr="00177DE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afirmar ROI comprovado antes da fase ampliada de validação em campo</w:t>
      </w:r>
    </w:p>
    <w:p w14:paraId="5CF1EE4B" w14:textId="77777777" w:rsidR="006E33D4" w:rsidRPr="00177DE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afirmar suporte agronômico especializado contínuo neste estágio atual da empresa</w:t>
      </w:r>
    </w:p>
    <w:p w14:paraId="484FA18A" w14:textId="77777777" w:rsidR="006E33D4" w:rsidRPr="00177DE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afirmar conformidade integral com normas, auditorias ou certificações sem validação formal</w:t>
      </w:r>
    </w:p>
    <w:p w14:paraId="31F5135C" w14:textId="77777777" w:rsidR="006E33D4" w:rsidRDefault="00000000">
      <w:pPr>
        <w:pStyle w:val="Compact"/>
        <w:numPr>
          <w:ilvl w:val="0"/>
          <w:numId w:val="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Não afirmar </w:t>
      </w:r>
      <w:proofErr w:type="spellStart"/>
      <w:r w:rsidRPr="00177DE4">
        <w:rPr>
          <w:rFonts w:ascii="Daytona" w:hAnsi="Daytona"/>
          <w:sz w:val="20"/>
          <w:szCs w:val="20"/>
        </w:rPr>
        <w:t>que</w:t>
      </w:r>
      <w:proofErr w:type="spellEnd"/>
      <w:r w:rsidRPr="00177DE4">
        <w:rPr>
          <w:rFonts w:ascii="Daytona" w:hAnsi="Daytona"/>
          <w:sz w:val="20"/>
          <w:szCs w:val="20"/>
        </w:rPr>
        <w:t xml:space="preserve"> a </w:t>
      </w:r>
      <w:proofErr w:type="spellStart"/>
      <w:r w:rsidRPr="00177DE4">
        <w:rPr>
          <w:rFonts w:ascii="Daytona" w:hAnsi="Daytona"/>
          <w:sz w:val="20"/>
          <w:szCs w:val="20"/>
        </w:rPr>
        <w:t>solução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já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está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validada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em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escala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comercial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ampla</w:t>
      </w:r>
      <w:proofErr w:type="spellEnd"/>
    </w:p>
    <w:p w14:paraId="613A980F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329F6639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24514C43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0FA13646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787DE854" w14:textId="77777777" w:rsid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66BE4BE2" w14:textId="77777777" w:rsidR="00177DE4" w:rsidRPr="00177DE4" w:rsidRDefault="00177DE4" w:rsidP="00177DE4">
      <w:pPr>
        <w:pStyle w:val="Compact"/>
        <w:rPr>
          <w:rFonts w:ascii="Daytona" w:hAnsi="Daytona"/>
          <w:sz w:val="20"/>
          <w:szCs w:val="20"/>
        </w:rPr>
      </w:pPr>
    </w:p>
    <w:p w14:paraId="3B77B463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9" w:name="públicos-e-leitura-estratégica"/>
      <w:bookmarkEnd w:id="4"/>
      <w:bookmarkEnd w:id="8"/>
      <w:r w:rsidRPr="00177DE4">
        <w:rPr>
          <w:rFonts w:ascii="Daytona" w:hAnsi="Daytona"/>
          <w:sz w:val="32"/>
          <w:szCs w:val="32"/>
        </w:rPr>
        <w:t>2. Públicos e leitura estratégica</w:t>
      </w:r>
    </w:p>
    <w:p w14:paraId="7A500364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0" w:name="cafeicultor"/>
      <w:r w:rsidRPr="00177DE4">
        <w:rPr>
          <w:rFonts w:ascii="Daytona" w:hAnsi="Daytona"/>
          <w:sz w:val="24"/>
          <w:szCs w:val="24"/>
        </w:rPr>
        <w:t>2.1 Cafeicultor</w:t>
      </w:r>
    </w:p>
    <w:p w14:paraId="6A9F13D4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O público principal da Sentivis é o cafeicultor já ativo na operação, com responsabilidade real sobre o manejo e abertura para adotar tecnologia quando ela demonstra utilidade prática e conexão com a realidade do campo.</w:t>
      </w:r>
    </w:p>
    <w:p w14:paraId="73C899A2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1" w:name="dor-principal-do-cafeicultor"/>
      <w:bookmarkEnd w:id="10"/>
      <w:r w:rsidRPr="00177DE4">
        <w:rPr>
          <w:rFonts w:ascii="Daytona" w:hAnsi="Daytona"/>
          <w:sz w:val="24"/>
          <w:szCs w:val="24"/>
        </w:rPr>
        <w:t>2.2 Dor principal do cafeicultor</w:t>
      </w:r>
    </w:p>
    <w:p w14:paraId="71BAD21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A dor principal </w:t>
      </w:r>
      <w:proofErr w:type="gramStart"/>
      <w:r w:rsidRPr="00177DE4">
        <w:rPr>
          <w:rFonts w:ascii="Daytona" w:hAnsi="Daytona"/>
          <w:sz w:val="20"/>
          <w:szCs w:val="20"/>
        </w:rPr>
        <w:t>do</w:t>
      </w:r>
      <w:proofErr w:type="gramEnd"/>
      <w:r w:rsidRPr="00177DE4">
        <w:rPr>
          <w:rFonts w:ascii="Daytona" w:hAnsi="Daytona"/>
          <w:sz w:val="20"/>
          <w:szCs w:val="20"/>
        </w:rPr>
        <w:t xml:space="preserve"> cafeicultor é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incerteza entre o que acontece no talhão, o que o mercado está pagando e a decisão que precisa ser tomada no momento certo.</w:t>
      </w:r>
    </w:p>
    <w:p w14:paraId="271A881C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2" w:name="cooperativas"/>
      <w:bookmarkEnd w:id="11"/>
      <w:r w:rsidRPr="00177DE4">
        <w:rPr>
          <w:rFonts w:ascii="Daytona" w:hAnsi="Daytona"/>
          <w:sz w:val="24"/>
          <w:szCs w:val="24"/>
        </w:rPr>
        <w:t>2.3 Cooperativas</w:t>
      </w:r>
    </w:p>
    <w:p w14:paraId="3FE46639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As cooperativas formam um público institucional distinto do produtor da ponta. Sua leitura tende a ser mais racional, coletiva e orientada à organização da cadeia, rastreabilidade, certificações, padronização e potencial de replicação entre produtores associados.</w:t>
      </w:r>
    </w:p>
    <w:p w14:paraId="3832808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3" w:name="investidor-direto"/>
      <w:bookmarkEnd w:id="12"/>
      <w:r w:rsidRPr="00177DE4">
        <w:rPr>
          <w:rFonts w:ascii="Daytona" w:hAnsi="Daytona"/>
          <w:sz w:val="24"/>
          <w:szCs w:val="24"/>
        </w:rPr>
        <w:t>2.4 Investidor direto</w:t>
      </w:r>
    </w:p>
    <w:p w14:paraId="047ABE5A" w14:textId="77777777" w:rsidR="006E33D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Esse público deve enxergar a Sentivis como solução tecnicamente consistente, com base real já estruturada, tese clara de validação ampliada e potencial de evolução </w:t>
      </w:r>
      <w:proofErr w:type="spellStart"/>
      <w:r w:rsidRPr="00177DE4">
        <w:rPr>
          <w:rFonts w:ascii="Daytona" w:hAnsi="Daytona"/>
          <w:sz w:val="20"/>
          <w:szCs w:val="20"/>
        </w:rPr>
        <w:t>comercial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após</w:t>
      </w:r>
      <w:proofErr w:type="spellEnd"/>
      <w:r w:rsidRPr="00177DE4">
        <w:rPr>
          <w:rFonts w:ascii="Daytona" w:hAnsi="Daytona"/>
          <w:sz w:val="20"/>
          <w:szCs w:val="20"/>
        </w:rPr>
        <w:t xml:space="preserve"> a </w:t>
      </w:r>
      <w:proofErr w:type="spellStart"/>
      <w:r w:rsidRPr="00177DE4">
        <w:rPr>
          <w:rFonts w:ascii="Daytona" w:hAnsi="Daytona"/>
          <w:sz w:val="20"/>
          <w:szCs w:val="20"/>
        </w:rPr>
        <w:t>fase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correta</w:t>
      </w:r>
      <w:proofErr w:type="spellEnd"/>
      <w:r w:rsidRPr="00177DE4">
        <w:rPr>
          <w:rFonts w:ascii="Daytona" w:hAnsi="Daytona"/>
          <w:sz w:val="20"/>
          <w:szCs w:val="20"/>
        </w:rPr>
        <w:t xml:space="preserve"> de </w:t>
      </w:r>
      <w:proofErr w:type="spellStart"/>
      <w:r w:rsidRPr="00177DE4">
        <w:rPr>
          <w:rFonts w:ascii="Daytona" w:hAnsi="Daytona"/>
          <w:sz w:val="20"/>
          <w:szCs w:val="20"/>
        </w:rPr>
        <w:t>prova</w:t>
      </w:r>
      <w:proofErr w:type="spellEnd"/>
      <w:r w:rsidRPr="00177DE4">
        <w:rPr>
          <w:rFonts w:ascii="Daytona" w:hAnsi="Daytona"/>
          <w:sz w:val="20"/>
          <w:szCs w:val="20"/>
        </w:rPr>
        <w:t xml:space="preserve"> em campo.</w:t>
      </w:r>
    </w:p>
    <w:p w14:paraId="3493835E" w14:textId="77777777" w:rsidR="00177DE4" w:rsidRDefault="00177DE4" w:rsidP="00177DE4">
      <w:pPr>
        <w:pStyle w:val="Corpodetexto"/>
      </w:pPr>
    </w:p>
    <w:p w14:paraId="5FE76A9D" w14:textId="77777777" w:rsidR="00177DE4" w:rsidRDefault="00177DE4" w:rsidP="00177DE4">
      <w:pPr>
        <w:pStyle w:val="Corpodetexto"/>
      </w:pPr>
    </w:p>
    <w:p w14:paraId="4A5E1268" w14:textId="77777777" w:rsidR="00177DE4" w:rsidRDefault="00177DE4" w:rsidP="00177DE4">
      <w:pPr>
        <w:pStyle w:val="Corpodetexto"/>
      </w:pPr>
    </w:p>
    <w:p w14:paraId="16953385" w14:textId="77777777" w:rsidR="00177DE4" w:rsidRDefault="00177DE4" w:rsidP="00177DE4">
      <w:pPr>
        <w:pStyle w:val="Corpodetexto"/>
      </w:pPr>
    </w:p>
    <w:p w14:paraId="6858B744" w14:textId="77777777" w:rsidR="00177DE4" w:rsidRDefault="00177DE4" w:rsidP="00177DE4">
      <w:pPr>
        <w:pStyle w:val="Corpodetexto"/>
      </w:pPr>
    </w:p>
    <w:p w14:paraId="742BF633" w14:textId="77777777" w:rsidR="00177DE4" w:rsidRDefault="00177DE4" w:rsidP="00177DE4">
      <w:pPr>
        <w:pStyle w:val="Corpodetexto"/>
      </w:pPr>
    </w:p>
    <w:p w14:paraId="69BEFC81" w14:textId="77777777" w:rsidR="00177DE4" w:rsidRDefault="00177DE4" w:rsidP="00177DE4">
      <w:pPr>
        <w:pStyle w:val="Corpodetexto"/>
      </w:pPr>
    </w:p>
    <w:p w14:paraId="7BE444A3" w14:textId="77777777" w:rsidR="00177DE4" w:rsidRPr="00177DE4" w:rsidRDefault="00177DE4" w:rsidP="00177DE4">
      <w:pPr>
        <w:pStyle w:val="Corpodetexto"/>
      </w:pPr>
    </w:p>
    <w:p w14:paraId="3AC96E41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14" w:name="narrativa-institucional-e-branding"/>
      <w:bookmarkEnd w:id="9"/>
      <w:bookmarkEnd w:id="13"/>
      <w:r w:rsidRPr="00177DE4">
        <w:rPr>
          <w:rFonts w:ascii="Daytona" w:hAnsi="Daytona"/>
          <w:sz w:val="32"/>
          <w:szCs w:val="32"/>
        </w:rPr>
        <w:lastRenderedPageBreak/>
        <w:t>3. Narrativa institucional e branding</w:t>
      </w:r>
    </w:p>
    <w:p w14:paraId="5C977912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5" w:name="escola-escolhida"/>
      <w:r w:rsidRPr="00177DE4">
        <w:rPr>
          <w:rFonts w:ascii="Daytona" w:hAnsi="Daytona"/>
          <w:sz w:val="24"/>
          <w:szCs w:val="24"/>
        </w:rPr>
        <w:t>3.1 Escola escolhida</w:t>
      </w:r>
    </w:p>
    <w:p w14:paraId="3A0C8FFD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EFCBEB2" w14:textId="77777777" w:rsidR="006E33D4" w:rsidRPr="00177DE4" w:rsidRDefault="00000000">
      <w:pPr>
        <w:pStyle w:val="Compact"/>
        <w:numPr>
          <w:ilvl w:val="0"/>
          <w:numId w:val="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Escola Mauro Salles como base principal de campanha</w:t>
      </w:r>
    </w:p>
    <w:p w14:paraId="112C67B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6" w:name="tom-central-da-marca"/>
      <w:bookmarkEnd w:id="15"/>
      <w:r w:rsidRPr="00177DE4">
        <w:rPr>
          <w:rFonts w:ascii="Daytona" w:hAnsi="Daytona"/>
          <w:sz w:val="24"/>
          <w:szCs w:val="24"/>
        </w:rPr>
        <w:t>3.2 Tom central da marca</w:t>
      </w:r>
    </w:p>
    <w:p w14:paraId="6F93A20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DBC02D9" w14:textId="77777777" w:rsidR="006E33D4" w:rsidRPr="00177DE4" w:rsidRDefault="00000000">
      <w:pPr>
        <w:pStyle w:val="Compact"/>
        <w:numPr>
          <w:ilvl w:val="0"/>
          <w:numId w:val="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Presença técnica confiável, linguagem simples e apoio real à decisão no campo</w:t>
      </w:r>
    </w:p>
    <w:p w14:paraId="00C5EEB7" w14:textId="77777777" w:rsidR="006E33D4" w:rsidRPr="00177DE4" w:rsidRDefault="00000000">
      <w:pPr>
        <w:pStyle w:val="Compact"/>
        <w:numPr>
          <w:ilvl w:val="0"/>
          <w:numId w:val="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 marca deve soar sóbria, verdadeira, respeitosa e útil, sem arrogância tecnológica ou promessa inflada</w:t>
      </w:r>
    </w:p>
    <w:p w14:paraId="44639894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7" w:name="tópico-central-da-marca"/>
      <w:bookmarkEnd w:id="16"/>
      <w:r w:rsidRPr="00177DE4">
        <w:rPr>
          <w:rFonts w:ascii="Daytona" w:hAnsi="Daytona"/>
          <w:sz w:val="24"/>
          <w:szCs w:val="24"/>
        </w:rPr>
        <w:t>3.3 Tópico central da marca</w:t>
      </w:r>
    </w:p>
    <w:p w14:paraId="3BE14527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C26B0E0" w14:textId="77777777" w:rsidR="006E33D4" w:rsidRPr="00177DE4" w:rsidRDefault="00000000">
      <w:pPr>
        <w:pStyle w:val="Compact"/>
        <w:numPr>
          <w:ilvl w:val="0"/>
          <w:numId w:val="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Presença, leitura e decisão no campo</w:t>
      </w:r>
    </w:p>
    <w:p w14:paraId="035C54B3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8" w:name="headline-principal"/>
      <w:bookmarkEnd w:id="17"/>
      <w:r w:rsidRPr="00177DE4">
        <w:rPr>
          <w:rFonts w:ascii="Daytona" w:hAnsi="Daytona"/>
          <w:sz w:val="24"/>
          <w:szCs w:val="24"/>
        </w:rPr>
        <w:t>3.4 Headline principal</w:t>
      </w:r>
    </w:p>
    <w:p w14:paraId="082A09E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FCAC992" w14:textId="77777777" w:rsidR="006E33D4" w:rsidRPr="00177DE4" w:rsidRDefault="00000000">
      <w:pPr>
        <w:pStyle w:val="Compact"/>
        <w:numPr>
          <w:ilvl w:val="0"/>
          <w:numId w:val="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Cuidar é estar presente — no campo e na decisão.</w:t>
      </w:r>
    </w:p>
    <w:p w14:paraId="31A3BA0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19" w:name="subheadline-de-apoio-principal"/>
      <w:bookmarkEnd w:id="18"/>
      <w:r w:rsidRPr="00177DE4">
        <w:rPr>
          <w:rFonts w:ascii="Daytona" w:hAnsi="Daytona"/>
          <w:sz w:val="24"/>
          <w:szCs w:val="24"/>
        </w:rPr>
        <w:t>3.5 Subheadline de apoio principal</w:t>
      </w:r>
    </w:p>
    <w:p w14:paraId="7124B67F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87A0E10" w14:textId="77777777" w:rsidR="006E33D4" w:rsidRPr="00177DE4" w:rsidRDefault="00000000">
      <w:pPr>
        <w:pStyle w:val="Compact"/>
        <w:numPr>
          <w:ilvl w:val="0"/>
          <w:numId w:val="1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Monitoramento, rastreabilidade e leitura da fazenda para apoiar decisões mais conscientes.</w:t>
      </w:r>
    </w:p>
    <w:p w14:paraId="6D7A5340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0" w:name="argumento-de-credibilidade-principal"/>
      <w:bookmarkEnd w:id="19"/>
      <w:r w:rsidRPr="00177DE4">
        <w:rPr>
          <w:rFonts w:ascii="Daytona" w:hAnsi="Daytona"/>
          <w:sz w:val="24"/>
          <w:szCs w:val="24"/>
        </w:rPr>
        <w:t>3.6 Argumento de credibilidade principal</w:t>
      </w:r>
    </w:p>
    <w:p w14:paraId="08D8BD7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DE9DBA4" w14:textId="77777777" w:rsidR="006E33D4" w:rsidRPr="00177DE4" w:rsidRDefault="00000000">
      <w:pPr>
        <w:pStyle w:val="Compact"/>
        <w:numPr>
          <w:ilvl w:val="0"/>
          <w:numId w:val="1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A Sentivis não substitui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experiência de quem conhece a fazenda. Ela mede, registra, compara e ajuda a decidir com base no que está acontecendo de verdade no campo.</w:t>
      </w:r>
    </w:p>
    <w:p w14:paraId="0F9C191E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1" w:name="argumento-de-credibilidade-secundário"/>
      <w:bookmarkEnd w:id="20"/>
      <w:r w:rsidRPr="00177DE4">
        <w:rPr>
          <w:rFonts w:ascii="Daytona" w:hAnsi="Daytona"/>
          <w:sz w:val="24"/>
          <w:szCs w:val="24"/>
        </w:rPr>
        <w:t>3.7 Argumento de credibilidade secundário</w:t>
      </w:r>
    </w:p>
    <w:p w14:paraId="727C5529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6DBE7C1" w14:textId="77777777" w:rsidR="006E33D4" w:rsidRPr="00177DE4" w:rsidRDefault="00000000">
      <w:pPr>
        <w:pStyle w:val="Compact"/>
        <w:numPr>
          <w:ilvl w:val="0"/>
          <w:numId w:val="12"/>
        </w:numPr>
        <w:rPr>
          <w:rFonts w:ascii="Daytona" w:hAnsi="Daytona"/>
          <w:sz w:val="20"/>
          <w:szCs w:val="20"/>
        </w:rPr>
      </w:pP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operação é acompanhada com método, presença em campo e evidência rastreável do que está sendo executado.</w:t>
      </w:r>
    </w:p>
    <w:p w14:paraId="5D56934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2" w:name="vocabulário-central-da-marca"/>
      <w:bookmarkEnd w:id="21"/>
      <w:r w:rsidRPr="00177DE4">
        <w:rPr>
          <w:rFonts w:ascii="Daytona" w:hAnsi="Daytona"/>
          <w:sz w:val="24"/>
          <w:szCs w:val="24"/>
        </w:rPr>
        <w:lastRenderedPageBreak/>
        <w:t>3.8 Vocabulário central da marca</w:t>
      </w:r>
    </w:p>
    <w:p w14:paraId="5D5D058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4A9D3C0" w14:textId="7BC8252B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proofErr w:type="spellStart"/>
      <w:r w:rsidRPr="00177DE4">
        <w:rPr>
          <w:rFonts w:ascii="Daytona" w:hAnsi="Daytona"/>
          <w:sz w:val="20"/>
          <w:szCs w:val="20"/>
        </w:rPr>
        <w:t>presença</w:t>
      </w:r>
      <w:proofErr w:type="spellEnd"/>
      <w:r w:rsidR="00177DE4">
        <w:rPr>
          <w:rFonts w:ascii="Daytona" w:hAnsi="Daytona"/>
          <w:sz w:val="20"/>
          <w:szCs w:val="20"/>
        </w:rPr>
        <w:t xml:space="preserve"> </w:t>
      </w:r>
    </w:p>
    <w:p w14:paraId="122D4013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campo</w:t>
      </w:r>
    </w:p>
    <w:p w14:paraId="6CFFCBC7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proofErr w:type="spellStart"/>
      <w:r w:rsidRPr="00177DE4">
        <w:rPr>
          <w:rFonts w:ascii="Daytona" w:hAnsi="Daytona"/>
          <w:sz w:val="20"/>
          <w:szCs w:val="20"/>
        </w:rPr>
        <w:t>decisão</w:t>
      </w:r>
      <w:proofErr w:type="spellEnd"/>
    </w:p>
    <w:p w14:paraId="2C3977F2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leitura</w:t>
      </w:r>
    </w:p>
    <w:p w14:paraId="33BB530F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rastreabilidade</w:t>
      </w:r>
    </w:p>
    <w:p w14:paraId="346E3F9D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evidência</w:t>
      </w:r>
    </w:p>
    <w:p w14:paraId="048B49B9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realidade</w:t>
      </w:r>
    </w:p>
    <w:p w14:paraId="6E97EFF5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clareza</w:t>
      </w:r>
    </w:p>
    <w:p w14:paraId="55DD7B38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apoio</w:t>
      </w:r>
    </w:p>
    <w:p w14:paraId="2CCCFEDE" w14:textId="77777777" w:rsidR="006E33D4" w:rsidRPr="00177DE4" w:rsidRDefault="00000000">
      <w:pPr>
        <w:pStyle w:val="Compact"/>
        <w:numPr>
          <w:ilvl w:val="0"/>
          <w:numId w:val="1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consistência</w:t>
      </w:r>
    </w:p>
    <w:p w14:paraId="4F5A573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3" w:name="vocabulário-a-evitar"/>
      <w:bookmarkEnd w:id="22"/>
      <w:r w:rsidRPr="00177DE4">
        <w:rPr>
          <w:rFonts w:ascii="Daytona" w:hAnsi="Daytona"/>
          <w:sz w:val="24"/>
          <w:szCs w:val="24"/>
        </w:rPr>
        <w:t xml:space="preserve">3.9 Vocabulário </w:t>
      </w:r>
      <w:proofErr w:type="gramStart"/>
      <w:r w:rsidRPr="00177DE4">
        <w:rPr>
          <w:rFonts w:ascii="Daytona" w:hAnsi="Daytona"/>
          <w:sz w:val="24"/>
          <w:szCs w:val="24"/>
        </w:rPr>
        <w:t>a</w:t>
      </w:r>
      <w:proofErr w:type="gramEnd"/>
      <w:r w:rsidRPr="00177DE4">
        <w:rPr>
          <w:rFonts w:ascii="Daytona" w:hAnsi="Daytona"/>
          <w:sz w:val="24"/>
          <w:szCs w:val="24"/>
        </w:rPr>
        <w:t xml:space="preserve"> evitar</w:t>
      </w:r>
    </w:p>
    <w:p w14:paraId="57D117F9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B918560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revolução</w:t>
      </w:r>
    </w:p>
    <w:p w14:paraId="68B66626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disrupção</w:t>
      </w:r>
    </w:p>
    <w:p w14:paraId="3879BB70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garantia</w:t>
      </w:r>
    </w:p>
    <w:p w14:paraId="3118864A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escala imediata</w:t>
      </w:r>
    </w:p>
    <w:p w14:paraId="14E48D1E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inteligência total</w:t>
      </w:r>
    </w:p>
    <w:p w14:paraId="1F066F46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controle absoluto</w:t>
      </w:r>
    </w:p>
    <w:p w14:paraId="54E78CD2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promessa vazia</w:t>
      </w:r>
    </w:p>
    <w:p w14:paraId="52123D90" w14:textId="77777777" w:rsidR="006E33D4" w:rsidRPr="00177DE4" w:rsidRDefault="00000000">
      <w:pPr>
        <w:pStyle w:val="Compact"/>
        <w:numPr>
          <w:ilvl w:val="0"/>
          <w:numId w:val="1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superioridade tecnológica sobre o produtor</w:t>
      </w:r>
    </w:p>
    <w:p w14:paraId="20D09F05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4" w:name="regras-de-uso"/>
      <w:bookmarkEnd w:id="23"/>
      <w:r w:rsidRPr="00177DE4">
        <w:rPr>
          <w:rFonts w:ascii="Daytona" w:hAnsi="Daytona"/>
          <w:sz w:val="24"/>
          <w:szCs w:val="24"/>
        </w:rPr>
        <w:t>3.10 Regras de uso</w:t>
      </w:r>
    </w:p>
    <w:p w14:paraId="7E71574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D2D7403" w14:textId="77777777" w:rsidR="006E33D4" w:rsidRPr="00177DE4" w:rsidRDefault="00000000">
      <w:pPr>
        <w:pStyle w:val="Compact"/>
        <w:numPr>
          <w:ilvl w:val="0"/>
          <w:numId w:val="1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Uma escola por peça</w:t>
      </w:r>
    </w:p>
    <w:p w14:paraId="33C88CCE" w14:textId="77777777" w:rsidR="006E33D4" w:rsidRPr="00177DE4" w:rsidRDefault="00000000">
      <w:pPr>
        <w:pStyle w:val="Compact"/>
        <w:numPr>
          <w:ilvl w:val="0"/>
          <w:numId w:val="15"/>
        </w:numPr>
        <w:rPr>
          <w:rFonts w:ascii="Daytona" w:hAnsi="Daytona"/>
          <w:sz w:val="20"/>
          <w:szCs w:val="20"/>
        </w:rPr>
      </w:pPr>
      <w:proofErr w:type="gramStart"/>
      <w:r w:rsidRPr="00177DE4">
        <w:rPr>
          <w:rFonts w:ascii="Daytona" w:hAnsi="Daytona"/>
          <w:sz w:val="20"/>
          <w:szCs w:val="20"/>
        </w:rPr>
        <w:t>Não</w:t>
      </w:r>
      <w:proofErr w:type="gramEnd"/>
      <w:r w:rsidRPr="00177DE4">
        <w:rPr>
          <w:rFonts w:ascii="Daytona" w:hAnsi="Daytona"/>
          <w:sz w:val="20"/>
          <w:szCs w:val="20"/>
        </w:rPr>
        <w:t xml:space="preserve"> misturar escolas na mesma peça</w:t>
      </w:r>
    </w:p>
    <w:p w14:paraId="2FCE7C06" w14:textId="77777777" w:rsidR="006E33D4" w:rsidRPr="00177DE4" w:rsidRDefault="00000000">
      <w:pPr>
        <w:pStyle w:val="Compact"/>
        <w:numPr>
          <w:ilvl w:val="0"/>
          <w:numId w:val="1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Promessa no território de presença, monitoramento, visão e rastreabilidade</w:t>
      </w:r>
    </w:p>
    <w:p w14:paraId="1F78CD12" w14:textId="77777777" w:rsidR="006E33D4" w:rsidRPr="00177DE4" w:rsidRDefault="00000000">
      <w:pPr>
        <w:pStyle w:val="Compact"/>
        <w:numPr>
          <w:ilvl w:val="0"/>
          <w:numId w:val="1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Evitar claims numéricos, gratuidade e promessas de resultado </w:t>
      </w:r>
      <w:proofErr w:type="gramStart"/>
      <w:r w:rsidRPr="00177DE4">
        <w:rPr>
          <w:rFonts w:ascii="Daytona" w:hAnsi="Daytona"/>
          <w:sz w:val="20"/>
          <w:szCs w:val="20"/>
        </w:rPr>
        <w:t>não</w:t>
      </w:r>
      <w:proofErr w:type="gramEnd"/>
      <w:r w:rsidRPr="00177DE4">
        <w:rPr>
          <w:rFonts w:ascii="Daytona" w:hAnsi="Daytona"/>
          <w:sz w:val="20"/>
          <w:szCs w:val="20"/>
        </w:rPr>
        <w:t xml:space="preserve"> comprovado</w:t>
      </w:r>
    </w:p>
    <w:p w14:paraId="785FEBAD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25" w:name="paleta-de-referência-da-marca"/>
      <w:bookmarkEnd w:id="24"/>
      <w:r w:rsidRPr="00177DE4">
        <w:rPr>
          <w:rFonts w:ascii="Daytona" w:hAnsi="Daytona"/>
          <w:sz w:val="24"/>
          <w:szCs w:val="24"/>
        </w:rPr>
        <w:t>3.11 Paleta de referência da marca</w:t>
      </w:r>
    </w:p>
    <w:p w14:paraId="12E1384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6538829C" w14:textId="18882001" w:rsidR="006E33D4" w:rsidRPr="00177DE4" w:rsidRDefault="006E33D4">
      <w:pPr>
        <w:pStyle w:val="Corpodetexto"/>
        <w:rPr>
          <w:rFonts w:ascii="Daytona" w:hAnsi="Daytona"/>
          <w:sz w:val="20"/>
          <w:szCs w:val="20"/>
        </w:rPr>
      </w:pPr>
    </w:p>
    <w:p w14:paraId="43F788D1" w14:textId="1FC4DB5B" w:rsidR="006E33D4" w:rsidRPr="00177DE4" w:rsidRDefault="00000000">
      <w:pPr>
        <w:pStyle w:val="Corpodetexto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lastRenderedPageBreak/>
        <w:t xml:space="preserve">A paleta da marca Sentivis deve ser tratada, neste momento, </w:t>
      </w:r>
      <w:proofErr w:type="spellStart"/>
      <w:r w:rsidRPr="00177DE4">
        <w:rPr>
          <w:rFonts w:ascii="Daytona" w:hAnsi="Daytona"/>
          <w:sz w:val="20"/>
          <w:szCs w:val="20"/>
        </w:rPr>
        <w:t>como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referência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técnica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coerente</w:t>
      </w:r>
      <w:proofErr w:type="spellEnd"/>
      <w:r w:rsidRPr="00177DE4">
        <w:rPr>
          <w:rFonts w:ascii="Daytona" w:hAnsi="Daytona"/>
          <w:sz w:val="20"/>
          <w:szCs w:val="20"/>
        </w:rPr>
        <w:t xml:space="preserve"> com a </w:t>
      </w:r>
      <w:proofErr w:type="spellStart"/>
      <w:r w:rsidRPr="00177DE4">
        <w:rPr>
          <w:rFonts w:ascii="Daytona" w:hAnsi="Daytona"/>
          <w:sz w:val="20"/>
          <w:szCs w:val="20"/>
        </w:rPr>
        <w:t>logomarca</w:t>
      </w:r>
      <w:proofErr w:type="spellEnd"/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validada</w:t>
      </w:r>
      <w:proofErr w:type="spellEnd"/>
      <w:r w:rsidR="00177DE4">
        <w:rPr>
          <w:rFonts w:ascii="Daytona" w:hAnsi="Daytona"/>
          <w:sz w:val="20"/>
          <w:szCs w:val="20"/>
        </w:rPr>
        <w:t>.</w:t>
      </w:r>
    </w:p>
    <w:p w14:paraId="0A489438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26" w:name="estrutura-cromática-proposta"/>
      <w:r w:rsidRPr="00177DE4">
        <w:rPr>
          <w:rFonts w:ascii="Daytona" w:hAnsi="Daytona"/>
          <w:sz w:val="22"/>
          <w:szCs w:val="22"/>
        </w:rPr>
        <w:t>Estrutura cromática proposta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2"/>
        <w:gridCol w:w="1482"/>
        <w:gridCol w:w="604"/>
        <w:gridCol w:w="713"/>
        <w:gridCol w:w="713"/>
        <w:gridCol w:w="4280"/>
      </w:tblGrid>
      <w:tr w:rsidR="006E33D4" w:rsidRPr="00177DE4" w14:paraId="1FDBD606" w14:textId="77777777" w:rsidTr="006E3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4" w:type="dxa"/>
          </w:tcPr>
          <w:p w14:paraId="1D6AD71A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Cor</w:t>
            </w:r>
          </w:p>
        </w:tc>
        <w:tc>
          <w:tcPr>
            <w:tcW w:w="1296" w:type="dxa"/>
          </w:tcPr>
          <w:p w14:paraId="26CAC11C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Função</w:t>
            </w:r>
          </w:p>
        </w:tc>
        <w:tc>
          <w:tcPr>
            <w:tcW w:w="528" w:type="dxa"/>
          </w:tcPr>
          <w:p w14:paraId="4B5F1FA5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HEX</w:t>
            </w:r>
          </w:p>
        </w:tc>
        <w:tc>
          <w:tcPr>
            <w:tcW w:w="624" w:type="dxa"/>
          </w:tcPr>
          <w:p w14:paraId="1B4DD9EE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RGB</w:t>
            </w:r>
          </w:p>
        </w:tc>
        <w:tc>
          <w:tcPr>
            <w:tcW w:w="624" w:type="dxa"/>
          </w:tcPr>
          <w:p w14:paraId="14AE42E6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CMYK (aprox.)</w:t>
            </w:r>
          </w:p>
        </w:tc>
        <w:tc>
          <w:tcPr>
            <w:tcW w:w="3744" w:type="dxa"/>
          </w:tcPr>
          <w:p w14:paraId="7C49374F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Uso recomendado</w:t>
            </w:r>
          </w:p>
        </w:tc>
      </w:tr>
      <w:tr w:rsidR="006E33D4" w:rsidRPr="00177DE4" w14:paraId="5912A5A3" w14:textId="77777777">
        <w:tc>
          <w:tcPr>
            <w:tcW w:w="1104" w:type="dxa"/>
          </w:tcPr>
          <w:p w14:paraId="4FAE75A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Verde Sentivis</w:t>
            </w:r>
          </w:p>
        </w:tc>
        <w:tc>
          <w:tcPr>
            <w:tcW w:w="1296" w:type="dxa"/>
          </w:tcPr>
          <w:p w14:paraId="72E365F8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Cor principal da marca</w:t>
            </w:r>
          </w:p>
        </w:tc>
        <w:tc>
          <w:tcPr>
            <w:tcW w:w="528" w:type="dxa"/>
          </w:tcPr>
          <w:p w14:paraId="18CBDC0C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#1F6B3A</w:t>
            </w:r>
          </w:p>
        </w:tc>
        <w:tc>
          <w:tcPr>
            <w:tcW w:w="624" w:type="dxa"/>
          </w:tcPr>
          <w:p w14:paraId="5FC5831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31, 107, 58</w:t>
            </w:r>
          </w:p>
        </w:tc>
        <w:tc>
          <w:tcPr>
            <w:tcW w:w="624" w:type="dxa"/>
          </w:tcPr>
          <w:p w14:paraId="3741DA53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71, 0, 46, 58</w:t>
            </w:r>
          </w:p>
        </w:tc>
        <w:tc>
          <w:tcPr>
            <w:tcW w:w="3744" w:type="dxa"/>
          </w:tcPr>
          <w:p w14:paraId="7461700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Logomarca, títulos, destaques, botões principais e elementos institucionais</w:t>
            </w:r>
          </w:p>
        </w:tc>
      </w:tr>
      <w:tr w:rsidR="006E33D4" w:rsidRPr="00177DE4" w14:paraId="795FEFD2" w14:textId="77777777">
        <w:tc>
          <w:tcPr>
            <w:tcW w:w="1104" w:type="dxa"/>
          </w:tcPr>
          <w:p w14:paraId="3B693EF3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Preto Institucional</w:t>
            </w:r>
          </w:p>
        </w:tc>
        <w:tc>
          <w:tcPr>
            <w:tcW w:w="1296" w:type="dxa"/>
          </w:tcPr>
          <w:p w14:paraId="4FA0B6DC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Base de contraste e solidez</w:t>
            </w:r>
          </w:p>
        </w:tc>
        <w:tc>
          <w:tcPr>
            <w:tcW w:w="528" w:type="dxa"/>
          </w:tcPr>
          <w:p w14:paraId="6393F3CE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#111111</w:t>
            </w:r>
          </w:p>
        </w:tc>
        <w:tc>
          <w:tcPr>
            <w:tcW w:w="624" w:type="dxa"/>
          </w:tcPr>
          <w:p w14:paraId="3DFD1687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17, 17, 17</w:t>
            </w:r>
          </w:p>
        </w:tc>
        <w:tc>
          <w:tcPr>
            <w:tcW w:w="624" w:type="dxa"/>
          </w:tcPr>
          <w:p w14:paraId="31561A14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0, 0, 0, 93</w:t>
            </w:r>
          </w:p>
        </w:tc>
        <w:tc>
          <w:tcPr>
            <w:tcW w:w="3744" w:type="dxa"/>
          </w:tcPr>
          <w:p w14:paraId="4F332D5C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Texto principal, fundos escuros, contornos e aplicações premium</w:t>
            </w:r>
          </w:p>
        </w:tc>
      </w:tr>
      <w:tr w:rsidR="006E33D4" w:rsidRPr="00177DE4" w14:paraId="63103E78" w14:textId="77777777">
        <w:tc>
          <w:tcPr>
            <w:tcW w:w="1104" w:type="dxa"/>
          </w:tcPr>
          <w:p w14:paraId="70803D7A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Branco Base</w:t>
            </w:r>
          </w:p>
        </w:tc>
        <w:tc>
          <w:tcPr>
            <w:tcW w:w="1296" w:type="dxa"/>
          </w:tcPr>
          <w:p w14:paraId="02C36AA2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Clareza e respiro visual</w:t>
            </w:r>
          </w:p>
        </w:tc>
        <w:tc>
          <w:tcPr>
            <w:tcW w:w="528" w:type="dxa"/>
          </w:tcPr>
          <w:p w14:paraId="1DDE7F54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#FFFFFF</w:t>
            </w:r>
          </w:p>
        </w:tc>
        <w:tc>
          <w:tcPr>
            <w:tcW w:w="624" w:type="dxa"/>
          </w:tcPr>
          <w:p w14:paraId="7BC76F03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255, 255, 255</w:t>
            </w:r>
          </w:p>
        </w:tc>
        <w:tc>
          <w:tcPr>
            <w:tcW w:w="624" w:type="dxa"/>
          </w:tcPr>
          <w:p w14:paraId="2CFAD175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0, 0, 0, 0</w:t>
            </w:r>
          </w:p>
        </w:tc>
        <w:tc>
          <w:tcPr>
            <w:tcW w:w="3744" w:type="dxa"/>
          </w:tcPr>
          <w:p w14:paraId="2D4249A6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Fundo principal, versões negativas da marca, áreas de leitura e limpeza visual</w:t>
            </w:r>
          </w:p>
        </w:tc>
      </w:tr>
    </w:tbl>
    <w:p w14:paraId="01396148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27" w:name="aplicação-prática"/>
      <w:bookmarkEnd w:id="26"/>
      <w:r w:rsidRPr="00177DE4">
        <w:rPr>
          <w:rFonts w:ascii="Daytona" w:hAnsi="Daytona"/>
          <w:sz w:val="22"/>
          <w:szCs w:val="22"/>
        </w:rPr>
        <w:t>Aplicação prática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4"/>
        <w:gridCol w:w="2516"/>
      </w:tblGrid>
      <w:tr w:rsidR="006E33D4" w:rsidRPr="00177DE4" w14:paraId="3D783816" w14:textId="77777777" w:rsidTr="006E3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5B8E9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Elemento</w:t>
            </w:r>
          </w:p>
        </w:tc>
        <w:tc>
          <w:tcPr>
            <w:tcW w:w="0" w:type="auto"/>
          </w:tcPr>
          <w:p w14:paraId="20A38D8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Cor sugerida</w:t>
            </w:r>
          </w:p>
        </w:tc>
      </w:tr>
      <w:tr w:rsidR="006E33D4" w:rsidRPr="00177DE4" w14:paraId="13F83932" w14:textId="77777777">
        <w:tc>
          <w:tcPr>
            <w:tcW w:w="0" w:type="auto"/>
          </w:tcPr>
          <w:p w14:paraId="480C784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Logo principal sobre fundo claro</w:t>
            </w:r>
          </w:p>
        </w:tc>
        <w:tc>
          <w:tcPr>
            <w:tcW w:w="0" w:type="auto"/>
          </w:tcPr>
          <w:p w14:paraId="216DFFBA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Verde + Preto</w:t>
            </w:r>
          </w:p>
        </w:tc>
      </w:tr>
      <w:tr w:rsidR="006E33D4" w:rsidRPr="00177DE4" w14:paraId="4AA8D25A" w14:textId="77777777">
        <w:tc>
          <w:tcPr>
            <w:tcW w:w="0" w:type="auto"/>
          </w:tcPr>
          <w:p w14:paraId="34B6F69A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Logo sobre fundo escuro</w:t>
            </w:r>
          </w:p>
        </w:tc>
        <w:tc>
          <w:tcPr>
            <w:tcW w:w="0" w:type="auto"/>
          </w:tcPr>
          <w:p w14:paraId="6A1F37B4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Branco</w:t>
            </w:r>
          </w:p>
        </w:tc>
      </w:tr>
      <w:tr w:rsidR="006E33D4" w:rsidRPr="00177DE4" w14:paraId="209D95E8" w14:textId="77777777">
        <w:tc>
          <w:tcPr>
            <w:tcW w:w="0" w:type="auto"/>
          </w:tcPr>
          <w:p w14:paraId="499A97FE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Texto corrido</w:t>
            </w:r>
          </w:p>
        </w:tc>
        <w:tc>
          <w:tcPr>
            <w:tcW w:w="0" w:type="auto"/>
          </w:tcPr>
          <w:p w14:paraId="4AC5C82F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Preto</w:t>
            </w:r>
          </w:p>
        </w:tc>
      </w:tr>
      <w:tr w:rsidR="006E33D4" w:rsidRPr="00177DE4" w14:paraId="37FB6481" w14:textId="77777777">
        <w:tc>
          <w:tcPr>
            <w:tcW w:w="0" w:type="auto"/>
          </w:tcPr>
          <w:p w14:paraId="588CAF29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Títulos e chamadas</w:t>
            </w:r>
          </w:p>
        </w:tc>
        <w:tc>
          <w:tcPr>
            <w:tcW w:w="0" w:type="auto"/>
          </w:tcPr>
          <w:p w14:paraId="2828957B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Verde</w:t>
            </w:r>
          </w:p>
        </w:tc>
      </w:tr>
      <w:tr w:rsidR="006E33D4" w:rsidRPr="00177DE4" w14:paraId="3CFFFDA2" w14:textId="77777777">
        <w:tc>
          <w:tcPr>
            <w:tcW w:w="0" w:type="auto"/>
          </w:tcPr>
          <w:p w14:paraId="424B7404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Fundo institucional</w:t>
            </w:r>
          </w:p>
        </w:tc>
        <w:tc>
          <w:tcPr>
            <w:tcW w:w="0" w:type="auto"/>
          </w:tcPr>
          <w:p w14:paraId="63AE9E69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Branco</w:t>
            </w:r>
          </w:p>
        </w:tc>
      </w:tr>
      <w:tr w:rsidR="006E33D4" w:rsidRPr="00177DE4" w14:paraId="4D4CEBFB" w14:textId="77777777">
        <w:tc>
          <w:tcPr>
            <w:tcW w:w="0" w:type="auto"/>
          </w:tcPr>
          <w:p w14:paraId="43B20160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Botão principal / CTA</w:t>
            </w:r>
          </w:p>
        </w:tc>
        <w:tc>
          <w:tcPr>
            <w:tcW w:w="0" w:type="auto"/>
          </w:tcPr>
          <w:p w14:paraId="1EEB8B55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Verde com texto branco</w:t>
            </w:r>
          </w:p>
        </w:tc>
      </w:tr>
      <w:tr w:rsidR="006E33D4" w:rsidRPr="00177DE4" w14:paraId="6B43E740" w14:textId="77777777">
        <w:tc>
          <w:tcPr>
            <w:tcW w:w="0" w:type="auto"/>
          </w:tcPr>
          <w:p w14:paraId="1B05ED8D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b/>
                <w:bCs/>
                <w:sz w:val="20"/>
                <w:szCs w:val="20"/>
              </w:rPr>
              <w:t>Áreas de contraste forte</w:t>
            </w:r>
          </w:p>
        </w:tc>
        <w:tc>
          <w:tcPr>
            <w:tcW w:w="0" w:type="auto"/>
          </w:tcPr>
          <w:p w14:paraId="4D770D3E" w14:textId="77777777" w:rsidR="006E33D4" w:rsidRPr="00177DE4" w:rsidRDefault="00000000">
            <w:pPr>
              <w:pStyle w:val="Compact"/>
              <w:rPr>
                <w:rFonts w:ascii="Daytona" w:hAnsi="Daytona"/>
                <w:sz w:val="20"/>
                <w:szCs w:val="20"/>
              </w:rPr>
            </w:pPr>
            <w:r w:rsidRPr="00177DE4">
              <w:rPr>
                <w:rFonts w:ascii="Daytona" w:hAnsi="Daytona"/>
                <w:sz w:val="20"/>
                <w:szCs w:val="20"/>
              </w:rPr>
              <w:t>Preto com texto branco</w:t>
            </w:r>
          </w:p>
        </w:tc>
      </w:tr>
    </w:tbl>
    <w:p w14:paraId="270B7963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28" w:name="hierarquia-visual"/>
      <w:bookmarkEnd w:id="27"/>
      <w:r w:rsidRPr="00177DE4">
        <w:rPr>
          <w:rFonts w:ascii="Daytona" w:hAnsi="Daytona"/>
          <w:sz w:val="22"/>
          <w:szCs w:val="22"/>
        </w:rPr>
        <w:t>Hierarquia visual</w:t>
      </w:r>
    </w:p>
    <w:p w14:paraId="7E3C9D9B" w14:textId="77777777" w:rsidR="006E33D4" w:rsidRPr="00177DE4" w:rsidRDefault="00000000">
      <w:pPr>
        <w:pStyle w:val="Compact"/>
        <w:numPr>
          <w:ilvl w:val="0"/>
          <w:numId w:val="1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Verde = identidade</w:t>
      </w:r>
    </w:p>
    <w:p w14:paraId="767750EC" w14:textId="77777777" w:rsidR="006E33D4" w:rsidRPr="00177DE4" w:rsidRDefault="00000000">
      <w:pPr>
        <w:pStyle w:val="Compact"/>
        <w:numPr>
          <w:ilvl w:val="0"/>
          <w:numId w:val="1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Preto = estrutura e contraste</w:t>
      </w:r>
    </w:p>
    <w:p w14:paraId="5A685343" w14:textId="77777777" w:rsidR="006E33D4" w:rsidRPr="00177DE4" w:rsidRDefault="00000000">
      <w:pPr>
        <w:pStyle w:val="Compact"/>
        <w:numPr>
          <w:ilvl w:val="0"/>
          <w:numId w:val="1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Branco = limpeza e legibilidade</w:t>
      </w:r>
    </w:p>
    <w:p w14:paraId="6F4F0FF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29" w:name="observação"/>
      <w:bookmarkEnd w:id="28"/>
      <w:r w:rsidRPr="00177DE4">
        <w:rPr>
          <w:rFonts w:ascii="Daytona" w:hAnsi="Daytona"/>
          <w:sz w:val="22"/>
          <w:szCs w:val="22"/>
        </w:rPr>
        <w:t>Observação</w:t>
      </w:r>
    </w:p>
    <w:p w14:paraId="4724AD1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Os códigos HEX, RGB e CMYK acima funcionam como proposta técnica coerente para orientar o uso institucional da marca, mas não substituem um manual cromático oficial fechado.</w:t>
      </w:r>
    </w:p>
    <w:p w14:paraId="75783037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30" w:name="verdade-operacional-do-produto"/>
      <w:bookmarkEnd w:id="14"/>
      <w:bookmarkEnd w:id="25"/>
      <w:bookmarkEnd w:id="29"/>
      <w:r w:rsidRPr="00177DE4">
        <w:rPr>
          <w:rFonts w:ascii="Daytona" w:hAnsi="Daytona"/>
          <w:sz w:val="32"/>
          <w:szCs w:val="32"/>
        </w:rPr>
        <w:lastRenderedPageBreak/>
        <w:t>4. Verdade operacional do produto</w:t>
      </w:r>
    </w:p>
    <w:p w14:paraId="1EDE9CA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1" w:name="problema-que-a-sentivis-resolve"/>
      <w:r w:rsidRPr="00177DE4">
        <w:rPr>
          <w:rFonts w:ascii="Daytona" w:hAnsi="Daytona"/>
          <w:sz w:val="24"/>
          <w:szCs w:val="24"/>
        </w:rPr>
        <w:t>4.1 Problema que a Sentivis resolve</w:t>
      </w:r>
    </w:p>
    <w:p w14:paraId="5D2C7115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 A Sentivis organiza a realidade da fazenda em dados comparáveis, históricos e utilizáveis para decisão, reduzindo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incerteza operacional e econômica do produtor.</w:t>
      </w:r>
    </w:p>
    <w:p w14:paraId="0CFB183C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2" w:name="benefício-real-percebido-no-campo"/>
      <w:bookmarkEnd w:id="31"/>
      <w:r w:rsidRPr="00177DE4">
        <w:rPr>
          <w:rFonts w:ascii="Daytona" w:hAnsi="Daytona"/>
          <w:sz w:val="24"/>
          <w:szCs w:val="24"/>
        </w:rPr>
        <w:t>4.2 Benefício real percebido no campo</w:t>
      </w:r>
    </w:p>
    <w:p w14:paraId="17DD74F7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5DCDFEE" w14:textId="77777777" w:rsidR="006E33D4" w:rsidRPr="00177DE4" w:rsidRDefault="00000000">
      <w:pPr>
        <w:pStyle w:val="Compact"/>
        <w:numPr>
          <w:ilvl w:val="0"/>
          <w:numId w:val="1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Apoio à decisão com mais evidência</w:t>
      </w:r>
    </w:p>
    <w:p w14:paraId="258769C8" w14:textId="77777777" w:rsidR="006E33D4" w:rsidRPr="00177DE4" w:rsidRDefault="00000000">
      <w:pPr>
        <w:pStyle w:val="Compact"/>
        <w:numPr>
          <w:ilvl w:val="0"/>
          <w:numId w:val="1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Leitura mais organizada da fazenda</w:t>
      </w:r>
    </w:p>
    <w:p w14:paraId="56F1D999" w14:textId="77777777" w:rsidR="006E33D4" w:rsidRPr="00177DE4" w:rsidRDefault="00000000">
      <w:pPr>
        <w:pStyle w:val="Compact"/>
        <w:numPr>
          <w:ilvl w:val="0"/>
          <w:numId w:val="1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Informação correta para decisão na hora certa</w:t>
      </w:r>
    </w:p>
    <w:p w14:paraId="1735A86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3" w:name="uso-de-dados-oficiais"/>
      <w:bookmarkEnd w:id="32"/>
      <w:r w:rsidRPr="00177DE4">
        <w:rPr>
          <w:rFonts w:ascii="Daytona" w:hAnsi="Daytona"/>
          <w:sz w:val="24"/>
          <w:szCs w:val="24"/>
        </w:rPr>
        <w:t>4.3 Uso de dados oficiais</w:t>
      </w:r>
    </w:p>
    <w:p w14:paraId="008A983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FFE482D" w14:textId="77777777" w:rsidR="006E33D4" w:rsidRPr="00177DE4" w:rsidRDefault="00000000">
      <w:pPr>
        <w:pStyle w:val="Compact"/>
        <w:numPr>
          <w:ilvl w:val="0"/>
          <w:numId w:val="1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Embrapa</w:t>
      </w:r>
    </w:p>
    <w:p w14:paraId="3923CA27" w14:textId="77777777" w:rsidR="006E33D4" w:rsidRPr="00177DE4" w:rsidRDefault="00000000">
      <w:pPr>
        <w:pStyle w:val="Compact"/>
        <w:numPr>
          <w:ilvl w:val="0"/>
          <w:numId w:val="1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INPE</w:t>
      </w:r>
    </w:p>
    <w:p w14:paraId="2D0F1D60" w14:textId="77777777" w:rsidR="006E33D4" w:rsidRPr="00177DE4" w:rsidRDefault="00000000">
      <w:pPr>
        <w:pStyle w:val="Compact"/>
        <w:numPr>
          <w:ilvl w:val="0"/>
          <w:numId w:val="1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INMET e bases públicas equivalentes</w:t>
      </w:r>
    </w:p>
    <w:p w14:paraId="37E6B23C" w14:textId="77777777" w:rsidR="006E33D4" w:rsidRPr="00177DE4" w:rsidRDefault="00000000">
      <w:pPr>
        <w:pStyle w:val="Compact"/>
        <w:numPr>
          <w:ilvl w:val="0"/>
          <w:numId w:val="1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Outras fontes oficiais compatíveis</w:t>
      </w:r>
    </w:p>
    <w:p w14:paraId="285070C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4" w:name="apoio-à-decisão"/>
      <w:bookmarkEnd w:id="33"/>
      <w:r w:rsidRPr="00177DE4">
        <w:rPr>
          <w:rFonts w:ascii="Daytona" w:hAnsi="Daytona"/>
          <w:sz w:val="24"/>
          <w:szCs w:val="24"/>
        </w:rPr>
        <w:t>4.4 Apoio à decisão</w:t>
      </w:r>
    </w:p>
    <w:p w14:paraId="310358FC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8799B74" w14:textId="77777777" w:rsidR="006E33D4" w:rsidRPr="00177DE4" w:rsidRDefault="00000000">
      <w:pPr>
        <w:pStyle w:val="Compact"/>
        <w:numPr>
          <w:ilvl w:val="0"/>
          <w:numId w:val="1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 Sentivis organiza dados e apoia decisões do produtor</w:t>
      </w:r>
    </w:p>
    <w:p w14:paraId="1C4D9E2A" w14:textId="77777777" w:rsidR="006E33D4" w:rsidRPr="00177DE4" w:rsidRDefault="00000000">
      <w:pPr>
        <w:pStyle w:val="Compact"/>
        <w:numPr>
          <w:ilvl w:val="0"/>
          <w:numId w:val="1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há suporte agronômico especializado permanente neste estágio</w:t>
      </w:r>
    </w:p>
    <w:p w14:paraId="68B96FBF" w14:textId="162D5B1F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2D00DEF6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35" w:name="arquitetura-geral-da-solução"/>
      <w:bookmarkEnd w:id="30"/>
      <w:bookmarkEnd w:id="34"/>
      <w:r w:rsidRPr="00177DE4">
        <w:rPr>
          <w:rFonts w:ascii="Daytona" w:hAnsi="Daytona"/>
          <w:sz w:val="32"/>
          <w:szCs w:val="32"/>
        </w:rPr>
        <w:t>5. Arquitetura geral da solução</w:t>
      </w:r>
    </w:p>
    <w:p w14:paraId="15763E6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6" w:name="sensores-estações-e-rede-lora"/>
      <w:r w:rsidRPr="00177DE4">
        <w:rPr>
          <w:rFonts w:ascii="Daytona" w:hAnsi="Daytona"/>
          <w:sz w:val="24"/>
          <w:szCs w:val="24"/>
        </w:rPr>
        <w:t>5.1 Sensores, estações e rede LoRa</w:t>
      </w:r>
    </w:p>
    <w:p w14:paraId="74452113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1B12DB6D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7" w:name="edge-como-núcleo-local"/>
      <w:bookmarkEnd w:id="36"/>
      <w:r w:rsidRPr="00177DE4">
        <w:rPr>
          <w:rFonts w:ascii="Daytona" w:hAnsi="Daytona"/>
          <w:sz w:val="24"/>
          <w:szCs w:val="24"/>
        </w:rPr>
        <w:t>5.2 Edge como núcleo local</w:t>
      </w:r>
    </w:p>
    <w:p w14:paraId="3D78B273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A62B50D" w14:textId="77777777" w:rsidR="006E33D4" w:rsidRPr="00177DE4" w:rsidRDefault="00000000">
      <w:pPr>
        <w:pStyle w:val="Compact"/>
        <w:numPr>
          <w:ilvl w:val="0"/>
          <w:numId w:val="2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Núcleo local centralizado na fazenda</w:t>
      </w:r>
    </w:p>
    <w:p w14:paraId="17C8944F" w14:textId="77777777" w:rsidR="006E33D4" w:rsidRPr="00177DE4" w:rsidRDefault="00000000">
      <w:pPr>
        <w:pStyle w:val="Compact"/>
        <w:numPr>
          <w:ilvl w:val="0"/>
          <w:numId w:val="2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Base principal: Raspberry Pi 4/5</w:t>
      </w:r>
    </w:p>
    <w:p w14:paraId="04EE5359" w14:textId="77777777" w:rsidR="006E33D4" w:rsidRPr="00177DE4" w:rsidRDefault="00000000">
      <w:pPr>
        <w:pStyle w:val="Compact"/>
        <w:numPr>
          <w:ilvl w:val="0"/>
          <w:numId w:val="2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lastRenderedPageBreak/>
        <w:t>Backup para mini computadores</w:t>
      </w:r>
    </w:p>
    <w:p w14:paraId="46003D1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8" w:name="plataforma-local-e-cloud"/>
      <w:bookmarkEnd w:id="37"/>
      <w:r w:rsidRPr="00177DE4">
        <w:rPr>
          <w:rFonts w:ascii="Daytona" w:hAnsi="Daytona"/>
          <w:sz w:val="24"/>
          <w:szCs w:val="24"/>
        </w:rPr>
        <w:t xml:space="preserve">5.3 Plataforma </w:t>
      </w:r>
      <w:proofErr w:type="gramStart"/>
      <w:r w:rsidRPr="00177DE4">
        <w:rPr>
          <w:rFonts w:ascii="Daytona" w:hAnsi="Daytona"/>
          <w:sz w:val="24"/>
          <w:szCs w:val="24"/>
        </w:rPr>
        <w:t>local e</w:t>
      </w:r>
      <w:proofErr w:type="gramEnd"/>
      <w:r w:rsidRPr="00177DE4">
        <w:rPr>
          <w:rFonts w:ascii="Daytona" w:hAnsi="Daytona"/>
          <w:sz w:val="24"/>
          <w:szCs w:val="24"/>
        </w:rPr>
        <w:t xml:space="preserve"> cloud</w:t>
      </w:r>
    </w:p>
    <w:p w14:paraId="1234B1AA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0A908879" w14:textId="77777777" w:rsidR="006E33D4" w:rsidRPr="00177DE4" w:rsidRDefault="00000000">
      <w:pPr>
        <w:pStyle w:val="Compact"/>
        <w:numPr>
          <w:ilvl w:val="0"/>
          <w:numId w:val="2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Operação local centralizada</w:t>
      </w:r>
    </w:p>
    <w:p w14:paraId="65D048E5" w14:textId="77777777" w:rsidR="006E33D4" w:rsidRPr="00177DE4" w:rsidRDefault="00000000">
      <w:pPr>
        <w:pStyle w:val="Compact"/>
        <w:numPr>
          <w:ilvl w:val="0"/>
          <w:numId w:val="2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Continuidade com nuvem para consolidação e reprocessamento</w:t>
      </w:r>
    </w:p>
    <w:p w14:paraId="0289693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39" w:name="fallback-operacional"/>
      <w:bookmarkEnd w:id="38"/>
      <w:r w:rsidRPr="00177DE4">
        <w:rPr>
          <w:rFonts w:ascii="Daytona" w:hAnsi="Daytona"/>
          <w:sz w:val="24"/>
          <w:szCs w:val="24"/>
        </w:rPr>
        <w:t>5.4 Fallback operacional</w:t>
      </w:r>
    </w:p>
    <w:p w14:paraId="6C96054C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25615CB" w14:textId="77777777" w:rsidR="006E33D4" w:rsidRPr="00177DE4" w:rsidRDefault="00000000">
      <w:pPr>
        <w:pStyle w:val="Compact"/>
        <w:numPr>
          <w:ilvl w:val="0"/>
          <w:numId w:val="2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Operação local em caso de falha de energia ou comunicação</w:t>
      </w:r>
    </w:p>
    <w:p w14:paraId="4B8EEDC7" w14:textId="77777777" w:rsidR="006E33D4" w:rsidRPr="00177DE4" w:rsidRDefault="00000000">
      <w:pPr>
        <w:pStyle w:val="Compact"/>
        <w:numPr>
          <w:ilvl w:val="0"/>
          <w:numId w:val="2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Reenvio e reprocessamento após restabelecimento</w:t>
      </w:r>
    </w:p>
    <w:p w14:paraId="4544CDC0" w14:textId="650D6E2E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7B960C26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40" w:name="fluxo-de-dados-e-inteligência"/>
      <w:bookmarkEnd w:id="35"/>
      <w:bookmarkEnd w:id="39"/>
      <w:r w:rsidRPr="00177DE4">
        <w:rPr>
          <w:rFonts w:ascii="Daytona" w:hAnsi="Daytona"/>
          <w:sz w:val="32"/>
          <w:szCs w:val="32"/>
        </w:rPr>
        <w:t>6. Fluxo de dados e inteligência</w:t>
      </w:r>
    </w:p>
    <w:p w14:paraId="465CFFF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1" w:name="coleta-local"/>
      <w:r w:rsidRPr="00177DE4">
        <w:rPr>
          <w:rFonts w:ascii="Daytona" w:hAnsi="Daytona"/>
          <w:sz w:val="24"/>
          <w:szCs w:val="24"/>
        </w:rPr>
        <w:t>6.1 Coleta local</w:t>
      </w:r>
    </w:p>
    <w:p w14:paraId="78D5AC94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384AACE4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2" w:name="consolidação-central"/>
      <w:bookmarkEnd w:id="41"/>
      <w:r w:rsidRPr="00177DE4">
        <w:rPr>
          <w:rFonts w:ascii="Daytona" w:hAnsi="Daytona"/>
          <w:sz w:val="24"/>
          <w:szCs w:val="24"/>
        </w:rPr>
        <w:t>6.2 Consolidação central</w:t>
      </w:r>
    </w:p>
    <w:p w14:paraId="23D77BE0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1CB7FA13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3" w:name="ia-e-modelos"/>
      <w:bookmarkEnd w:id="42"/>
      <w:r w:rsidRPr="00177DE4">
        <w:rPr>
          <w:rFonts w:ascii="Daytona" w:hAnsi="Daytona"/>
          <w:sz w:val="24"/>
          <w:szCs w:val="24"/>
        </w:rPr>
        <w:t>6.3 IA e modelos</w:t>
      </w:r>
    </w:p>
    <w:p w14:paraId="5901592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23C549F7" w14:textId="77777777" w:rsidR="006E33D4" w:rsidRPr="00177DE4" w:rsidRDefault="00000000">
      <w:pPr>
        <w:pStyle w:val="Compact"/>
        <w:numPr>
          <w:ilvl w:val="0"/>
          <w:numId w:val="23"/>
        </w:numPr>
        <w:rPr>
          <w:rFonts w:ascii="Daytona" w:hAnsi="Daytona"/>
          <w:sz w:val="20"/>
          <w:szCs w:val="20"/>
        </w:rPr>
      </w:pP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IA já foi calibrada com base inicial de monitoramento e análise</w:t>
      </w:r>
    </w:p>
    <w:p w14:paraId="62B34FB0" w14:textId="77777777" w:rsidR="006E33D4" w:rsidRPr="00177DE4" w:rsidRDefault="00000000">
      <w:pPr>
        <w:pStyle w:val="Compact"/>
        <w:numPr>
          <w:ilvl w:val="0"/>
          <w:numId w:val="2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 validação ampliada ainda depende da próxima fase de campo</w:t>
      </w:r>
    </w:p>
    <w:p w14:paraId="1404ED4E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4" w:name="comparação-com-dados-públicos"/>
      <w:bookmarkEnd w:id="43"/>
      <w:r w:rsidRPr="00177DE4">
        <w:rPr>
          <w:rFonts w:ascii="Daytona" w:hAnsi="Daytona"/>
          <w:sz w:val="24"/>
          <w:szCs w:val="24"/>
        </w:rPr>
        <w:t>6.4 Comparação com dados públicos</w:t>
      </w:r>
    </w:p>
    <w:p w14:paraId="1C107F10" w14:textId="77777777" w:rsidR="006E33D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</w:t>
      </w:r>
      <w:proofErr w:type="spellStart"/>
      <w:r w:rsidRPr="00177DE4">
        <w:rPr>
          <w:rFonts w:ascii="Daytona" w:hAnsi="Daytona"/>
          <w:sz w:val="20"/>
          <w:szCs w:val="20"/>
        </w:rPr>
        <w:t>Definido</w:t>
      </w:r>
      <w:proofErr w:type="spellEnd"/>
    </w:p>
    <w:p w14:paraId="359C1BDE" w14:textId="77777777" w:rsidR="00177DE4" w:rsidRDefault="00177DE4" w:rsidP="00177DE4">
      <w:pPr>
        <w:pStyle w:val="Corpodetexto"/>
      </w:pPr>
    </w:p>
    <w:p w14:paraId="4D2B64BB" w14:textId="77777777" w:rsidR="00177DE4" w:rsidRDefault="00177DE4" w:rsidP="00177DE4">
      <w:pPr>
        <w:pStyle w:val="Corpodetexto"/>
      </w:pPr>
    </w:p>
    <w:p w14:paraId="3FE7455B" w14:textId="21D11A4C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265C84E8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45" w:name="rastreabilidade-visual-e-qr-codes"/>
      <w:bookmarkEnd w:id="40"/>
      <w:bookmarkEnd w:id="44"/>
      <w:r w:rsidRPr="00177DE4">
        <w:rPr>
          <w:rFonts w:ascii="Daytona" w:hAnsi="Daytona"/>
          <w:sz w:val="32"/>
          <w:szCs w:val="32"/>
        </w:rPr>
        <w:lastRenderedPageBreak/>
        <w:t>7. Rastreabilidade visual e QR Codes</w:t>
      </w:r>
    </w:p>
    <w:p w14:paraId="466391B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6" w:name="qr-codes-distribuídos-no-talhão"/>
      <w:r w:rsidRPr="00177DE4">
        <w:rPr>
          <w:rFonts w:ascii="Daytona" w:hAnsi="Daytona"/>
          <w:sz w:val="24"/>
          <w:szCs w:val="24"/>
        </w:rPr>
        <w:t>7.1 QR Codes distribuídos no talhão</w:t>
      </w:r>
    </w:p>
    <w:p w14:paraId="74DB2194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15A418C3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7" w:name="Xe2d5ab65beb517568df05aa15be79641e665992"/>
      <w:bookmarkEnd w:id="46"/>
      <w:r w:rsidRPr="00177DE4">
        <w:rPr>
          <w:rFonts w:ascii="Daytona" w:hAnsi="Daytona"/>
          <w:sz w:val="24"/>
          <w:szCs w:val="24"/>
        </w:rPr>
        <w:t>7.2 Captura de imagem por funcionários da fazenda</w:t>
      </w:r>
    </w:p>
    <w:p w14:paraId="5356BD3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1A4DE2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8" w:name="câmera-de-planta-modelo-na-estação"/>
      <w:bookmarkEnd w:id="47"/>
      <w:r w:rsidRPr="00177DE4">
        <w:rPr>
          <w:rFonts w:ascii="Daytona" w:hAnsi="Daytona"/>
          <w:sz w:val="24"/>
          <w:szCs w:val="24"/>
        </w:rPr>
        <w:t>7.3 Câmera de planta modelo na estação</w:t>
      </w:r>
    </w:p>
    <w:p w14:paraId="6CEBB12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8F8BC81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49" w:name="fluxo-de-armazenamento-de-imagem"/>
      <w:bookmarkEnd w:id="48"/>
      <w:r w:rsidRPr="00177DE4">
        <w:rPr>
          <w:rFonts w:ascii="Daytona" w:hAnsi="Daytona"/>
          <w:sz w:val="24"/>
          <w:szCs w:val="24"/>
        </w:rPr>
        <w:t>7.4 Fluxo de armazenamento de imagem</w:t>
      </w:r>
    </w:p>
    <w:p w14:paraId="69645A55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9EA54EE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Captura</w:t>
      </w:r>
    </w:p>
    <w:p w14:paraId="3DC91770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Associação ao ponto</w:t>
      </w:r>
    </w:p>
    <w:p w14:paraId="6694E985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Envio ao Edge</w:t>
      </w:r>
    </w:p>
    <w:p w14:paraId="79CF783E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Envio à Sentivis Cloud</w:t>
      </w:r>
    </w:p>
    <w:p w14:paraId="2744D611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Remoção local</w:t>
      </w:r>
    </w:p>
    <w:p w14:paraId="16D50140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Histórico centralizado</w:t>
      </w:r>
    </w:p>
    <w:p w14:paraId="049DBB23" w14:textId="77777777" w:rsidR="006E33D4" w:rsidRPr="00177DE4" w:rsidRDefault="00000000">
      <w:pPr>
        <w:pStyle w:val="Compact"/>
        <w:numPr>
          <w:ilvl w:val="0"/>
          <w:numId w:val="2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Vinculação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evidências operacionais e históricas quando aplicável</w:t>
      </w:r>
    </w:p>
    <w:p w14:paraId="3220DAB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0" w:name="análises-sobre-imagens"/>
      <w:bookmarkEnd w:id="49"/>
      <w:r w:rsidRPr="00177DE4">
        <w:rPr>
          <w:rFonts w:ascii="Daytona" w:hAnsi="Daytona"/>
          <w:sz w:val="24"/>
          <w:szCs w:val="24"/>
        </w:rPr>
        <w:t>7.5 Análises sobre imagens</w:t>
      </w:r>
    </w:p>
    <w:p w14:paraId="3174B199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64CDF6BF" w14:textId="77777777" w:rsidR="006E33D4" w:rsidRPr="00177DE4" w:rsidRDefault="00000000">
      <w:pPr>
        <w:pStyle w:val="Compact"/>
        <w:numPr>
          <w:ilvl w:val="0"/>
          <w:numId w:val="2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Crescimento</w:t>
      </w:r>
    </w:p>
    <w:p w14:paraId="4C7FF81E" w14:textId="77777777" w:rsidR="006E33D4" w:rsidRPr="00177DE4" w:rsidRDefault="00000000">
      <w:pPr>
        <w:pStyle w:val="Compact"/>
        <w:numPr>
          <w:ilvl w:val="0"/>
          <w:numId w:val="2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Histórico evolutivo</w:t>
      </w:r>
    </w:p>
    <w:p w14:paraId="645E84F7" w14:textId="77777777" w:rsidR="006E33D4" w:rsidRPr="00177DE4" w:rsidRDefault="00000000">
      <w:pPr>
        <w:pStyle w:val="Compact"/>
        <w:numPr>
          <w:ilvl w:val="0"/>
          <w:numId w:val="2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Comparações por ponto</w:t>
      </w:r>
    </w:p>
    <w:p w14:paraId="191FF16B" w14:textId="77777777" w:rsidR="006E33D4" w:rsidRPr="00177DE4" w:rsidRDefault="00000000">
      <w:pPr>
        <w:pStyle w:val="Compact"/>
        <w:numPr>
          <w:ilvl w:val="0"/>
          <w:numId w:val="2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Análise foliar e leituras futuras</w:t>
      </w:r>
    </w:p>
    <w:p w14:paraId="797D48BF" w14:textId="6DEAACE6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565CAE0A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51" w:name="base-atual-de-validação"/>
      <w:bookmarkEnd w:id="45"/>
      <w:bookmarkEnd w:id="50"/>
      <w:r w:rsidRPr="00177DE4">
        <w:rPr>
          <w:rFonts w:ascii="Daytona" w:hAnsi="Daytona"/>
          <w:sz w:val="32"/>
          <w:szCs w:val="32"/>
        </w:rPr>
        <w:t>8. Base atual de validação</w:t>
      </w:r>
    </w:p>
    <w:p w14:paraId="3C8D89C7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2" w:name="base-inicial-já-executada"/>
      <w:r w:rsidRPr="00177DE4">
        <w:rPr>
          <w:rFonts w:ascii="Daytona" w:hAnsi="Daytona"/>
          <w:sz w:val="24"/>
          <w:szCs w:val="24"/>
        </w:rPr>
        <w:t>8.1 Base inicial já executada</w:t>
      </w:r>
    </w:p>
    <w:p w14:paraId="1CEB707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F461831" w14:textId="77777777" w:rsidR="006E33D4" w:rsidRPr="00177DE4" w:rsidRDefault="00000000">
      <w:pPr>
        <w:pStyle w:val="Compact"/>
        <w:numPr>
          <w:ilvl w:val="0"/>
          <w:numId w:val="2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4 meses de monitoramento</w:t>
      </w:r>
    </w:p>
    <w:p w14:paraId="0F1AC18E" w14:textId="77777777" w:rsidR="006E33D4" w:rsidRPr="00177DE4" w:rsidRDefault="00000000">
      <w:pPr>
        <w:pStyle w:val="Compact"/>
        <w:numPr>
          <w:ilvl w:val="0"/>
          <w:numId w:val="2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2 meses adicionais de análise sobre base de backup</w:t>
      </w:r>
    </w:p>
    <w:p w14:paraId="10802F71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3" w:name="o-que-essa-base-permitiu"/>
      <w:bookmarkEnd w:id="52"/>
      <w:r w:rsidRPr="00177DE4">
        <w:rPr>
          <w:rFonts w:ascii="Daytona" w:hAnsi="Daytona"/>
          <w:sz w:val="24"/>
          <w:szCs w:val="24"/>
        </w:rPr>
        <w:lastRenderedPageBreak/>
        <w:t>8.2 O que essa base permitiu</w:t>
      </w:r>
    </w:p>
    <w:p w14:paraId="20A8C723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5EC4F54" w14:textId="77777777" w:rsidR="006E33D4" w:rsidRPr="00177DE4" w:rsidRDefault="00000000">
      <w:pPr>
        <w:pStyle w:val="Compact"/>
        <w:numPr>
          <w:ilvl w:val="0"/>
          <w:numId w:val="2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Calibrar a plataforma</w:t>
      </w:r>
    </w:p>
    <w:p w14:paraId="55ABF32D" w14:textId="77777777" w:rsidR="006E33D4" w:rsidRPr="00177DE4" w:rsidRDefault="00000000">
      <w:pPr>
        <w:pStyle w:val="Compact"/>
        <w:numPr>
          <w:ilvl w:val="0"/>
          <w:numId w:val="2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Refinar a lógica de IA</w:t>
      </w:r>
    </w:p>
    <w:p w14:paraId="409CDEE3" w14:textId="77777777" w:rsidR="006E33D4" w:rsidRPr="00177DE4" w:rsidRDefault="00000000">
      <w:pPr>
        <w:pStyle w:val="Compact"/>
        <w:numPr>
          <w:ilvl w:val="0"/>
          <w:numId w:val="2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Identificar dados prioritários</w:t>
      </w:r>
    </w:p>
    <w:p w14:paraId="5D1F86A0" w14:textId="77777777" w:rsidR="006E33D4" w:rsidRPr="00177DE4" w:rsidRDefault="00000000">
      <w:pPr>
        <w:pStyle w:val="Compact"/>
        <w:numPr>
          <w:ilvl w:val="0"/>
          <w:numId w:val="2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Ajustar respostas e inferências</w:t>
      </w:r>
    </w:p>
    <w:p w14:paraId="1D7C9200" w14:textId="77777777" w:rsidR="006E33D4" w:rsidRPr="00177DE4" w:rsidRDefault="00000000">
      <w:pPr>
        <w:pStyle w:val="Compact"/>
        <w:numPr>
          <w:ilvl w:val="0"/>
          <w:numId w:val="2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Estruturar base comparável e rastreável</w:t>
      </w:r>
    </w:p>
    <w:p w14:paraId="4EF9D6B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4" w:name="limite-da-base-atual"/>
      <w:bookmarkEnd w:id="53"/>
      <w:r w:rsidRPr="00177DE4">
        <w:rPr>
          <w:rFonts w:ascii="Daytona" w:hAnsi="Daytona"/>
          <w:sz w:val="24"/>
          <w:szCs w:val="24"/>
        </w:rPr>
        <w:t>8.3 Limite da base atual</w:t>
      </w:r>
    </w:p>
    <w:p w14:paraId="61AF776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384C8D2" w14:textId="77777777" w:rsidR="006E33D4" w:rsidRPr="00177DE4" w:rsidRDefault="00000000">
      <w:pPr>
        <w:pStyle w:val="Compact"/>
        <w:numPr>
          <w:ilvl w:val="0"/>
          <w:numId w:val="2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substitui a validação ampliada em 10 equipamentos</w:t>
      </w:r>
    </w:p>
    <w:p w14:paraId="3818D351" w14:textId="5EF7E4D8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2B6F98A7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55" w:name="próxima-fase-de-validação-em-campo"/>
      <w:bookmarkEnd w:id="51"/>
      <w:bookmarkEnd w:id="54"/>
      <w:r w:rsidRPr="00177DE4">
        <w:rPr>
          <w:rFonts w:ascii="Daytona" w:hAnsi="Daytona"/>
          <w:sz w:val="32"/>
          <w:szCs w:val="32"/>
        </w:rPr>
        <w:t>9. Próxima fase de validação em campo</w:t>
      </w:r>
    </w:p>
    <w:p w14:paraId="73400A6B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6" w:name="estrutura-da-próxima-prova"/>
      <w:r w:rsidRPr="00177DE4">
        <w:rPr>
          <w:rFonts w:ascii="Daytona" w:hAnsi="Daytona"/>
          <w:sz w:val="24"/>
          <w:szCs w:val="24"/>
        </w:rPr>
        <w:t>9.1 Estrutura da próxima prova</w:t>
      </w:r>
    </w:p>
    <w:p w14:paraId="7ADC9D35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C8801A5" w14:textId="77777777" w:rsidR="006E33D4" w:rsidRPr="00177DE4" w:rsidRDefault="00000000">
      <w:pPr>
        <w:pStyle w:val="Compact"/>
        <w:numPr>
          <w:ilvl w:val="0"/>
          <w:numId w:val="2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10 equipamentos</w:t>
      </w:r>
    </w:p>
    <w:p w14:paraId="08B41FD7" w14:textId="77777777" w:rsidR="006E33D4" w:rsidRPr="00177DE4" w:rsidRDefault="00000000">
      <w:pPr>
        <w:pStyle w:val="Compact"/>
        <w:numPr>
          <w:ilvl w:val="0"/>
          <w:numId w:val="2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10 pontos/fazendas ou áreas representativas</w:t>
      </w:r>
    </w:p>
    <w:p w14:paraId="01362931" w14:textId="77777777" w:rsidR="006E33D4" w:rsidRPr="00177DE4" w:rsidRDefault="00000000">
      <w:pPr>
        <w:pStyle w:val="Compact"/>
        <w:numPr>
          <w:ilvl w:val="0"/>
          <w:numId w:val="2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1 ano de acompanhamento</w:t>
      </w:r>
    </w:p>
    <w:p w14:paraId="15D6E51D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7" w:name="objetivo-da-próxima-fase"/>
      <w:bookmarkEnd w:id="56"/>
      <w:r w:rsidRPr="00177DE4">
        <w:rPr>
          <w:rFonts w:ascii="Daytona" w:hAnsi="Daytona"/>
          <w:sz w:val="24"/>
          <w:szCs w:val="24"/>
        </w:rPr>
        <w:t>9.2 Objetivo da próxima fase</w:t>
      </w:r>
    </w:p>
    <w:p w14:paraId="702058BC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3F9096A" w14:textId="77777777" w:rsidR="006E33D4" w:rsidRPr="00177DE4" w:rsidRDefault="00000000">
      <w:pPr>
        <w:pStyle w:val="Compact"/>
        <w:numPr>
          <w:ilvl w:val="0"/>
          <w:numId w:val="3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Comprovar comportamento em escala real</w:t>
      </w:r>
    </w:p>
    <w:p w14:paraId="23EAF2F6" w14:textId="77777777" w:rsidR="006E33D4" w:rsidRPr="00177DE4" w:rsidRDefault="00000000">
      <w:pPr>
        <w:pStyle w:val="Compact"/>
        <w:numPr>
          <w:ilvl w:val="0"/>
          <w:numId w:val="3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Refinar inferência</w:t>
      </w:r>
    </w:p>
    <w:p w14:paraId="07779DD7" w14:textId="77777777" w:rsidR="006E33D4" w:rsidRPr="00177DE4" w:rsidRDefault="00000000">
      <w:pPr>
        <w:pStyle w:val="Compact"/>
        <w:numPr>
          <w:ilvl w:val="0"/>
          <w:numId w:val="3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Consolidar evidência técnica e comercial</w:t>
      </w:r>
    </w:p>
    <w:p w14:paraId="12EEE5C0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8" w:name="o-que-precisa-ser-financiado"/>
      <w:bookmarkEnd w:id="57"/>
      <w:r w:rsidRPr="00177DE4">
        <w:rPr>
          <w:rFonts w:ascii="Daytona" w:hAnsi="Daytona"/>
          <w:sz w:val="24"/>
          <w:szCs w:val="24"/>
        </w:rPr>
        <w:t>9.3 O que precisa ser financiado</w:t>
      </w:r>
    </w:p>
    <w:p w14:paraId="71F0A36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37B9B083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Telemetria</w:t>
      </w:r>
    </w:p>
    <w:p w14:paraId="69B5626F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Instalação e manutenção</w:t>
      </w:r>
    </w:p>
    <w:p w14:paraId="6E8E3C26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Vistorias técnicas</w:t>
      </w:r>
    </w:p>
    <w:p w14:paraId="61A6795C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Transporte e deslocamento</w:t>
      </w:r>
    </w:p>
    <w:p w14:paraId="4A8AAC7E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Troca de equipamentos</w:t>
      </w:r>
    </w:p>
    <w:p w14:paraId="45083118" w14:textId="77777777" w:rsidR="006E33D4" w:rsidRPr="00177DE4" w:rsidRDefault="00000000">
      <w:pPr>
        <w:pStyle w:val="Compact"/>
        <w:numPr>
          <w:ilvl w:val="0"/>
          <w:numId w:val="3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Infraestrutura operacional dos pilotos</w:t>
      </w:r>
    </w:p>
    <w:p w14:paraId="66503EF5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59" w:name="modelo-operacional-do-piloto"/>
      <w:bookmarkEnd w:id="58"/>
      <w:r w:rsidRPr="00177DE4">
        <w:rPr>
          <w:rFonts w:ascii="Daytona" w:hAnsi="Daytona"/>
          <w:sz w:val="24"/>
          <w:szCs w:val="24"/>
        </w:rPr>
        <w:lastRenderedPageBreak/>
        <w:t>9.4 Modelo operacional do piloto</w:t>
      </w:r>
    </w:p>
    <w:p w14:paraId="2F8C23A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E40B807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frente operacional técnica</w:t>
      </w:r>
    </w:p>
    <w:p w14:paraId="03E0AFC6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frente de feedback e percepção do usuário</w:t>
      </w:r>
    </w:p>
    <w:p w14:paraId="5DC4007E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rotina técnica quinzenal por unidade no início</w:t>
      </w:r>
    </w:p>
    <w:p w14:paraId="4353B924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coleta mensal de percepção em todas as unidades</w:t>
      </w:r>
    </w:p>
    <w:p w14:paraId="7DF26BF9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prioridade para ligação e pesquisa simples via WhatsApp</w:t>
      </w:r>
    </w:p>
    <w:p w14:paraId="58251DC0" w14:textId="77777777" w:rsidR="006E33D4" w:rsidRPr="00177DE4" w:rsidRDefault="00000000">
      <w:pPr>
        <w:pStyle w:val="Compact"/>
        <w:numPr>
          <w:ilvl w:val="0"/>
          <w:numId w:val="3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visitas presenciais priorizadas para casos críticos</w:t>
      </w:r>
    </w:p>
    <w:p w14:paraId="22F336F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0" w:name="Xd9a20b04bb5a9c409c690ad06bc8cb2e9fcf889"/>
      <w:bookmarkEnd w:id="59"/>
      <w:r w:rsidRPr="00177DE4">
        <w:rPr>
          <w:rFonts w:ascii="Daytona" w:hAnsi="Daytona"/>
          <w:sz w:val="24"/>
          <w:szCs w:val="24"/>
        </w:rPr>
        <w:t>9.5 Painel de realizações, evidência e rastreabilidade da operação</w:t>
      </w:r>
    </w:p>
    <w:p w14:paraId="6790E1B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3C2F5171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visitas realizadas</w:t>
      </w:r>
    </w:p>
    <w:p w14:paraId="7E54257A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data, local e unidade atendida</w:t>
      </w:r>
    </w:p>
    <w:p w14:paraId="7D2EB9D2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manutenção executada</w:t>
      </w:r>
    </w:p>
    <w:p w14:paraId="049B9AEA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entrevistas e coletas concluídas</w:t>
      </w:r>
    </w:p>
    <w:p w14:paraId="6092AC97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evidências de presença em campo</w:t>
      </w:r>
    </w:p>
    <w:p w14:paraId="75F415C9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dados coletados em cada etapa</w:t>
      </w:r>
    </w:p>
    <w:p w14:paraId="2FF4C6AB" w14:textId="77777777" w:rsidR="006E33D4" w:rsidRPr="00177DE4" w:rsidRDefault="00000000">
      <w:pPr>
        <w:pStyle w:val="Compact"/>
        <w:numPr>
          <w:ilvl w:val="0"/>
          <w:numId w:val="33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pendências, ocorrências e ações corretivas</w:t>
      </w:r>
    </w:p>
    <w:p w14:paraId="5C765155" w14:textId="671324E2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421B0118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61" w:name="Xa3aa4aa66e078b6bb477f6ff97b42aa7118676b"/>
      <w:bookmarkEnd w:id="55"/>
      <w:bookmarkEnd w:id="60"/>
      <w:r w:rsidRPr="00177DE4">
        <w:rPr>
          <w:rFonts w:ascii="Daytona" w:hAnsi="Daytona"/>
          <w:sz w:val="32"/>
          <w:szCs w:val="32"/>
        </w:rPr>
        <w:t>10. Rastreabilidade, documentação e compliance</w:t>
      </w:r>
    </w:p>
    <w:p w14:paraId="2105E00B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2" w:name="diferencial-de-software-e-compliance"/>
      <w:r w:rsidRPr="00177DE4">
        <w:rPr>
          <w:rFonts w:ascii="Daytona" w:hAnsi="Daytona"/>
          <w:sz w:val="24"/>
          <w:szCs w:val="24"/>
        </w:rPr>
        <w:t>10.1 Diferencial de software e compliance</w:t>
      </w:r>
    </w:p>
    <w:p w14:paraId="7970D62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8D51718" w14:textId="77777777" w:rsidR="006E33D4" w:rsidRPr="00177DE4" w:rsidRDefault="00000000">
      <w:pPr>
        <w:pStyle w:val="Compact"/>
        <w:numPr>
          <w:ilvl w:val="0"/>
          <w:numId w:val="3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 Sentivis deve ser apresentada também como estrutura de software, documentação e governança da informação, e não apenas como hardware em campo</w:t>
      </w:r>
    </w:p>
    <w:p w14:paraId="21E3EE14" w14:textId="77777777" w:rsidR="006E33D4" w:rsidRPr="00177DE4" w:rsidRDefault="00000000">
      <w:pPr>
        <w:pStyle w:val="Compact"/>
        <w:numPr>
          <w:ilvl w:val="0"/>
          <w:numId w:val="34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 diferencial está na organização histórica, comparável e auditável dos dados coletados</w:t>
      </w:r>
    </w:p>
    <w:p w14:paraId="40314092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3" w:name="modelos-de-documentação-e-auditoria"/>
      <w:bookmarkEnd w:id="62"/>
      <w:r w:rsidRPr="00177DE4">
        <w:rPr>
          <w:rFonts w:ascii="Daytona" w:hAnsi="Daytona"/>
          <w:sz w:val="24"/>
          <w:szCs w:val="24"/>
        </w:rPr>
        <w:t>10.2 Modelos de documentação e auditoria</w:t>
      </w:r>
    </w:p>
    <w:p w14:paraId="3C86E99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1EBB5949" w14:textId="77777777" w:rsidR="006E33D4" w:rsidRPr="00177DE4" w:rsidRDefault="00000000">
      <w:pPr>
        <w:pStyle w:val="Compact"/>
        <w:numPr>
          <w:ilvl w:val="0"/>
          <w:numId w:val="3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Estruturados para dialogar com certificação, auditoria e mercados exigentes</w:t>
      </w:r>
    </w:p>
    <w:p w14:paraId="145D17CB" w14:textId="77777777" w:rsidR="006E33D4" w:rsidRPr="00177DE4" w:rsidRDefault="00000000">
      <w:pPr>
        <w:pStyle w:val="Compact"/>
        <w:numPr>
          <w:ilvl w:val="0"/>
          <w:numId w:val="35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Voltados à evolução de histórico, comparação entre ciclos e consolidação de evidências operacionais</w:t>
      </w:r>
    </w:p>
    <w:p w14:paraId="52668B28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4" w:name="uso-em-certificações-e-mercados-premium"/>
      <w:bookmarkEnd w:id="63"/>
      <w:r w:rsidRPr="00177DE4">
        <w:rPr>
          <w:rFonts w:ascii="Daytona" w:hAnsi="Daytona"/>
          <w:sz w:val="24"/>
          <w:szCs w:val="24"/>
        </w:rPr>
        <w:lastRenderedPageBreak/>
        <w:t>10.3 Uso em certificações e mercados premium</w:t>
      </w:r>
    </w:p>
    <w:p w14:paraId="42F55127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583713EB" w14:textId="77777777" w:rsidR="006E33D4" w:rsidRPr="00177DE4" w:rsidRDefault="00000000">
      <w:pPr>
        <w:pStyle w:val="Compact"/>
        <w:numPr>
          <w:ilvl w:val="0"/>
          <w:numId w:val="3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 rastreabilidade e a documentação estruturada podem fortalecer a preparação para certificações, auditorias e mercados de maior exigência</w:t>
      </w:r>
    </w:p>
    <w:p w14:paraId="5403F48A" w14:textId="77777777" w:rsidR="006E33D4" w:rsidRPr="00177DE4" w:rsidRDefault="00000000">
      <w:pPr>
        <w:pStyle w:val="Compact"/>
        <w:numPr>
          <w:ilvl w:val="0"/>
          <w:numId w:val="36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Não afirmar conformidade formal plena sem validação específica</w:t>
      </w:r>
    </w:p>
    <w:p w14:paraId="36C927A0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5" w:name="Xe0ce1e2221734c38468bbdf655c045b0f24ac26"/>
      <w:bookmarkEnd w:id="64"/>
      <w:r w:rsidRPr="00177DE4">
        <w:rPr>
          <w:rFonts w:ascii="Daytona" w:hAnsi="Daytona"/>
          <w:sz w:val="24"/>
          <w:szCs w:val="24"/>
        </w:rPr>
        <w:t>10.4 Propriedade intelectual e proteção formal</w:t>
      </w:r>
    </w:p>
    <w:p w14:paraId="5E0208A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0F11EAB9" w14:textId="77777777" w:rsidR="006E33D4" w:rsidRPr="00177DE4" w:rsidRDefault="00000000">
      <w:pPr>
        <w:pStyle w:val="Compact"/>
        <w:numPr>
          <w:ilvl w:val="0"/>
          <w:numId w:val="3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Separar proteção de marca, software, documentação técnica e demais ativos intangíveis</w:t>
      </w:r>
    </w:p>
    <w:p w14:paraId="3D6673B4" w14:textId="77777777" w:rsidR="006E33D4" w:rsidRPr="00177DE4" w:rsidRDefault="00000000">
      <w:pPr>
        <w:pStyle w:val="Compact"/>
        <w:numPr>
          <w:ilvl w:val="0"/>
          <w:numId w:val="3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Manter comprovantes, protocolos, números de referência e dados sensíveis apenas em repositório interno confidencial</w:t>
      </w:r>
    </w:p>
    <w:p w14:paraId="1E719895" w14:textId="77777777" w:rsidR="006E33D4" w:rsidRPr="00177DE4" w:rsidRDefault="00000000">
      <w:pPr>
        <w:pStyle w:val="Compact"/>
        <w:numPr>
          <w:ilvl w:val="0"/>
          <w:numId w:val="3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Consolidar definição de classes, especificações e abrangência do pedido de marca antes de replicar esse conteúdo em material externo</w:t>
      </w:r>
    </w:p>
    <w:p w14:paraId="06F75DF4" w14:textId="77777777" w:rsidR="006E33D4" w:rsidRPr="00177DE4" w:rsidRDefault="00000000">
      <w:pPr>
        <w:pStyle w:val="Compact"/>
        <w:numPr>
          <w:ilvl w:val="0"/>
          <w:numId w:val="37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Tratar marca, software, documentação técnica e governança de provas como camadas distintas de proteção</w:t>
      </w:r>
    </w:p>
    <w:p w14:paraId="5ADC1A9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6" w:name="status-institucional-da-marca"/>
      <w:bookmarkEnd w:id="65"/>
      <w:r w:rsidRPr="00177DE4">
        <w:rPr>
          <w:rFonts w:ascii="Daytona" w:hAnsi="Daytona"/>
          <w:sz w:val="24"/>
          <w:szCs w:val="24"/>
        </w:rPr>
        <w:t>10.5 Status institucional da marca</w:t>
      </w:r>
    </w:p>
    <w:p w14:paraId="48F5724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B2E73C0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Marca: Sentivis</w:t>
      </w:r>
    </w:p>
    <w:p w14:paraId="101B51B0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Número do processo: 940625911</w:t>
      </w:r>
    </w:p>
    <w:p w14:paraId="0319849D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Protocolo: 850250460676 de 16/08/2025</w:t>
      </w:r>
    </w:p>
    <w:p w14:paraId="05012CF1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Situação: Aguardando exame de mérito</w:t>
      </w:r>
    </w:p>
    <w:p w14:paraId="1925CBFC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Apresentação: Mista</w:t>
      </w:r>
    </w:p>
    <w:p w14:paraId="5A0F3005" w14:textId="77777777" w:rsidR="006E33D4" w:rsidRPr="00177DE4" w:rsidRDefault="00000000">
      <w:pPr>
        <w:pStyle w:val="Compact"/>
        <w:numPr>
          <w:ilvl w:val="0"/>
          <w:numId w:val="38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Natureza: Produtos e/ou Serviço</w:t>
      </w:r>
    </w:p>
    <w:p w14:paraId="13B2043A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7" w:name="X8fb5584a6972644c7488eaef047d77796922f2f"/>
      <w:bookmarkEnd w:id="66"/>
      <w:r w:rsidRPr="00177DE4">
        <w:rPr>
          <w:rFonts w:ascii="Daytona" w:hAnsi="Daytona"/>
          <w:sz w:val="24"/>
          <w:szCs w:val="24"/>
        </w:rPr>
        <w:t>10.6 Aviso legal e informacional para materiais externos</w:t>
      </w:r>
    </w:p>
    <w:p w14:paraId="2F58DD1E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F279CA4" w14:textId="77777777" w:rsidR="006E33D4" w:rsidRPr="00177DE4" w:rsidRDefault="00000000">
      <w:pPr>
        <w:pStyle w:val="Compact"/>
        <w:numPr>
          <w:ilvl w:val="0"/>
          <w:numId w:val="3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Inserir aviso legal e informacional no final de apresentações, folders e materiais institucionais relevantes</w:t>
      </w:r>
    </w:p>
    <w:p w14:paraId="2DB12A21" w14:textId="77777777" w:rsidR="006E33D4" w:rsidRPr="00177DE4" w:rsidRDefault="00000000">
      <w:pPr>
        <w:pStyle w:val="Compact"/>
        <w:numPr>
          <w:ilvl w:val="0"/>
          <w:numId w:val="3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O aviso deve registrar o estágio atual de desenvolvimento da Sentivis, o caráter informativo do material e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ausência de promessa de rentabilidade, validação comercial definitiva ou desempenho garantido</w:t>
      </w:r>
    </w:p>
    <w:p w14:paraId="00A9F2DB" w14:textId="77777777" w:rsidR="006E33D4" w:rsidRPr="00177DE4" w:rsidRDefault="00000000">
      <w:pPr>
        <w:pStyle w:val="Compact"/>
        <w:numPr>
          <w:ilvl w:val="0"/>
          <w:numId w:val="3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 texto deve ser original da Sentivis, sem replicar integralmente modelos de terceiros</w:t>
      </w:r>
    </w:p>
    <w:p w14:paraId="12D67E3F" w14:textId="77777777" w:rsidR="006E33D4" w:rsidRPr="00177DE4" w:rsidRDefault="00000000">
      <w:pPr>
        <w:pStyle w:val="Compact"/>
        <w:numPr>
          <w:ilvl w:val="0"/>
          <w:numId w:val="39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lastRenderedPageBreak/>
        <w:t>O aviso pode incluir, quando pertinente, o status oficial do processo de marca no INPI</w:t>
      </w:r>
    </w:p>
    <w:p w14:paraId="49B603B0" w14:textId="647AD9F3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66B8633F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68" w:name="estrutura-de-material-externo"/>
      <w:bookmarkEnd w:id="61"/>
      <w:bookmarkEnd w:id="67"/>
      <w:r w:rsidRPr="00177DE4">
        <w:rPr>
          <w:rFonts w:ascii="Daytona" w:hAnsi="Daytona"/>
          <w:sz w:val="32"/>
          <w:szCs w:val="32"/>
        </w:rPr>
        <w:t>11. Estrutura de material externo</w:t>
      </w:r>
    </w:p>
    <w:p w14:paraId="4AC4440C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69" w:name="ordem-recomendada-do-folder-mestre"/>
      <w:r w:rsidRPr="00177DE4">
        <w:rPr>
          <w:rFonts w:ascii="Daytona" w:hAnsi="Daytona"/>
          <w:sz w:val="24"/>
          <w:szCs w:val="24"/>
        </w:rPr>
        <w:t>11.1 Ordem recomendada do folder mestre</w:t>
      </w:r>
    </w:p>
    <w:p w14:paraId="66736A3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4BF4C85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Quem é a Sentivis</w:t>
      </w:r>
    </w:p>
    <w:p w14:paraId="69E78A84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Por que acreditar nesse modelo</w:t>
      </w:r>
    </w:p>
    <w:p w14:paraId="72B9E20F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Base de validação da plataforma</w:t>
      </w:r>
    </w:p>
    <w:p w14:paraId="6022602B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Rastreabilidade, software e compliance</w:t>
      </w:r>
    </w:p>
    <w:p w14:paraId="21D0423E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Próxima fase de validação em campo</w:t>
      </w:r>
    </w:p>
    <w:p w14:paraId="4D89F839" w14:textId="77777777" w:rsidR="006E33D4" w:rsidRPr="00177DE4" w:rsidRDefault="00000000">
      <w:pPr>
        <w:pStyle w:val="Compact"/>
        <w:numPr>
          <w:ilvl w:val="0"/>
          <w:numId w:val="40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Parcerias para viabilizar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etapa</w:t>
      </w:r>
    </w:p>
    <w:p w14:paraId="41048949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0" w:name="materiais-derivados-previstos"/>
      <w:bookmarkEnd w:id="69"/>
      <w:r w:rsidRPr="00177DE4">
        <w:rPr>
          <w:rFonts w:ascii="Daytona" w:hAnsi="Daytona"/>
          <w:sz w:val="24"/>
          <w:szCs w:val="24"/>
        </w:rPr>
        <w:t>11.2 Materiais derivados previstos</w:t>
      </w:r>
    </w:p>
    <w:p w14:paraId="6613828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15840436" w14:textId="77777777" w:rsidR="006E33D4" w:rsidRPr="00177DE4" w:rsidRDefault="00000000">
      <w:pPr>
        <w:pStyle w:val="Compact"/>
        <w:numPr>
          <w:ilvl w:val="0"/>
          <w:numId w:val="4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Folder institucional</w:t>
      </w:r>
    </w:p>
    <w:p w14:paraId="04A24CCF" w14:textId="77777777" w:rsidR="006E33D4" w:rsidRPr="00177DE4" w:rsidRDefault="00000000">
      <w:pPr>
        <w:pStyle w:val="Compact"/>
        <w:numPr>
          <w:ilvl w:val="0"/>
          <w:numId w:val="4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Apresentação para investidor/parceiro</w:t>
      </w:r>
    </w:p>
    <w:p w14:paraId="616955B9" w14:textId="77777777" w:rsidR="006E33D4" w:rsidRPr="00177DE4" w:rsidRDefault="00000000">
      <w:pPr>
        <w:pStyle w:val="Compact"/>
        <w:numPr>
          <w:ilvl w:val="0"/>
          <w:numId w:val="4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One page</w:t>
      </w:r>
    </w:p>
    <w:p w14:paraId="210A80B6" w14:textId="77777777" w:rsidR="006E33D4" w:rsidRPr="00177DE4" w:rsidRDefault="00000000">
      <w:pPr>
        <w:pStyle w:val="Compact"/>
        <w:numPr>
          <w:ilvl w:val="0"/>
          <w:numId w:val="4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Documento técnico resumido</w:t>
      </w:r>
    </w:p>
    <w:p w14:paraId="2AF88C2D" w14:textId="77777777" w:rsidR="006E33D4" w:rsidRPr="00177DE4" w:rsidRDefault="00000000">
      <w:pPr>
        <w:pStyle w:val="Compact"/>
        <w:numPr>
          <w:ilvl w:val="0"/>
          <w:numId w:val="41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Dossiês temáticos</w:t>
      </w:r>
    </w:p>
    <w:p w14:paraId="1C266DD2" w14:textId="5808360A" w:rsidR="006E33D4" w:rsidRPr="00177DE4" w:rsidRDefault="006E33D4">
      <w:pPr>
        <w:rPr>
          <w:rFonts w:ascii="Daytona" w:hAnsi="Daytona"/>
          <w:sz w:val="20"/>
          <w:szCs w:val="20"/>
        </w:rPr>
      </w:pPr>
    </w:p>
    <w:p w14:paraId="094FD21B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71" w:name="pendências-de-estudo-e-estudo-futuro"/>
      <w:bookmarkEnd w:id="68"/>
      <w:bookmarkEnd w:id="70"/>
      <w:r w:rsidRPr="00177DE4">
        <w:rPr>
          <w:rFonts w:ascii="Daytona" w:hAnsi="Daytona"/>
          <w:sz w:val="32"/>
          <w:szCs w:val="32"/>
        </w:rPr>
        <w:t>12. Pendências de estudo e estudo futuro</w:t>
      </w:r>
    </w:p>
    <w:p w14:paraId="563C0DDB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2" w:name="diretriz-geral"/>
      <w:r w:rsidRPr="00177DE4">
        <w:rPr>
          <w:rFonts w:ascii="Daytona" w:hAnsi="Daytona"/>
          <w:sz w:val="24"/>
          <w:szCs w:val="24"/>
        </w:rPr>
        <w:t>Diretriz geral</w:t>
      </w:r>
    </w:p>
    <w:p w14:paraId="58EC5F4D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 xml:space="preserve">Itens ainda não fechados no documento-mestre devem permanecer explicitamente abertos, sem serem forçados para dentro do entregável atual. Quando forem relevantes, mas não indispensáveis para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apresentação principal, devem ser marcados como </w:t>
      </w:r>
      <w:r w:rsidRPr="00177DE4">
        <w:rPr>
          <w:rFonts w:ascii="Daytona" w:hAnsi="Daytona"/>
          <w:b/>
          <w:bCs/>
          <w:sz w:val="20"/>
          <w:szCs w:val="20"/>
        </w:rPr>
        <w:t>Estudo futuro</w:t>
      </w:r>
      <w:r w:rsidRPr="00177DE4">
        <w:rPr>
          <w:rFonts w:ascii="Daytona" w:hAnsi="Daytona"/>
          <w:sz w:val="20"/>
          <w:szCs w:val="20"/>
        </w:rPr>
        <w:t>.</w:t>
      </w:r>
    </w:p>
    <w:p w14:paraId="7F10F784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3" w:name="modelo-econômico-final-de-parceria"/>
      <w:bookmarkEnd w:id="72"/>
      <w:r w:rsidRPr="00177DE4">
        <w:rPr>
          <w:rFonts w:ascii="Daytona" w:hAnsi="Daytona"/>
          <w:sz w:val="24"/>
          <w:szCs w:val="24"/>
        </w:rPr>
        <w:t>12.1 Modelo econômico final de parceria</w:t>
      </w:r>
    </w:p>
    <w:p w14:paraId="48F48E65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Pendente de estudo</w:t>
      </w:r>
    </w:p>
    <w:p w14:paraId="690793E1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4" w:name="X0e643fad7cfc8533714947b2f8054a922966cdf"/>
      <w:bookmarkEnd w:id="73"/>
      <w:r w:rsidRPr="00177DE4">
        <w:rPr>
          <w:rFonts w:ascii="Daytona" w:hAnsi="Daytona"/>
          <w:sz w:val="24"/>
          <w:szCs w:val="24"/>
        </w:rPr>
        <w:lastRenderedPageBreak/>
        <w:t>12.2 Instrumento jurídico e formato de retorno ao investidor</w:t>
      </w:r>
    </w:p>
    <w:p w14:paraId="62C0FAC0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Pendente de estudo</w:t>
      </w:r>
    </w:p>
    <w:p w14:paraId="206073B0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5" w:name="métricas-formais-de-validação-do-piloto"/>
      <w:bookmarkEnd w:id="74"/>
      <w:r w:rsidRPr="00177DE4">
        <w:rPr>
          <w:rFonts w:ascii="Daytona" w:hAnsi="Daytona"/>
          <w:sz w:val="24"/>
          <w:szCs w:val="24"/>
        </w:rPr>
        <w:t>12.3 Métricas formais de validação do piloto</w:t>
      </w:r>
    </w:p>
    <w:p w14:paraId="2F42FBE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Pendente de estudo</w:t>
      </w:r>
    </w:p>
    <w:p w14:paraId="37C6CC5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6" w:name="Xf60f54c13897c1bcca38dd945d1887638120d9e"/>
      <w:bookmarkEnd w:id="75"/>
      <w:r w:rsidRPr="00177DE4">
        <w:rPr>
          <w:rFonts w:ascii="Daytona" w:hAnsi="Daytona"/>
          <w:sz w:val="24"/>
          <w:szCs w:val="24"/>
        </w:rPr>
        <w:t>12.4 Limites exatos de linguagem comercial por público</w:t>
      </w:r>
    </w:p>
    <w:p w14:paraId="609B313A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</w:p>
    <w:p w14:paraId="3CBC5A4F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7" w:name="X249e808ad0997fc3764d0ab9523bdb2996622ec"/>
      <w:bookmarkEnd w:id="76"/>
      <w:r w:rsidRPr="00177DE4">
        <w:rPr>
          <w:rFonts w:ascii="Daytona" w:hAnsi="Daytona"/>
          <w:sz w:val="24"/>
          <w:szCs w:val="24"/>
        </w:rPr>
        <w:t>12.5 Manual oficial de marca com especificação cromática fechada</w:t>
      </w:r>
    </w:p>
    <w:p w14:paraId="20E1532E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Estudo futuro</w:t>
      </w:r>
    </w:p>
    <w:p w14:paraId="7F40D450" w14:textId="4E0DF3A6" w:rsidR="006E33D4" w:rsidRDefault="006E33D4">
      <w:pPr>
        <w:rPr>
          <w:rFonts w:ascii="Daytona" w:hAnsi="Daytona"/>
          <w:sz w:val="20"/>
          <w:szCs w:val="20"/>
        </w:rPr>
      </w:pPr>
    </w:p>
    <w:p w14:paraId="76C01773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3CF7AB4F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2500C40E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13DDDBAC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76669F11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594712BE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213437ED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70FC4AE3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03E64F83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2BC571B3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2DC49D32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384DB9C1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21D64066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56F37276" w14:textId="77777777" w:rsidR="00177DE4" w:rsidRDefault="00177DE4">
      <w:pPr>
        <w:rPr>
          <w:rFonts w:ascii="Daytona" w:hAnsi="Daytona"/>
          <w:sz w:val="20"/>
          <w:szCs w:val="20"/>
        </w:rPr>
      </w:pPr>
    </w:p>
    <w:p w14:paraId="331DDC69" w14:textId="77777777" w:rsidR="00177DE4" w:rsidRPr="00177DE4" w:rsidRDefault="00177DE4">
      <w:pPr>
        <w:rPr>
          <w:rFonts w:ascii="Daytona" w:hAnsi="Daytona"/>
          <w:sz w:val="20"/>
          <w:szCs w:val="20"/>
        </w:rPr>
      </w:pPr>
    </w:p>
    <w:p w14:paraId="751E01A3" w14:textId="77777777" w:rsidR="006E33D4" w:rsidRPr="00177DE4" w:rsidRDefault="00000000">
      <w:pPr>
        <w:pStyle w:val="Ttulo1"/>
        <w:rPr>
          <w:rFonts w:ascii="Daytona" w:hAnsi="Daytona"/>
          <w:sz w:val="32"/>
          <w:szCs w:val="32"/>
        </w:rPr>
      </w:pPr>
      <w:bookmarkStart w:id="78" w:name="registro-de-decisões"/>
      <w:bookmarkEnd w:id="71"/>
      <w:bookmarkEnd w:id="77"/>
      <w:r w:rsidRPr="00177DE4">
        <w:rPr>
          <w:rFonts w:ascii="Daytona" w:hAnsi="Daytona"/>
          <w:sz w:val="32"/>
          <w:szCs w:val="32"/>
        </w:rPr>
        <w:lastRenderedPageBreak/>
        <w:t>13. Registro de decisões</w:t>
      </w:r>
    </w:p>
    <w:p w14:paraId="1B31BEBB" w14:textId="77777777" w:rsidR="006E33D4" w:rsidRPr="00177DE4" w:rsidRDefault="00000000">
      <w:pPr>
        <w:pStyle w:val="Ttulo2"/>
        <w:rPr>
          <w:rFonts w:ascii="Daytona" w:hAnsi="Daytona"/>
          <w:sz w:val="24"/>
          <w:szCs w:val="24"/>
        </w:rPr>
      </w:pPr>
      <w:bookmarkStart w:id="79" w:name="formato-padrão"/>
      <w:r w:rsidRPr="00177DE4">
        <w:rPr>
          <w:rFonts w:ascii="Daytona" w:hAnsi="Daytona"/>
          <w:sz w:val="24"/>
          <w:szCs w:val="24"/>
        </w:rPr>
        <w:t>Formato padrão</w:t>
      </w:r>
    </w:p>
    <w:p w14:paraId="5E6ED0CB" w14:textId="77777777" w:rsidR="006E33D4" w:rsidRPr="00177DE4" w:rsidRDefault="00000000">
      <w:pPr>
        <w:pStyle w:val="Compact"/>
        <w:numPr>
          <w:ilvl w:val="0"/>
          <w:numId w:val="4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Assunto tratado</w:t>
      </w:r>
    </w:p>
    <w:p w14:paraId="5C4CD2D0" w14:textId="77777777" w:rsidR="006E33D4" w:rsidRPr="00177DE4" w:rsidRDefault="00000000">
      <w:pPr>
        <w:pStyle w:val="Compact"/>
        <w:numPr>
          <w:ilvl w:val="0"/>
          <w:numId w:val="4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Decisão tomada</w:t>
      </w:r>
    </w:p>
    <w:p w14:paraId="0A4051F4" w14:textId="77777777" w:rsidR="006E33D4" w:rsidRPr="00177DE4" w:rsidRDefault="00000000">
      <w:pPr>
        <w:pStyle w:val="Compact"/>
        <w:numPr>
          <w:ilvl w:val="0"/>
          <w:numId w:val="4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Descrição breve</w:t>
      </w:r>
    </w:p>
    <w:p w14:paraId="6094AFB1" w14:textId="77777777" w:rsidR="006E33D4" w:rsidRPr="00177DE4" w:rsidRDefault="00000000">
      <w:pPr>
        <w:pStyle w:val="Compact"/>
        <w:numPr>
          <w:ilvl w:val="0"/>
          <w:numId w:val="42"/>
        </w:numPr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sz w:val="20"/>
          <w:szCs w:val="20"/>
        </w:rPr>
        <w:t>Status</w:t>
      </w:r>
    </w:p>
    <w:p w14:paraId="43250007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0" w:name="registro-inicial"/>
      <w:r w:rsidRPr="00177DE4">
        <w:rPr>
          <w:rFonts w:ascii="Daytona" w:hAnsi="Daytona"/>
          <w:sz w:val="22"/>
          <w:szCs w:val="22"/>
        </w:rPr>
        <w:t>Registro inicial</w:t>
      </w:r>
    </w:p>
    <w:p w14:paraId="7D7EE78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Documento mestre do projeto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documento mestre será tratado aqui e servirá como fonte principal para derivação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partir desta base serão criadas lousas temáticas, materiais derivados e exportações futuras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8842D56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1" w:name="registro-2"/>
      <w:bookmarkEnd w:id="80"/>
      <w:r w:rsidRPr="00177DE4">
        <w:rPr>
          <w:rFonts w:ascii="Daytona" w:hAnsi="Daytona"/>
          <w:sz w:val="22"/>
          <w:szCs w:val="22"/>
        </w:rPr>
        <w:t>Registro 2</w:t>
      </w:r>
    </w:p>
    <w:p w14:paraId="51CBFE4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Verdade central da Sentivis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Sentivis será posicionada como agtech de inteligência de campo e organização de dados, com foco inicial em cafés especiais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proposta central de valor foi consolidada sem promessas indevidas de ROI, qualidade garantida, validação em escala ou suporte agronômico especializado contínuo no estágio atual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19E5DE6E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2" w:name="registro-3"/>
      <w:bookmarkEnd w:id="81"/>
      <w:r w:rsidRPr="00177DE4">
        <w:rPr>
          <w:rFonts w:ascii="Daytona" w:hAnsi="Daytona"/>
          <w:sz w:val="22"/>
          <w:szCs w:val="22"/>
        </w:rPr>
        <w:t>Registro 3</w:t>
      </w:r>
    </w:p>
    <w:p w14:paraId="2292DB2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Propriedade intelectual e aviso legal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documento mestre separa proteção de marca, software, documentação técnica e governança de provas, incluindo o status oficial do processo de marca e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exigência de aviso legal próprio da Sentivis em materiais externos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Os materiais institucionais podem trazer aviso legal e informacional original da Sentivis, com linguagem sóbria e registro do estágio atual da solução e da marca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6ED7187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3" w:name="registro-4"/>
      <w:bookmarkEnd w:id="82"/>
      <w:r w:rsidRPr="00177DE4">
        <w:rPr>
          <w:rFonts w:ascii="Daytona" w:hAnsi="Daytona"/>
          <w:sz w:val="22"/>
          <w:szCs w:val="22"/>
        </w:rPr>
        <w:t>Registro 4</w:t>
      </w:r>
    </w:p>
    <w:p w14:paraId="0E29418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Recorte inicial do cafeicultor-alvo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público principal inicial será o cafeicultor já ativo, responsável pelo manejo e aberto a tecnologia útil, com base regional inicial em Mococa, Casa Branca, Tambaú, Canastra e Caconde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 recorte validado privilegia produtores reais, já engajados com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operação e predispostos a participar da fase piloto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FC2B645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4" w:name="registro-5"/>
      <w:bookmarkEnd w:id="83"/>
      <w:r w:rsidRPr="00177DE4">
        <w:rPr>
          <w:rFonts w:ascii="Daytona" w:hAnsi="Daytona"/>
          <w:sz w:val="22"/>
          <w:szCs w:val="22"/>
        </w:rPr>
        <w:t>Registro 5</w:t>
      </w:r>
    </w:p>
    <w:p w14:paraId="4BD76F0D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Dor principal </w:t>
      </w:r>
      <w:proofErr w:type="gramStart"/>
      <w:r w:rsidRPr="00177DE4">
        <w:rPr>
          <w:rFonts w:ascii="Daytona" w:hAnsi="Daytona"/>
          <w:sz w:val="20"/>
          <w:szCs w:val="20"/>
        </w:rPr>
        <w:t>do</w:t>
      </w:r>
      <w:proofErr w:type="gramEnd"/>
      <w:r w:rsidRPr="00177DE4">
        <w:rPr>
          <w:rFonts w:ascii="Daytona" w:hAnsi="Daytona"/>
          <w:sz w:val="20"/>
          <w:szCs w:val="20"/>
        </w:rPr>
        <w:t xml:space="preserve"> cafeicultor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dor principal foi definida como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incerteza entre clima, manejo, qualidade, custo, mercado e decisão no momento certo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Sentivis deve ser apresentada para esse público como solução </w:t>
      </w:r>
      <w:r w:rsidRPr="00177DE4">
        <w:rPr>
          <w:rFonts w:ascii="Daytona" w:hAnsi="Daytona"/>
          <w:sz w:val="20"/>
          <w:szCs w:val="20"/>
        </w:rPr>
        <w:lastRenderedPageBreak/>
        <w:t xml:space="preserve">que reduz incerteza operacional e econômica por meio de dados organizados, históricos, comparáveis e utilizáveis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2CC147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5" w:name="registro-6"/>
      <w:bookmarkEnd w:id="84"/>
      <w:r w:rsidRPr="00177DE4">
        <w:rPr>
          <w:rFonts w:ascii="Daytona" w:hAnsi="Daytona"/>
          <w:sz w:val="22"/>
          <w:szCs w:val="22"/>
        </w:rPr>
        <w:t>Registro 6</w:t>
      </w:r>
    </w:p>
    <w:p w14:paraId="0A3A3C2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Primeiro valor percebido pelo cafeicultor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primeiro valor percebido será comunicado como apoio à decisão baseada em evidência, sem sugerir substituição da experiência do produtor nem promessas de controle total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formulação adotada reforça que a Sentivis aprimora a leitura que o produtor já tem da fazenda e entrega informação correta para decisão na hora certa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77216D1D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6" w:name="registro-7"/>
      <w:bookmarkEnd w:id="85"/>
      <w:r w:rsidRPr="00177DE4">
        <w:rPr>
          <w:rFonts w:ascii="Daytona" w:hAnsi="Daytona"/>
          <w:sz w:val="22"/>
          <w:szCs w:val="22"/>
        </w:rPr>
        <w:t>Registro 7</w:t>
      </w:r>
    </w:p>
    <w:p w14:paraId="5863FB67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Objeção inicial do cafeicultor e resposta estratégica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comunicação deve reconhecer a desconfiança legítima do produtor e responder com sobriedade, utilidade prática e apoio à decisão com base em evidências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Sentivis não deve se defender com promessas, mas se apresentar como plataforma que organiza a realidade da fazenda em informação utilizável sem substituir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experiência do produtor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EB080A7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7" w:name="registro-8"/>
      <w:bookmarkEnd w:id="86"/>
      <w:r w:rsidRPr="00177DE4">
        <w:rPr>
          <w:rFonts w:ascii="Daytona" w:hAnsi="Daytona"/>
          <w:sz w:val="22"/>
          <w:szCs w:val="22"/>
        </w:rPr>
        <w:t>Registro 8</w:t>
      </w:r>
    </w:p>
    <w:p w14:paraId="24443F2A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Gatilhos de confiança do cafeicultor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ordem de confiança do cafeicultor será cooperativa, produtor vizinho e demonstração prática em campo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 cafeicultor não entra primeiro pelo dado organizado, mas pela validação social e prática do seu próprio ecossistema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9380672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8" w:name="registro-9"/>
      <w:bookmarkEnd w:id="87"/>
      <w:r w:rsidRPr="00177DE4">
        <w:rPr>
          <w:rFonts w:ascii="Daytona" w:hAnsi="Daytona"/>
          <w:sz w:val="22"/>
          <w:szCs w:val="22"/>
        </w:rPr>
        <w:t>Registro 9</w:t>
      </w:r>
    </w:p>
    <w:p w14:paraId="255C3B9A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Linguagem aceita e rejeitada pelo cafeicultor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comunicação com o cafeicultor deve ser simples, prática, respeitosa e demonstrável, evitando promessa exagerada, tecnicismo e arrogância tecnológica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simplicidade de linguagem e de interação é parte central do valor percebido pelo produtor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E6743E8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89" w:name="registro-10"/>
      <w:bookmarkEnd w:id="88"/>
      <w:r w:rsidRPr="00177DE4">
        <w:rPr>
          <w:rFonts w:ascii="Daytona" w:hAnsi="Daytona"/>
          <w:sz w:val="22"/>
          <w:szCs w:val="22"/>
        </w:rPr>
        <w:t>Registro 10</w:t>
      </w:r>
    </w:p>
    <w:p w14:paraId="3AA507A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Leitura estratégica da cooperativa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cooperativa deve ser abordada como agente de qualificação coletiva, rastreabilidade e preparação comercial dos cooperados, e não como mera adotante de inovação tecnológica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principal razão para uma cooperativa apoiar a Sentivis é a possibilidade de elevar padrão, documentação e inteligência coletiva da produção, respeitando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autonomia do produtor e os limites de uso dos dados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82277FD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0" w:name="registro-11"/>
      <w:bookmarkEnd w:id="89"/>
      <w:r w:rsidRPr="00177DE4">
        <w:rPr>
          <w:rFonts w:ascii="Daytona" w:hAnsi="Daytona"/>
          <w:sz w:val="22"/>
          <w:szCs w:val="22"/>
        </w:rPr>
        <w:lastRenderedPageBreak/>
        <w:t>Registro 11</w:t>
      </w:r>
    </w:p>
    <w:p w14:paraId="0D62103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Modelo operacional e coleta de feedback </w:t>
      </w:r>
      <w:proofErr w:type="gramStart"/>
      <w:r w:rsidRPr="00177DE4">
        <w:rPr>
          <w:rFonts w:ascii="Daytona" w:hAnsi="Daytona"/>
          <w:sz w:val="20"/>
          <w:szCs w:val="20"/>
        </w:rPr>
        <w:t>do</w:t>
      </w:r>
      <w:proofErr w:type="gramEnd"/>
      <w:r w:rsidRPr="00177DE4">
        <w:rPr>
          <w:rFonts w:ascii="Daytona" w:hAnsi="Daytona"/>
          <w:sz w:val="20"/>
          <w:szCs w:val="20"/>
        </w:rPr>
        <w:t xml:space="preserve"> piloto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piloto será operado em duas frentes separadas: operação técnica quinzenal por unidade e coleta mensal de percepção por uma segunda pessoa, com prioridade para ligação e pesquisa simples via WhatsApp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validação da Sentivis depende tanto do estado técnico da operação quanto da percepção real do fazendeiro, com visitas presenciais priorizadas para casos críticos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6149F4B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1" w:name="registro-12"/>
      <w:bookmarkEnd w:id="90"/>
      <w:r w:rsidRPr="00177DE4">
        <w:rPr>
          <w:rFonts w:ascii="Daytona" w:hAnsi="Daytona"/>
          <w:sz w:val="22"/>
          <w:szCs w:val="22"/>
        </w:rPr>
        <w:t>Registro 12</w:t>
      </w:r>
    </w:p>
    <w:p w14:paraId="602FB22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Painel de evidência e rastreabilidade do piloto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piloto terá um painel de realizações e evidências para acompanhamento por parceiros autorizados, validado pelos próprios registros operacionais da Sentivis e pelos mecanismos de identificação em campo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Visitas, entrevistas, manutenções, coletas e ocorrências devem gerar trilha rastreável de execução, servindo também como base futura para observabilidade fase a fase do café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0D2349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2" w:name="registro-13"/>
      <w:bookmarkEnd w:id="91"/>
      <w:r w:rsidRPr="00177DE4">
        <w:rPr>
          <w:rFonts w:ascii="Daytona" w:hAnsi="Daytona"/>
          <w:sz w:val="22"/>
          <w:szCs w:val="22"/>
        </w:rPr>
        <w:t>Registro 13</w:t>
      </w:r>
    </w:p>
    <w:p w14:paraId="3B388E6D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Sinais de maturidade para investidores e parceiros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ordem principal de leitura será operação disciplinada, rastreabilidade da execução, proximidade real com o usuário e tecnologia validável em campo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Investidores e parceiros devem enxergar primeiro método, controle e evidência, antes da camada tecnológica propriamente dita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3BCB1F6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3" w:name="registro-14"/>
      <w:bookmarkEnd w:id="92"/>
      <w:r w:rsidRPr="00177DE4">
        <w:rPr>
          <w:rFonts w:ascii="Daytona" w:hAnsi="Daytona"/>
          <w:sz w:val="22"/>
          <w:szCs w:val="22"/>
        </w:rPr>
        <w:t>Registro 14</w:t>
      </w:r>
    </w:p>
    <w:p w14:paraId="7903CCF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Prioridade de investidor direto e limite de discurso futuro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 público prioritário desta fase será o investidor direto, e os desdobramentos futuros para outros agentes da cadeia devem ser tratados apenas como potencial condicionado à validação do primeiro ano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Sentivis deve priorizar discurso de validação séria e prova operacional, evitando apresentar expansão futura como fato consolidado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21DBB63E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4" w:name="registro-15"/>
      <w:bookmarkEnd w:id="93"/>
      <w:r w:rsidRPr="00177DE4">
        <w:rPr>
          <w:rFonts w:ascii="Daytona" w:hAnsi="Daytona"/>
          <w:sz w:val="22"/>
          <w:szCs w:val="22"/>
        </w:rPr>
        <w:t>Registro 15</w:t>
      </w:r>
    </w:p>
    <w:p w14:paraId="04EB222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Promessa permitida e proibida para o cafeicultor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promessa permitida será apoio à decisão com mais evidência e melhor leitura da fazenda; a promessa proibida inclui produtividade garantida, ganho financeiro assegurado, qualidade premium garantida e controle total do talhão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comunicação para o cafeicultor deve permanecer no território de clareza, apoio e evidência, sem promessas de resultado fechado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B89B311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5" w:name="registro-16"/>
      <w:bookmarkEnd w:id="94"/>
      <w:r w:rsidRPr="00177DE4">
        <w:rPr>
          <w:rFonts w:ascii="Daytona" w:hAnsi="Daytona"/>
          <w:sz w:val="22"/>
          <w:szCs w:val="22"/>
        </w:rPr>
        <w:lastRenderedPageBreak/>
        <w:t>Registro 16</w:t>
      </w:r>
    </w:p>
    <w:p w14:paraId="7CA773E8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Promessa permitida e proibida para cooperativas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promessa permitida será apoio à qualificação coletiva, rastreabilidade, documentação e preparação dos cooperados; a promessa proibida inclui padronização garantida, acesso irrestrito a dados individuais, decisão financeira plena desde o início e certificação automática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comunicação para cooperativas deve permanecer no território de fortalecimento da base produtiva e organização coletiva, sem promessas de controle total ou resultado automático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3F16783A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6" w:name="registro-17"/>
      <w:bookmarkEnd w:id="95"/>
      <w:r w:rsidRPr="00177DE4">
        <w:rPr>
          <w:rFonts w:ascii="Daytona" w:hAnsi="Daytona"/>
          <w:sz w:val="22"/>
          <w:szCs w:val="22"/>
        </w:rPr>
        <w:t>Registro 17</w:t>
      </w:r>
    </w:p>
    <w:p w14:paraId="5C0F271B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Promessa permitida e proibida para investidor direto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promessa permitida será validação séria, rastreável e acompanhada, com potencial de evolução comercial após o primeiro ciclo; a promessa proibida inclui retorno garantido, escala comprovada, expansão futura como fato e rentabilidade assegurada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comunicação para investidor direto deve permanecer no território de método, evidência e potencial condicionado à validação, sem antecipar maturidade comercial não comprovada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4C5C0F13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7" w:name="registro-18"/>
      <w:bookmarkEnd w:id="96"/>
      <w:r w:rsidRPr="00177DE4">
        <w:rPr>
          <w:rFonts w:ascii="Daytona" w:hAnsi="Daytona"/>
          <w:sz w:val="22"/>
          <w:szCs w:val="22"/>
        </w:rPr>
        <w:t>Registro 18</w:t>
      </w:r>
    </w:p>
    <w:p w14:paraId="02BB24B2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Material ideal por público na fase atual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Cada público terá formato de material aderente ao seu modo de decisão, privilegiando demonstração prática para cafeicultor, apresentação institucional para cooperativas, deck de validação para investidor e resumo técnico aplicado para parceiros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 formato da peça também comunica maturidade e deve respeitar a leitura específica de cada público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07B7D81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8" w:name="registro-19"/>
      <w:bookmarkEnd w:id="97"/>
      <w:r w:rsidRPr="00177DE4">
        <w:rPr>
          <w:rFonts w:ascii="Daytona" w:hAnsi="Daytona"/>
          <w:sz w:val="22"/>
          <w:szCs w:val="22"/>
        </w:rPr>
        <w:t>Registro 19</w:t>
      </w:r>
    </w:p>
    <w:p w14:paraId="7C8AAA95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Narrativa central e branding da Sentivis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marca será construída sob a escola Mauro Salles, com tom sóbrio e útil, headline principal “Cuidar é estar presente — no campo e na decisão”, subheadline focada em monitoramento, rastreabilidade e leitura da fazenda, e argumento de credibilidade baseado em medição, registro, comparação e apoio à decisão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Ficou definido também um caminho alternativo mais institucional para decks e materiais objetivos, preservando a coerência entre branding e validação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EBF1C7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99" w:name="registro-20"/>
      <w:bookmarkEnd w:id="98"/>
      <w:r w:rsidRPr="00177DE4">
        <w:rPr>
          <w:rFonts w:ascii="Daytona" w:hAnsi="Daytona"/>
          <w:sz w:val="22"/>
          <w:szCs w:val="22"/>
        </w:rPr>
        <w:t>Registro 20</w:t>
      </w:r>
    </w:p>
    <w:p w14:paraId="34B4420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Vocabulário e credibilidade secundária da marca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Sentivis adotará vocabulário centrado em presença, campo, decisão, evidência e clareza, evitando linguagem de disrupção, garantia e controle absoluto; a credibilidade secundária </w:t>
      </w:r>
      <w:r w:rsidRPr="00177DE4">
        <w:rPr>
          <w:rFonts w:ascii="Daytona" w:hAnsi="Daytona"/>
          <w:sz w:val="20"/>
          <w:szCs w:val="20"/>
        </w:rPr>
        <w:lastRenderedPageBreak/>
        <w:t xml:space="preserve">será sustentada por método, presença em campo e evidência rastreável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A força da marca virá da combinação entre respeito ao produtor, método operacional e linguagem sóbria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0255A19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100" w:name="registro-21"/>
      <w:bookmarkEnd w:id="99"/>
      <w:r w:rsidRPr="00177DE4">
        <w:rPr>
          <w:rFonts w:ascii="Daytona" w:hAnsi="Daytona"/>
          <w:sz w:val="22"/>
          <w:szCs w:val="22"/>
        </w:rPr>
        <w:t>Registro 21</w:t>
      </w:r>
    </w:p>
    <w:p w14:paraId="2A250DA6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Territórios de mensagem da marca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A Sentivis falará prioritariamente de presença no campo, apoio à decisão, rastreabilidade, evidência, método e leitura organizada da fazenda, mantendo limites claros para não transformar potencial em promessa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 discurso da marca deve permanecer no território de utilidade, validação e clareza, sem prometer resultado garantido, acurácia absoluta ou certificação automática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6A897372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101" w:name="registro-22"/>
      <w:bookmarkEnd w:id="100"/>
      <w:r w:rsidRPr="00177DE4">
        <w:rPr>
          <w:rFonts w:ascii="Daytona" w:hAnsi="Daytona"/>
          <w:sz w:val="22"/>
          <w:szCs w:val="22"/>
        </w:rPr>
        <w:t>Registro 22</w:t>
      </w:r>
    </w:p>
    <w:p w14:paraId="361EBA9A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Itens abertos e estudo futuro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Os pontos ainda não fechados no documento-mestre devem permanecer abertos e, quando não forem essenciais ao entregável atual, devem ser marcados como estudo futuro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O documento não deve forçar conclusões prematuras; lacunas reconhecidas seguirão documentadas para aprofundamento posterior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Definido</w:t>
      </w:r>
    </w:p>
    <w:p w14:paraId="53E965C9" w14:textId="77777777" w:rsidR="006E33D4" w:rsidRPr="00177DE4" w:rsidRDefault="00000000">
      <w:pPr>
        <w:pStyle w:val="Ttulo3"/>
        <w:rPr>
          <w:rFonts w:ascii="Daytona" w:hAnsi="Daytona"/>
          <w:sz w:val="22"/>
          <w:szCs w:val="22"/>
        </w:rPr>
      </w:pPr>
      <w:bookmarkStart w:id="102" w:name="registro-23"/>
      <w:bookmarkEnd w:id="101"/>
      <w:r w:rsidRPr="00177DE4">
        <w:rPr>
          <w:rFonts w:ascii="Daytona" w:hAnsi="Daytona"/>
          <w:sz w:val="22"/>
          <w:szCs w:val="22"/>
        </w:rPr>
        <w:t>Registro 23</w:t>
      </w:r>
    </w:p>
    <w:p w14:paraId="3BF2A091" w14:textId="77777777" w:rsidR="006E33D4" w:rsidRPr="00177DE4" w:rsidRDefault="00000000">
      <w:pPr>
        <w:pStyle w:val="FirstParagraph"/>
        <w:rPr>
          <w:rFonts w:ascii="Daytona" w:hAnsi="Daytona"/>
          <w:sz w:val="20"/>
          <w:szCs w:val="20"/>
        </w:rPr>
      </w:pPr>
      <w:r w:rsidRPr="00177DE4">
        <w:rPr>
          <w:rFonts w:ascii="Daytona" w:hAnsi="Daytona"/>
          <w:b/>
          <w:bCs/>
          <w:sz w:val="20"/>
          <w:szCs w:val="20"/>
        </w:rPr>
        <w:t>Assunto tratado:</w:t>
      </w:r>
      <w:r w:rsidRPr="00177DE4">
        <w:rPr>
          <w:rFonts w:ascii="Daytona" w:hAnsi="Daytona"/>
          <w:sz w:val="20"/>
          <w:szCs w:val="20"/>
        </w:rPr>
        <w:t xml:space="preserve"> Paleta de referência da marca </w:t>
      </w:r>
      <w:r w:rsidRPr="00177DE4">
        <w:rPr>
          <w:rFonts w:ascii="Daytona" w:hAnsi="Daytona"/>
          <w:b/>
          <w:bCs/>
          <w:sz w:val="20"/>
          <w:szCs w:val="20"/>
        </w:rPr>
        <w:t>Decisão tomada:</w:t>
      </w:r>
      <w:r w:rsidRPr="00177DE4">
        <w:rPr>
          <w:rFonts w:ascii="Daytona" w:hAnsi="Daytona"/>
          <w:sz w:val="20"/>
          <w:szCs w:val="20"/>
        </w:rPr>
        <w:t xml:space="preserve">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identidade visual da Sentivis passa a trabalhar, como referência técnica atual, com Verde Sentivis, Preto Institucional e Branco Base, sem azul e sem marrom na paleta da logomarca </w:t>
      </w:r>
      <w:r w:rsidRPr="00177DE4">
        <w:rPr>
          <w:rFonts w:ascii="Daytona" w:hAnsi="Daytona"/>
          <w:b/>
          <w:bCs/>
          <w:sz w:val="20"/>
          <w:szCs w:val="20"/>
        </w:rPr>
        <w:t>Descrição breve:</w:t>
      </w:r>
      <w:r w:rsidRPr="00177DE4">
        <w:rPr>
          <w:rFonts w:ascii="Daytona" w:hAnsi="Daytona"/>
          <w:sz w:val="20"/>
          <w:szCs w:val="20"/>
        </w:rPr>
        <w:t xml:space="preserve">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estrutura cromática foi consolidada como orientação visual coerente com a logomarca validada, mantendo </w:t>
      </w:r>
      <w:proofErr w:type="gramStart"/>
      <w:r w:rsidRPr="00177DE4">
        <w:rPr>
          <w:rFonts w:ascii="Daytona" w:hAnsi="Daytona"/>
          <w:sz w:val="20"/>
          <w:szCs w:val="20"/>
        </w:rPr>
        <w:t>a</w:t>
      </w:r>
      <w:proofErr w:type="gramEnd"/>
      <w:r w:rsidRPr="00177DE4">
        <w:rPr>
          <w:rFonts w:ascii="Daytona" w:hAnsi="Daytona"/>
          <w:sz w:val="20"/>
          <w:szCs w:val="20"/>
        </w:rPr>
        <w:t xml:space="preserve"> observação de que um manual oficial fechado permanece como estudo futuro </w:t>
      </w:r>
      <w:r w:rsidRPr="00177DE4">
        <w:rPr>
          <w:rFonts w:ascii="Daytona" w:hAnsi="Daytona"/>
          <w:b/>
          <w:bCs/>
          <w:sz w:val="20"/>
          <w:szCs w:val="20"/>
        </w:rPr>
        <w:t>Status:</w:t>
      </w:r>
      <w:r w:rsidRPr="00177DE4">
        <w:rPr>
          <w:rFonts w:ascii="Daytona" w:hAnsi="Daytona"/>
          <w:sz w:val="20"/>
          <w:szCs w:val="20"/>
        </w:rPr>
        <w:t xml:space="preserve"> Em validação</w:t>
      </w:r>
      <w:bookmarkEnd w:id="78"/>
      <w:bookmarkEnd w:id="79"/>
      <w:bookmarkEnd w:id="102"/>
    </w:p>
    <w:sectPr w:rsidR="006E33D4" w:rsidRPr="00177D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25D5" w14:textId="77777777" w:rsidR="00041E31" w:rsidRDefault="00041E31" w:rsidP="00AE7C7A">
      <w:pPr>
        <w:spacing w:after="0" w:line="240" w:lineRule="auto"/>
      </w:pPr>
      <w:r>
        <w:separator/>
      </w:r>
    </w:p>
  </w:endnote>
  <w:endnote w:type="continuationSeparator" w:id="0">
    <w:p w14:paraId="358494D9" w14:textId="77777777" w:rsidR="00041E31" w:rsidRDefault="00041E31" w:rsidP="00AE7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0FEF" w14:textId="77777777" w:rsidR="00AE7C7A" w:rsidRDefault="00AE7C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C5E34" w14:textId="7972FB26" w:rsidR="00AE7C7A" w:rsidRDefault="00AE7C7A">
    <w:pPr>
      <w:pStyle w:val="Rodap"/>
    </w:pPr>
    <w:proofErr w:type="spellStart"/>
    <w:r w:rsidRPr="00AE7C7A">
      <w:rPr>
        <w:b/>
        <w:bCs/>
      </w:rPr>
      <w:t>Documento</w:t>
    </w:r>
    <w:proofErr w:type="spellEnd"/>
    <w:r w:rsidRPr="00AE7C7A">
      <w:rPr>
        <w:b/>
        <w:bCs/>
      </w:rPr>
      <w:t xml:space="preserve"> </w:t>
    </w:r>
    <w:proofErr w:type="spellStart"/>
    <w:r w:rsidRPr="00AE7C7A">
      <w:rPr>
        <w:b/>
        <w:bCs/>
      </w:rPr>
      <w:t>Restrito</w:t>
    </w:r>
    <w:proofErr w:type="spellEnd"/>
    <w:r w:rsidR="00202E8E">
      <w:rPr>
        <w:b/>
        <w:bCs/>
      </w:rPr>
      <w:t xml:space="preserve"> </w:t>
    </w:r>
    <w:proofErr w:type="spellStart"/>
    <w:r w:rsidR="00202E8E">
      <w:rPr>
        <w:b/>
        <w:bCs/>
      </w:rPr>
      <w:t>Exclusivo</w:t>
    </w:r>
    <w:proofErr w:type="spellEnd"/>
    <w:r w:rsidRPr="00AE7C7A">
      <w:rPr>
        <w:b/>
        <w:bCs/>
      </w:rPr>
      <w:ptab w:relativeTo="margin" w:alignment="center" w:leader="none"/>
    </w:r>
    <w:r w:rsidRPr="00AE7C7A">
      <w:rPr>
        <w:b/>
        <w:bCs/>
      </w:rPr>
      <w:fldChar w:fldCharType="begin"/>
    </w:r>
    <w:r w:rsidRPr="00AE7C7A">
      <w:rPr>
        <w:b/>
        <w:bCs/>
      </w:rPr>
      <w:instrText>PAGE   \* MERGEFORMAT</w:instrText>
    </w:r>
    <w:r w:rsidRPr="00AE7C7A">
      <w:rPr>
        <w:b/>
        <w:bCs/>
      </w:rPr>
      <w:fldChar w:fldCharType="separate"/>
    </w:r>
    <w:r w:rsidRPr="00AE7C7A">
      <w:rPr>
        <w:b/>
        <w:bCs/>
        <w:lang w:val="pt-BR"/>
      </w:rPr>
      <w:t>1</w:t>
    </w:r>
    <w:r w:rsidRPr="00AE7C7A">
      <w:rPr>
        <w:b/>
        <w:bCs/>
      </w:rPr>
      <w:fldChar w:fldCharType="end"/>
    </w:r>
    <w:r>
      <w:ptab w:relativeTo="margin" w:alignment="right" w:leader="none"/>
    </w:r>
    <w:proofErr w:type="spellStart"/>
    <w:r>
      <w:rPr>
        <w:b/>
        <w:bCs/>
      </w:rPr>
      <w:t>Sentivis</w:t>
    </w:r>
    <w:proofErr w:type="spellEnd"/>
    <w:r w:rsidRPr="00AE7C7A">
      <w:rPr>
        <w:b/>
        <w:bCs/>
        <w:sz w:val="36"/>
        <w:szCs w:val="36"/>
      </w:rPr>
      <w:t>®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28CE" w14:textId="77777777" w:rsidR="00AE7C7A" w:rsidRDefault="00AE7C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2D031" w14:textId="77777777" w:rsidR="00041E31" w:rsidRDefault="00041E31" w:rsidP="00AE7C7A">
      <w:pPr>
        <w:spacing w:after="0" w:line="240" w:lineRule="auto"/>
      </w:pPr>
      <w:r>
        <w:separator/>
      </w:r>
    </w:p>
  </w:footnote>
  <w:footnote w:type="continuationSeparator" w:id="0">
    <w:p w14:paraId="5358FAB2" w14:textId="77777777" w:rsidR="00041E31" w:rsidRDefault="00041E31" w:rsidP="00AE7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22AA" w14:textId="77777777" w:rsidR="00AE7C7A" w:rsidRDefault="00AE7C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F07F" w14:textId="77777777" w:rsidR="00AE7C7A" w:rsidRDefault="00AE7C7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04E4C" w14:textId="77777777" w:rsidR="00AE7C7A" w:rsidRDefault="00AE7C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40D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A888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F8D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1482382">
    <w:abstractNumId w:val="0"/>
  </w:num>
  <w:num w:numId="2" w16cid:durableId="1917932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8987">
    <w:abstractNumId w:val="1"/>
  </w:num>
  <w:num w:numId="4" w16cid:durableId="2083017047">
    <w:abstractNumId w:val="1"/>
  </w:num>
  <w:num w:numId="5" w16cid:durableId="1519003835">
    <w:abstractNumId w:val="1"/>
  </w:num>
  <w:num w:numId="6" w16cid:durableId="313068048">
    <w:abstractNumId w:val="1"/>
  </w:num>
  <w:num w:numId="7" w16cid:durableId="1919438338">
    <w:abstractNumId w:val="1"/>
  </w:num>
  <w:num w:numId="8" w16cid:durableId="2090229375">
    <w:abstractNumId w:val="1"/>
  </w:num>
  <w:num w:numId="9" w16cid:durableId="1660695076">
    <w:abstractNumId w:val="1"/>
  </w:num>
  <w:num w:numId="10" w16cid:durableId="1205823558">
    <w:abstractNumId w:val="1"/>
  </w:num>
  <w:num w:numId="11" w16cid:durableId="1383944278">
    <w:abstractNumId w:val="1"/>
  </w:num>
  <w:num w:numId="12" w16cid:durableId="732511142">
    <w:abstractNumId w:val="1"/>
  </w:num>
  <w:num w:numId="13" w16cid:durableId="1939216211">
    <w:abstractNumId w:val="1"/>
  </w:num>
  <w:num w:numId="14" w16cid:durableId="2066827664">
    <w:abstractNumId w:val="1"/>
  </w:num>
  <w:num w:numId="15" w16cid:durableId="2096397534">
    <w:abstractNumId w:val="1"/>
  </w:num>
  <w:num w:numId="16" w16cid:durableId="2046826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2978194">
    <w:abstractNumId w:val="1"/>
  </w:num>
  <w:num w:numId="18" w16cid:durableId="513540753">
    <w:abstractNumId w:val="1"/>
  </w:num>
  <w:num w:numId="19" w16cid:durableId="239145402">
    <w:abstractNumId w:val="1"/>
  </w:num>
  <w:num w:numId="20" w16cid:durableId="1347246437">
    <w:abstractNumId w:val="1"/>
  </w:num>
  <w:num w:numId="21" w16cid:durableId="1833569465">
    <w:abstractNumId w:val="1"/>
  </w:num>
  <w:num w:numId="22" w16cid:durableId="2056419382">
    <w:abstractNumId w:val="1"/>
  </w:num>
  <w:num w:numId="23" w16cid:durableId="1703477672">
    <w:abstractNumId w:val="1"/>
  </w:num>
  <w:num w:numId="24" w16cid:durableId="519395041">
    <w:abstractNumId w:val="1"/>
  </w:num>
  <w:num w:numId="25" w16cid:durableId="1544053070">
    <w:abstractNumId w:val="1"/>
  </w:num>
  <w:num w:numId="26" w16cid:durableId="1651862588">
    <w:abstractNumId w:val="1"/>
  </w:num>
  <w:num w:numId="27" w16cid:durableId="246500264">
    <w:abstractNumId w:val="1"/>
  </w:num>
  <w:num w:numId="28" w16cid:durableId="735710965">
    <w:abstractNumId w:val="1"/>
  </w:num>
  <w:num w:numId="29" w16cid:durableId="1271351355">
    <w:abstractNumId w:val="1"/>
  </w:num>
  <w:num w:numId="30" w16cid:durableId="862354402">
    <w:abstractNumId w:val="1"/>
  </w:num>
  <w:num w:numId="31" w16cid:durableId="1090003877">
    <w:abstractNumId w:val="1"/>
  </w:num>
  <w:num w:numId="32" w16cid:durableId="539174131">
    <w:abstractNumId w:val="1"/>
  </w:num>
  <w:num w:numId="33" w16cid:durableId="956058837">
    <w:abstractNumId w:val="1"/>
  </w:num>
  <w:num w:numId="34" w16cid:durableId="1847591342">
    <w:abstractNumId w:val="1"/>
  </w:num>
  <w:num w:numId="35" w16cid:durableId="167058401">
    <w:abstractNumId w:val="1"/>
  </w:num>
  <w:num w:numId="36" w16cid:durableId="150952385">
    <w:abstractNumId w:val="1"/>
  </w:num>
  <w:num w:numId="37" w16cid:durableId="799568782">
    <w:abstractNumId w:val="1"/>
  </w:num>
  <w:num w:numId="38" w16cid:durableId="1994604987">
    <w:abstractNumId w:val="1"/>
  </w:num>
  <w:num w:numId="39" w16cid:durableId="428896483">
    <w:abstractNumId w:val="1"/>
  </w:num>
  <w:num w:numId="40" w16cid:durableId="128323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86796642">
    <w:abstractNumId w:val="1"/>
  </w:num>
  <w:num w:numId="42" w16cid:durableId="192584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3D4"/>
    <w:rsid w:val="00041E31"/>
    <w:rsid w:val="000C02B0"/>
    <w:rsid w:val="00177DE4"/>
    <w:rsid w:val="001F31FD"/>
    <w:rsid w:val="00202E8E"/>
    <w:rsid w:val="005529C4"/>
    <w:rsid w:val="006E33D4"/>
    <w:rsid w:val="007217CC"/>
    <w:rsid w:val="00815A5D"/>
    <w:rsid w:val="00AE7C7A"/>
    <w:rsid w:val="00D77B90"/>
    <w:rsid w:val="00E7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84E27"/>
  <w15:docId w15:val="{CFB3EA24-523F-4D40-9FD5-2E41F502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7DE4"/>
  </w:style>
  <w:style w:type="paragraph" w:styleId="Ttulo1">
    <w:name w:val="heading 1"/>
    <w:basedOn w:val="Normal"/>
    <w:next w:val="Normal"/>
    <w:link w:val="Ttulo1Char"/>
    <w:uiPriority w:val="9"/>
    <w:qFormat/>
    <w:rsid w:val="00177DE4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DE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DE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Corpodetexto"/>
    <w:next w:val="Corpodetexto"/>
  </w:style>
  <w:style w:type="paragraph" w:customStyle="1" w:styleId="Compact">
    <w:name w:val="Compact"/>
    <w:basedOn w:val="Corpodetexto"/>
    <w:pPr>
      <w:spacing w:before="36" w:after="36"/>
    </w:pPr>
  </w:style>
  <w:style w:type="paragraph" w:styleId="Ttulo">
    <w:name w:val="Title"/>
    <w:basedOn w:val="Normal"/>
    <w:next w:val="Normal"/>
    <w:link w:val="TtuloChar"/>
    <w:uiPriority w:val="10"/>
    <w:qFormat/>
    <w:rsid w:val="00177D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77DE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DE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DE4"/>
    <w:rPr>
      <w:caps/>
      <w:color w:val="404040" w:themeColor="text1" w:themeTint="BF"/>
      <w:spacing w:val="20"/>
      <w:sz w:val="28"/>
      <w:szCs w:val="28"/>
    </w:rPr>
  </w:style>
  <w:style w:type="paragraph" w:customStyle="1" w:styleId="Author">
    <w:name w:val="Author"/>
    <w:next w:val="Corpodetexto"/>
    <w:pPr>
      <w:keepNext/>
      <w:keepLines/>
      <w:jc w:val="center"/>
    </w:pPr>
  </w:style>
  <w:style w:type="paragraph" w:styleId="Data">
    <w:name w:val="Date"/>
    <w:next w:val="Corpodetexto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</w:style>
  <w:style w:type="character" w:customStyle="1" w:styleId="Ttulo1Char">
    <w:name w:val="Título 1 Char"/>
    <w:basedOn w:val="Fontepargpadro"/>
    <w:link w:val="Ttulo1"/>
    <w:uiPriority w:val="9"/>
    <w:rsid w:val="00177DE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DE4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DE4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DE4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DE4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DE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DE4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DE4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DE4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extoembloco">
    <w:name w:val="Block Text"/>
    <w:basedOn w:val="Corpodetexto"/>
    <w:next w:val="Corpodetexto"/>
    <w:uiPriority w:val="9"/>
    <w:unhideWhenUsed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177DE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LegendaChar"/>
    <w:link w:val="SourceCode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LegendaChar"/>
    <w:rPr>
      <w:b/>
      <w:bCs/>
      <w:color w:val="404040" w:themeColor="text1" w:themeTint="BF"/>
      <w:sz w:val="16"/>
      <w:szCs w:val="16"/>
    </w:rPr>
  </w:style>
  <w:style w:type="character" w:styleId="Refdenotaderodap">
    <w:name w:val="footnote reference"/>
    <w:basedOn w:val="Legenda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LegendaChar"/>
    <w:rPr>
      <w:b/>
      <w:bCs/>
      <w:color w:val="156082" w:themeColor="accent1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177DE4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styleId="Forte">
    <w:name w:val="Strong"/>
    <w:basedOn w:val="Fontepargpadro"/>
    <w:uiPriority w:val="22"/>
    <w:qFormat/>
    <w:rsid w:val="00177DE4"/>
    <w:rPr>
      <w:b/>
      <w:bCs/>
    </w:rPr>
  </w:style>
  <w:style w:type="character" w:styleId="nfase">
    <w:name w:val="Emphasis"/>
    <w:basedOn w:val="Fontepargpadro"/>
    <w:uiPriority w:val="20"/>
    <w:qFormat/>
    <w:rsid w:val="00177DE4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177DE4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177DE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77DE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DE4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DE4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177DE4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177DE4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177DE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177DE4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177DE4"/>
    <w:rPr>
      <w:b/>
      <w:bCs/>
      <w:caps w:val="0"/>
      <w:smallCaps/>
      <w:spacing w:val="0"/>
    </w:rPr>
  </w:style>
  <w:style w:type="paragraph" w:styleId="Cabealho">
    <w:name w:val="header"/>
    <w:basedOn w:val="Normal"/>
    <w:link w:val="CabealhoChar"/>
    <w:rsid w:val="00AE7C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AE7C7A"/>
  </w:style>
  <w:style w:type="paragraph" w:styleId="Rodap">
    <w:name w:val="footer"/>
    <w:basedOn w:val="Normal"/>
    <w:link w:val="RodapChar"/>
    <w:rsid w:val="00AE7C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E7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3600</Words>
  <Characters>20307</Characters>
  <Application>Microsoft Office Word</Application>
  <DocSecurity>0</DocSecurity>
  <Lines>882</Lines>
  <Paragraphs>796</Paragraphs>
  <ScaleCrop>false</ScaleCrop>
  <Company/>
  <LinksUpToDate>false</LinksUpToDate>
  <CharactersWithSpaces>23111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Aparecido Caixeta</cp:lastModifiedBy>
  <cp:revision>7</cp:revision>
  <cp:lastPrinted>2026-03-09T17:33:00Z</cp:lastPrinted>
  <dcterms:created xsi:type="dcterms:W3CDTF">2026-03-09T17:18:00Z</dcterms:created>
  <dcterms:modified xsi:type="dcterms:W3CDTF">2026-03-09T18:33:00Z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8c72e2-94da-4215-9321-6e23e54d2fc1_Enabled">
    <vt:lpwstr>true</vt:lpwstr>
  </property>
  <property fmtid="{D5CDD505-2E9C-101B-9397-08002B2CF9AE}" pid="3" name="MSIP_Label_2d8c72e2-94da-4215-9321-6e23e54d2fc1_SetDate">
    <vt:lpwstr>2026-03-09T17:24:36Z</vt:lpwstr>
  </property>
  <property fmtid="{D5CDD505-2E9C-101B-9397-08002B2CF9AE}" pid="4" name="MSIP_Label_2d8c72e2-94da-4215-9321-6e23e54d2fc1_Method">
    <vt:lpwstr>Standard</vt:lpwstr>
  </property>
  <property fmtid="{D5CDD505-2E9C-101B-9397-08002B2CF9AE}" pid="5" name="MSIP_Label_2d8c72e2-94da-4215-9321-6e23e54d2fc1_Name">
    <vt:lpwstr>Interno</vt:lpwstr>
  </property>
  <property fmtid="{D5CDD505-2E9C-101B-9397-08002B2CF9AE}" pid="6" name="MSIP_Label_2d8c72e2-94da-4215-9321-6e23e54d2fc1_SiteId">
    <vt:lpwstr>b43bf106-dce6-4172-8664-a651d7c6f029</vt:lpwstr>
  </property>
  <property fmtid="{D5CDD505-2E9C-101B-9397-08002B2CF9AE}" pid="7" name="MSIP_Label_2d8c72e2-94da-4215-9321-6e23e54d2fc1_ActionId">
    <vt:lpwstr>09ed2a92-114c-4e38-a1b1-4ddf38aed1c0</vt:lpwstr>
  </property>
  <property fmtid="{D5CDD505-2E9C-101B-9397-08002B2CF9AE}" pid="8" name="MSIP_Label_2d8c72e2-94da-4215-9321-6e23e54d2fc1_ContentBits">
    <vt:lpwstr>0</vt:lpwstr>
  </property>
  <property fmtid="{D5CDD505-2E9C-101B-9397-08002B2CF9AE}" pid="9" name="MSIP_Label_2d8c72e2-94da-4215-9321-6e23e54d2fc1_Tag">
    <vt:lpwstr>10, 3, 0, 1</vt:lpwstr>
  </property>
</Properties>
</file>