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>@LEI@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@EMENTA@</w:t>
            </w:r>
          </w:p>
        </w:tc>
      </w:tr>
    </w:tbl>
    <w:p w:rsidR="00042B11" w:rsidRDefault="003962A0" w:rsidP="003962A0">
      <w:pPr>
        <w:pStyle w:val="Legenda"/>
      </w:pPr>
      <w:r>
        <w:t>Q</w:t>
      </w:r>
      <w:r w:rsidR="00BB410D" w:rsidRPr="00A87E9E">
        <w:t>uadro</w:t>
      </w:r>
      <w:bookmarkStart w:id="7" w:name="_GoBack"/>
      <w:bookmarkEnd w:id="7"/>
      <w:r w:rsidR="00BB410D" w:rsidRPr="00A87E9E">
        <w:t xml:space="preserve"> </w:t>
      </w:r>
      <w:r w:rsidR="0032584B">
        <w:t>1</w:t>
      </w:r>
      <w:r w:rsidR="00BB410D" w:rsidRPr="00A87E9E">
        <w:t xml:space="preserve"> – Referências de legislação para construção do PPC</w:t>
      </w:r>
      <w:bookmarkStart w:id="8" w:name="_Toc388901643"/>
      <w:bookmarkEnd w:id="0"/>
      <w:bookmarkEnd w:id="1"/>
      <w:bookmarkEnd w:id="2"/>
      <w:bookmarkEnd w:id="3"/>
      <w:bookmarkEnd w:id="4"/>
      <w:bookmarkEnd w:id="5"/>
      <w:bookmarkEnd w:id="6"/>
      <w:bookmarkEnd w:id="8"/>
    </w:p>
    <w:sectPr w:rsidR="00042B11" w:rsidSect="003962A0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7B" w:rsidRDefault="0065117B" w:rsidP="00EE7F66">
      <w:r>
        <w:separator/>
      </w:r>
    </w:p>
    <w:p w:rsidR="0065117B" w:rsidRDefault="0065117B"/>
    <w:p w:rsidR="0065117B" w:rsidRDefault="0065117B" w:rsidP="008C7E43"/>
  </w:endnote>
  <w:end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2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7B" w:rsidRDefault="0065117B" w:rsidP="00EE7F66">
      <w:r w:rsidRPr="00EE7F66">
        <w:rPr>
          <w:color w:val="000000"/>
        </w:rPr>
        <w:separator/>
      </w:r>
    </w:p>
    <w:p w:rsidR="0065117B" w:rsidRDefault="0065117B"/>
    <w:p w:rsidR="0065117B" w:rsidRDefault="0065117B" w:rsidP="008C7E43"/>
  </w:footnote>
  <w:foot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62A0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7B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20D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962A0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189A8-51F8-4952-9B09-DB2F45A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