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39963" w14:textId="77777777" w:rsidR="00195B7A" w:rsidRDefault="00000000">
      <w:pPr>
        <w:pStyle w:val="Title"/>
        <w:spacing w:before="1440" w:after="480"/>
        <w:ind w:firstLine="0"/>
        <w:jc w:val="center"/>
      </w:pPr>
      <w:r>
        <w:rPr>
          <w:rFonts w:ascii="Times New Roman" w:eastAsia="Times New Roman" w:hAnsi="Times New Roman" w:cs="Times New Roman"/>
          <w:b/>
        </w:rPr>
        <w:t>Heart Disease Model Optimization and Ethical Evaluation</w:t>
      </w:r>
    </w:p>
    <w:p w14:paraId="04E05E22" w14:textId="77777777" w:rsidR="00195B7A" w:rsidRDefault="00000000">
      <w:pPr>
        <w:ind w:firstLine="0"/>
        <w:jc w:val="center"/>
      </w:pPr>
      <w:r>
        <w:rPr>
          <w:rFonts w:eastAsia="Times New Roman" w:cs="Times New Roman"/>
        </w:rPr>
        <w:t>Subba Taniparti, Harini Mamidala, Christian Gaston, and Bellary Naveen Vishal</w:t>
      </w:r>
    </w:p>
    <w:p w14:paraId="2E87F8CC" w14:textId="77777777" w:rsidR="00195B7A" w:rsidRDefault="00000000">
      <w:pPr>
        <w:ind w:firstLine="0"/>
        <w:jc w:val="center"/>
      </w:pPr>
      <w:r>
        <w:rPr>
          <w:rFonts w:eastAsia="Times New Roman" w:cs="Times New Roman"/>
        </w:rPr>
        <w:t>Department of Computer and Information Sciences, University of the Cumberlands</w:t>
      </w:r>
    </w:p>
    <w:p w14:paraId="316077A9" w14:textId="77777777" w:rsidR="00195B7A" w:rsidRDefault="00000000">
      <w:pPr>
        <w:ind w:firstLine="0"/>
        <w:jc w:val="center"/>
      </w:pPr>
      <w:r>
        <w:rPr>
          <w:rFonts w:eastAsia="Times New Roman" w:cs="Times New Roman"/>
        </w:rPr>
        <w:t>PhDAI 733-A02: Python Application for Data Analytics in AI</w:t>
      </w:r>
    </w:p>
    <w:p w14:paraId="5CDB6828" w14:textId="77777777" w:rsidR="00195B7A" w:rsidRDefault="00000000">
      <w:pPr>
        <w:ind w:firstLine="0"/>
        <w:jc w:val="center"/>
      </w:pPr>
      <w:r>
        <w:rPr>
          <w:rFonts w:eastAsia="Times New Roman" w:cs="Times New Roman"/>
        </w:rPr>
        <w:t>Dr. Karriem Perry</w:t>
      </w:r>
    </w:p>
    <w:p w14:paraId="6837B799" w14:textId="77777777" w:rsidR="00195B7A" w:rsidRDefault="00000000">
      <w:pPr>
        <w:ind w:firstLine="0"/>
        <w:jc w:val="center"/>
      </w:pPr>
      <w:r>
        <w:rPr>
          <w:rFonts w:eastAsia="Times New Roman" w:cs="Times New Roman"/>
        </w:rPr>
        <w:t>October 16, 2026</w:t>
      </w:r>
    </w:p>
    <w:p w14:paraId="3C8B4618" w14:textId="77777777" w:rsidR="00195B7A" w:rsidRDefault="00000000">
      <w:r>
        <w:rPr>
          <w:rFonts w:eastAsia="Times New Roman" w:cs="Times New Roman"/>
        </w:rPr>
        <w:br w:type="page"/>
      </w:r>
    </w:p>
    <w:p w14:paraId="460CD492" w14:textId="77777777" w:rsidR="00195B7A" w:rsidRDefault="00000000">
      <w:pPr>
        <w:pStyle w:val="Heading1"/>
      </w:pPr>
      <w:r>
        <w:rPr>
          <w:rFonts w:ascii="Times New Roman" w:eastAsia="Times New Roman" w:hAnsi="Times New Roman" w:cs="Times New Roman"/>
        </w:rPr>
        <w:lastRenderedPageBreak/>
        <w:t>Heart Disease Model Optimization and Ethical Evaluation</w:t>
      </w:r>
    </w:p>
    <w:p w14:paraId="7543B44F" w14:textId="77777777" w:rsidR="00195B7A" w:rsidRDefault="00000000">
      <w:pPr>
        <w:pStyle w:val="Heading1"/>
      </w:pPr>
      <w:r>
        <w:rPr>
          <w:rFonts w:ascii="Times New Roman" w:eastAsia="Times New Roman" w:hAnsi="Times New Roman" w:cs="Times New Roman"/>
        </w:rPr>
        <w:t>Problem, Dataset, and Model Recap</w:t>
      </w:r>
    </w:p>
    <w:p w14:paraId="416941A5" w14:textId="77777777" w:rsidR="00195B7A" w:rsidRDefault="00000000">
      <w:r>
        <w:rPr>
          <w:rFonts w:eastAsia="Times New Roman" w:cs="Times New Roman"/>
        </w:rPr>
        <w:t>This project evaluates a Python classification prototype for identifying existing coronary artery disease in a historical Cleveland referral cohort. It does not predict future cardiovascular events or diagnose acute myocardial infarction. The proposed application is a clinician-reviewed worklist after cardiac investigations, prioritizing completed cases for review. Patients, clinicians, and service managers would be affected by missed cases, unnecessary review, and limited review capacity. The results support further research, rather than clinical deployment.</w:t>
      </w:r>
    </w:p>
    <w:p w14:paraId="7E083606" w14:textId="77777777" w:rsidR="00195B7A" w:rsidRDefault="00000000">
      <w:r>
        <w:rPr>
          <w:rFonts w:eastAsia="Times New Roman" w:cs="Times New Roman"/>
        </w:rPr>
        <w:t>The analysis uses a mirrored CSV derived from the UCI Heart Disease dataset (Janosi et al., 1989). One exact duplicate was removed, leaving 302 records and 13 predictors. The original UCI outcome distinguishes absence from levels of disease; the mirrored file contains a binary target, which the project reverses as disease = 1 − target. The resulting positive class represents disease presence. Overall prevalence is 45.7%; subgroup prevalence is 25.0% for sex = 0 and 55.3% for sex = 1. These observations motivated stratified evaluation and subgroup auditing, but do not establish why subgroup errors differ.</w:t>
      </w:r>
    </w:p>
    <w:p w14:paraId="1C0D7147" w14:textId="77777777" w:rsidR="00195B7A" w:rsidRDefault="00000000">
      <w:r>
        <w:rPr>
          <w:rFonts w:eastAsia="Times New Roman" w:cs="Times New Roman"/>
        </w:rPr>
        <w:t>The mirror contains no pandas-recognized missing values, although this does not establish the completeness of the original source records or the meaning of exceptional category codes. Five categorical variables were dummy encoded, expanding the input to 22 features. Five continuous variables were standardized within a ColumnTransformer and model pipeline. Encoding used pd.get_dummies before splitting, whereas scaling was fitted within training folds. A stronger implementation would fit categorical encoding within the pipeline as well. Predictors include vessel count measured by fluoroscopy and thallium stress-test results, so this feature set is unsuitable for early screening before specialized investigations.</w:t>
      </w:r>
    </w:p>
    <w:p w14:paraId="4ABF7640" w14:textId="77777777" w:rsidR="00195B7A" w:rsidRDefault="00000000">
      <w:pPr>
        <w:pStyle w:val="Heading1"/>
      </w:pPr>
      <w:r>
        <w:rPr>
          <w:rFonts w:ascii="Times New Roman" w:eastAsia="Times New Roman" w:hAnsi="Times New Roman" w:cs="Times New Roman"/>
        </w:rPr>
        <w:lastRenderedPageBreak/>
        <w:t>Hyperparameter Tuning</w:t>
      </w:r>
    </w:p>
    <w:p w14:paraId="2E285DB4" w14:textId="77777777" w:rsidR="00195B7A" w:rsidRDefault="00000000">
      <w:r>
        <w:rPr>
          <w:rFonts w:eastAsia="Times New Roman" w:cs="Times New Roman"/>
        </w:rPr>
        <w:t>Regularized logistic regression and random forest were compared using scikit-learn (Pedregosa et al., 2011). Logistic regression provides a compact linear classifier; random forest tests whether nonlinear relationships improve discrimination. GridSearchCV optimized ROC-AUC using five stratified inner folds. Logistic regression searched C values of 0.01, 0.1, 1, 10, and 100. Random forest searched 100 or 300 trees, maximum depths of 3, 5, or unlimited, and minimum leaf sizes of 1, 3, or 5, totaling 18 combinations. Five stratified outer folds evaluated the tuning procedures (scikit-learn developers, n.d.-b).</w:t>
      </w:r>
    </w:p>
    <w:p w14:paraId="5D9F7DCF" w14:textId="77777777" w:rsidR="00195B7A" w:rsidRDefault="00000000">
      <w:pPr>
        <w:keepNext/>
        <w:ind w:firstLine="0"/>
      </w:pPr>
      <w:r>
        <w:rPr>
          <w:rFonts w:eastAsia="Times New Roman" w:cs="Times New Roman"/>
          <w:b/>
        </w:rPr>
        <w:t>Table 1</w:t>
      </w:r>
    </w:p>
    <w:p w14:paraId="4AAA499D" w14:textId="77777777" w:rsidR="00195B7A" w:rsidRDefault="00000000">
      <w:pPr>
        <w:keepNext/>
        <w:ind w:firstLine="0"/>
      </w:pPr>
      <w:r>
        <w:rPr>
          <w:rFonts w:eastAsia="Times New Roman" w:cs="Times New Roman"/>
          <w:i/>
        </w:rPr>
        <w:t>Nested and Non-Nested Model Discrimination</w:t>
      </w:r>
    </w:p>
    <w:tbl>
      <w:tblPr>
        <w:tblW w:w="0" w:type="auto"/>
        <w:tblLayout w:type="fixed"/>
        <w:tblLook w:val="04A0" w:firstRow="1" w:lastRow="0" w:firstColumn="1" w:lastColumn="0" w:noHBand="0" w:noVBand="1"/>
      </w:tblPr>
      <w:tblGrid>
        <w:gridCol w:w="2340"/>
        <w:gridCol w:w="2340"/>
        <w:gridCol w:w="2340"/>
        <w:gridCol w:w="2340"/>
      </w:tblGrid>
      <w:tr w:rsidR="00195B7A" w14:paraId="7E89F3AB" w14:textId="77777777">
        <w:tc>
          <w:tcPr>
            <w:tcW w:w="2340" w:type="dxa"/>
            <w:tcBorders>
              <w:top w:val="single" w:sz="6" w:space="0" w:color="000000"/>
              <w:left w:val="nil"/>
              <w:bottom w:val="single" w:sz="6" w:space="0" w:color="000000"/>
              <w:right w:val="nil"/>
            </w:tcBorders>
            <w:shd w:val="clear" w:color="auto" w:fill="FFFFFF"/>
          </w:tcPr>
          <w:p w14:paraId="01D6D698" w14:textId="77777777" w:rsidR="00195B7A" w:rsidRDefault="00000000">
            <w:pPr>
              <w:keepNext/>
              <w:spacing w:before="100" w:line="240" w:lineRule="auto"/>
              <w:ind w:firstLine="0"/>
            </w:pPr>
            <w:r>
              <w:t>Model</w:t>
            </w:r>
          </w:p>
        </w:tc>
        <w:tc>
          <w:tcPr>
            <w:tcW w:w="2340" w:type="dxa"/>
            <w:tcBorders>
              <w:top w:val="single" w:sz="6" w:space="0" w:color="000000"/>
              <w:left w:val="nil"/>
              <w:bottom w:val="single" w:sz="6" w:space="0" w:color="000000"/>
              <w:right w:val="nil"/>
            </w:tcBorders>
            <w:shd w:val="clear" w:color="auto" w:fill="FFFFFF"/>
          </w:tcPr>
          <w:p w14:paraId="29F32E6E" w14:textId="77777777" w:rsidR="00195B7A" w:rsidRDefault="00000000">
            <w:pPr>
              <w:keepNext/>
              <w:spacing w:before="100" w:line="240" w:lineRule="auto"/>
              <w:ind w:firstLine="0"/>
            </w:pPr>
            <w:r>
              <w:t>Nested AUC</w:t>
            </w:r>
          </w:p>
        </w:tc>
        <w:tc>
          <w:tcPr>
            <w:tcW w:w="2340" w:type="dxa"/>
            <w:tcBorders>
              <w:top w:val="single" w:sz="6" w:space="0" w:color="000000"/>
              <w:left w:val="nil"/>
              <w:bottom w:val="single" w:sz="6" w:space="0" w:color="000000"/>
              <w:right w:val="nil"/>
            </w:tcBorders>
            <w:shd w:val="clear" w:color="auto" w:fill="FFFFFF"/>
          </w:tcPr>
          <w:p w14:paraId="7149080E" w14:textId="77777777" w:rsidR="00195B7A" w:rsidRDefault="00000000">
            <w:pPr>
              <w:keepNext/>
              <w:spacing w:before="100" w:line="240" w:lineRule="auto"/>
              <w:ind w:firstLine="0"/>
            </w:pPr>
            <w:r>
              <w:t xml:space="preserve">Fold </w:t>
            </w:r>
            <w:r>
              <w:rPr>
                <w:i/>
              </w:rPr>
              <w:t>SD</w:t>
            </w:r>
          </w:p>
        </w:tc>
        <w:tc>
          <w:tcPr>
            <w:tcW w:w="2340" w:type="dxa"/>
            <w:tcBorders>
              <w:top w:val="single" w:sz="6" w:space="0" w:color="000000"/>
              <w:left w:val="nil"/>
              <w:bottom w:val="single" w:sz="6" w:space="0" w:color="000000"/>
              <w:right w:val="nil"/>
            </w:tcBorders>
            <w:shd w:val="clear" w:color="auto" w:fill="FFFFFF"/>
          </w:tcPr>
          <w:p w14:paraId="19C6E69E" w14:textId="77777777" w:rsidR="00195B7A" w:rsidRDefault="00000000">
            <w:pPr>
              <w:keepNext/>
              <w:spacing w:before="100" w:line="240" w:lineRule="auto"/>
              <w:ind w:firstLine="0"/>
            </w:pPr>
            <w:r>
              <w:t>Non-nested AUC</w:t>
            </w:r>
          </w:p>
        </w:tc>
      </w:tr>
      <w:tr w:rsidR="00195B7A" w14:paraId="244B5465" w14:textId="77777777">
        <w:tc>
          <w:tcPr>
            <w:tcW w:w="2340" w:type="dxa"/>
            <w:tcBorders>
              <w:top w:val="nil"/>
              <w:left w:val="nil"/>
              <w:bottom w:val="nil"/>
              <w:right w:val="nil"/>
            </w:tcBorders>
          </w:tcPr>
          <w:p w14:paraId="0D55D0C6" w14:textId="77777777" w:rsidR="00195B7A" w:rsidRDefault="00000000">
            <w:pPr>
              <w:keepNext/>
              <w:spacing w:before="100" w:line="240" w:lineRule="auto"/>
              <w:ind w:firstLine="0"/>
            </w:pPr>
            <w:r>
              <w:t>Logistic regression</w:t>
            </w:r>
          </w:p>
        </w:tc>
        <w:tc>
          <w:tcPr>
            <w:tcW w:w="2340" w:type="dxa"/>
            <w:tcBorders>
              <w:top w:val="nil"/>
              <w:left w:val="nil"/>
              <w:bottom w:val="nil"/>
              <w:right w:val="nil"/>
            </w:tcBorders>
          </w:tcPr>
          <w:p w14:paraId="3036F3C1" w14:textId="77777777" w:rsidR="00195B7A" w:rsidRDefault="00000000">
            <w:pPr>
              <w:keepNext/>
              <w:spacing w:before="100" w:line="240" w:lineRule="auto"/>
              <w:ind w:firstLine="0"/>
            </w:pPr>
            <w:r>
              <w:t>.9102</w:t>
            </w:r>
          </w:p>
        </w:tc>
        <w:tc>
          <w:tcPr>
            <w:tcW w:w="2340" w:type="dxa"/>
            <w:tcBorders>
              <w:top w:val="nil"/>
              <w:left w:val="nil"/>
              <w:bottom w:val="nil"/>
              <w:right w:val="nil"/>
            </w:tcBorders>
          </w:tcPr>
          <w:p w14:paraId="4731F2F4" w14:textId="77777777" w:rsidR="00195B7A" w:rsidRDefault="00000000">
            <w:pPr>
              <w:keepNext/>
              <w:spacing w:before="100" w:line="240" w:lineRule="auto"/>
              <w:ind w:firstLine="0"/>
            </w:pPr>
            <w:r>
              <w:t>.0431</w:t>
            </w:r>
          </w:p>
        </w:tc>
        <w:tc>
          <w:tcPr>
            <w:tcW w:w="2340" w:type="dxa"/>
            <w:tcBorders>
              <w:top w:val="nil"/>
              <w:left w:val="nil"/>
              <w:bottom w:val="nil"/>
              <w:right w:val="nil"/>
            </w:tcBorders>
          </w:tcPr>
          <w:p w14:paraId="62424B30" w14:textId="77777777" w:rsidR="00195B7A" w:rsidRDefault="00000000">
            <w:pPr>
              <w:keepNext/>
              <w:spacing w:before="100" w:line="240" w:lineRule="auto"/>
              <w:ind w:firstLine="0"/>
            </w:pPr>
            <w:r>
              <w:t>.9169</w:t>
            </w:r>
          </w:p>
        </w:tc>
      </w:tr>
      <w:tr w:rsidR="00195B7A" w14:paraId="72CB251A" w14:textId="77777777">
        <w:tc>
          <w:tcPr>
            <w:tcW w:w="2340" w:type="dxa"/>
            <w:tcBorders>
              <w:top w:val="nil"/>
              <w:left w:val="nil"/>
              <w:bottom w:val="single" w:sz="6" w:space="0" w:color="000000"/>
              <w:right w:val="nil"/>
            </w:tcBorders>
          </w:tcPr>
          <w:p w14:paraId="78F16601" w14:textId="77777777" w:rsidR="00195B7A" w:rsidRDefault="00000000">
            <w:pPr>
              <w:spacing w:before="100" w:line="240" w:lineRule="auto"/>
              <w:ind w:firstLine="0"/>
            </w:pPr>
            <w:r>
              <w:t>Random forest</w:t>
            </w:r>
          </w:p>
        </w:tc>
        <w:tc>
          <w:tcPr>
            <w:tcW w:w="2340" w:type="dxa"/>
            <w:tcBorders>
              <w:top w:val="nil"/>
              <w:left w:val="nil"/>
              <w:bottom w:val="single" w:sz="6" w:space="0" w:color="000000"/>
              <w:right w:val="nil"/>
            </w:tcBorders>
          </w:tcPr>
          <w:p w14:paraId="5FE320DC" w14:textId="77777777" w:rsidR="00195B7A" w:rsidRDefault="00000000">
            <w:pPr>
              <w:spacing w:before="100" w:line="240" w:lineRule="auto"/>
              <w:ind w:firstLine="0"/>
            </w:pPr>
            <w:r>
              <w:t>.8858</w:t>
            </w:r>
          </w:p>
        </w:tc>
        <w:tc>
          <w:tcPr>
            <w:tcW w:w="2340" w:type="dxa"/>
            <w:tcBorders>
              <w:top w:val="nil"/>
              <w:left w:val="nil"/>
              <w:bottom w:val="single" w:sz="6" w:space="0" w:color="000000"/>
              <w:right w:val="nil"/>
            </w:tcBorders>
          </w:tcPr>
          <w:p w14:paraId="2770725D" w14:textId="77777777" w:rsidR="00195B7A" w:rsidRDefault="00000000">
            <w:pPr>
              <w:spacing w:before="100" w:line="240" w:lineRule="auto"/>
              <w:ind w:firstLine="0"/>
            </w:pPr>
            <w:r>
              <w:t>.0388</w:t>
            </w:r>
          </w:p>
        </w:tc>
        <w:tc>
          <w:tcPr>
            <w:tcW w:w="2340" w:type="dxa"/>
            <w:tcBorders>
              <w:top w:val="nil"/>
              <w:left w:val="nil"/>
              <w:bottom w:val="single" w:sz="6" w:space="0" w:color="000000"/>
              <w:right w:val="nil"/>
            </w:tcBorders>
          </w:tcPr>
          <w:p w14:paraId="1FE0167B" w14:textId="77777777" w:rsidR="00195B7A" w:rsidRDefault="00000000">
            <w:pPr>
              <w:spacing w:before="100" w:line="240" w:lineRule="auto"/>
              <w:ind w:firstLine="0"/>
            </w:pPr>
            <w:r>
              <w:t>.9008</w:t>
            </w:r>
          </w:p>
        </w:tc>
      </w:tr>
    </w:tbl>
    <w:p w14:paraId="765B4E07" w14:textId="77777777" w:rsidR="00195B7A" w:rsidRDefault="00000000">
      <w:pPr>
        <w:ind w:firstLine="0"/>
      </w:pPr>
      <w:r>
        <w:rPr>
          <w:rFonts w:eastAsia="Times New Roman" w:cs="Times New Roman"/>
          <w:i/>
        </w:rPr>
        <w:t>Note.</w:t>
      </w:r>
      <w:r>
        <w:t xml:space="preserve"> Nested AUC is the mean area under the ROC curve across five outer folds. Fold SD is the standard deviation across those folds and is not a confidence interval. Non-nested AUC is the best inner-loop score obtained on the full dataset.</w:t>
      </w:r>
    </w:p>
    <w:p w14:paraId="27CD5EDA" w14:textId="77777777" w:rsidR="00195B7A" w:rsidRDefault="00000000">
      <w:r>
        <w:rPr>
          <w:rFonts w:eastAsia="Times New Roman" w:cs="Times New Roman"/>
        </w:rPr>
        <w:t>As Table 1 shows, logistic regression had the higher mean nested ROC-AUC. Differences from non-nested scores are consistent with selection optimism, but this comparison does not establish that search-space size caused the difference. Nested evaluation used all 302 records, including the original test patients, so the subsequent test result is not an independent confirmation of model selection. The final training-set search selected C = 1.</w:t>
      </w:r>
    </w:p>
    <w:p w14:paraId="0CBC91DD" w14:textId="77777777" w:rsidR="00195B7A" w:rsidRDefault="00000000">
      <w:pPr>
        <w:pStyle w:val="Heading1"/>
      </w:pPr>
      <w:r>
        <w:rPr>
          <w:rFonts w:ascii="Times New Roman" w:eastAsia="Times New Roman" w:hAnsi="Times New Roman" w:cs="Times New Roman"/>
        </w:rPr>
        <w:t>Final Model Evaluation</w:t>
      </w:r>
    </w:p>
    <w:p w14:paraId="39347565" w14:textId="77777777" w:rsidR="00195B7A" w:rsidRDefault="00000000">
      <w:r>
        <w:rPr>
          <w:rFonts w:eastAsia="Times New Roman" w:cs="Times New Roman"/>
        </w:rPr>
        <w:t xml:space="preserve">The original stratified 75/25 split used random seed 42, producing 226 training records and 76 test records, including 35 disease cases. At threshold .50, the logistic model produced 28 </w:t>
      </w:r>
      <w:r>
        <w:rPr>
          <w:rFonts w:eastAsia="Times New Roman" w:cs="Times New Roman"/>
        </w:rPr>
        <w:lastRenderedPageBreak/>
        <w:t>true positives, 35 true negatives, seven false negatives, and six false positives. ROC-AUC was .9261. Table 2 compares the default threshold with an exploratory lower threshold; supporting plots appear in the appendix.</w:t>
      </w:r>
    </w:p>
    <w:p w14:paraId="2C8880AE" w14:textId="77777777" w:rsidR="00195B7A" w:rsidRDefault="00000000">
      <w:pPr>
        <w:keepNext/>
        <w:ind w:firstLine="0"/>
      </w:pPr>
      <w:r>
        <w:rPr>
          <w:rFonts w:eastAsia="Times New Roman" w:cs="Times New Roman"/>
          <w:b/>
        </w:rPr>
        <w:t>Table 2</w:t>
      </w:r>
    </w:p>
    <w:p w14:paraId="0BBD56A6" w14:textId="77777777" w:rsidR="00195B7A" w:rsidRDefault="00000000">
      <w:pPr>
        <w:keepNext/>
        <w:ind w:firstLine="0"/>
      </w:pPr>
      <w:r>
        <w:rPr>
          <w:rFonts w:eastAsia="Times New Roman" w:cs="Times New Roman"/>
          <w:i/>
        </w:rPr>
        <w:t>Performance at Default and Exploratory Thresholds</w:t>
      </w:r>
    </w:p>
    <w:tbl>
      <w:tblPr>
        <w:tblW w:w="0" w:type="auto"/>
        <w:tblLayout w:type="fixed"/>
        <w:tblLook w:val="04A0" w:firstRow="1" w:lastRow="0" w:firstColumn="1" w:lastColumn="0" w:noHBand="0" w:noVBand="1"/>
      </w:tblPr>
      <w:tblGrid>
        <w:gridCol w:w="3120"/>
        <w:gridCol w:w="3120"/>
        <w:gridCol w:w="3120"/>
      </w:tblGrid>
      <w:tr w:rsidR="00195B7A" w14:paraId="0F1F05FC" w14:textId="77777777">
        <w:tc>
          <w:tcPr>
            <w:tcW w:w="3120" w:type="dxa"/>
            <w:tcBorders>
              <w:top w:val="single" w:sz="6" w:space="0" w:color="000000"/>
              <w:left w:val="nil"/>
              <w:bottom w:val="single" w:sz="6" w:space="0" w:color="000000"/>
              <w:right w:val="nil"/>
            </w:tcBorders>
            <w:shd w:val="clear" w:color="auto" w:fill="FFFFFF"/>
          </w:tcPr>
          <w:p w14:paraId="79B1E40F" w14:textId="77777777" w:rsidR="00195B7A" w:rsidRDefault="00000000">
            <w:pPr>
              <w:keepNext/>
              <w:spacing w:before="100" w:line="240" w:lineRule="auto"/>
              <w:ind w:firstLine="0"/>
            </w:pPr>
            <w:r>
              <w:t>Measure</w:t>
            </w:r>
          </w:p>
        </w:tc>
        <w:tc>
          <w:tcPr>
            <w:tcW w:w="3120" w:type="dxa"/>
            <w:tcBorders>
              <w:top w:val="single" w:sz="6" w:space="0" w:color="000000"/>
              <w:left w:val="nil"/>
              <w:bottom w:val="single" w:sz="6" w:space="0" w:color="000000"/>
              <w:right w:val="nil"/>
            </w:tcBorders>
            <w:shd w:val="clear" w:color="auto" w:fill="FFFFFF"/>
          </w:tcPr>
          <w:p w14:paraId="388717C6" w14:textId="77777777" w:rsidR="00195B7A" w:rsidRDefault="00000000">
            <w:pPr>
              <w:keepNext/>
              <w:spacing w:before="100" w:line="240" w:lineRule="auto"/>
              <w:ind w:firstLine="0"/>
            </w:pPr>
            <w:r>
              <w:t>Default .50</w:t>
            </w:r>
          </w:p>
        </w:tc>
        <w:tc>
          <w:tcPr>
            <w:tcW w:w="3120" w:type="dxa"/>
            <w:tcBorders>
              <w:top w:val="single" w:sz="6" w:space="0" w:color="000000"/>
              <w:left w:val="nil"/>
              <w:bottom w:val="single" w:sz="6" w:space="0" w:color="000000"/>
              <w:right w:val="nil"/>
            </w:tcBorders>
            <w:shd w:val="clear" w:color="auto" w:fill="FFFFFF"/>
          </w:tcPr>
          <w:p w14:paraId="31A7D83A" w14:textId="77777777" w:rsidR="00195B7A" w:rsidRDefault="00000000">
            <w:pPr>
              <w:keepNext/>
              <w:spacing w:before="100" w:line="240" w:lineRule="auto"/>
              <w:ind w:firstLine="0"/>
            </w:pPr>
            <w:r>
              <w:t>Exploratory .16</w:t>
            </w:r>
          </w:p>
        </w:tc>
      </w:tr>
      <w:tr w:rsidR="00195B7A" w14:paraId="2C33EC20" w14:textId="77777777">
        <w:tc>
          <w:tcPr>
            <w:tcW w:w="3120" w:type="dxa"/>
            <w:tcBorders>
              <w:top w:val="nil"/>
              <w:left w:val="nil"/>
              <w:bottom w:val="nil"/>
              <w:right w:val="nil"/>
            </w:tcBorders>
          </w:tcPr>
          <w:p w14:paraId="34355104" w14:textId="77777777" w:rsidR="00195B7A" w:rsidRDefault="00000000">
            <w:pPr>
              <w:keepNext/>
              <w:spacing w:before="100" w:line="240" w:lineRule="auto"/>
              <w:ind w:firstLine="0"/>
            </w:pPr>
            <w:r>
              <w:t>Accuracy</w:t>
            </w:r>
          </w:p>
        </w:tc>
        <w:tc>
          <w:tcPr>
            <w:tcW w:w="3120" w:type="dxa"/>
            <w:tcBorders>
              <w:top w:val="nil"/>
              <w:left w:val="nil"/>
              <w:bottom w:val="nil"/>
              <w:right w:val="nil"/>
            </w:tcBorders>
          </w:tcPr>
          <w:p w14:paraId="7C71D054" w14:textId="77777777" w:rsidR="00195B7A" w:rsidRDefault="00000000">
            <w:pPr>
              <w:keepNext/>
              <w:spacing w:before="100" w:line="240" w:lineRule="auto"/>
              <w:ind w:firstLine="0"/>
            </w:pPr>
            <w:r>
              <w:t>.829</w:t>
            </w:r>
          </w:p>
        </w:tc>
        <w:tc>
          <w:tcPr>
            <w:tcW w:w="3120" w:type="dxa"/>
            <w:tcBorders>
              <w:top w:val="nil"/>
              <w:left w:val="nil"/>
              <w:bottom w:val="nil"/>
              <w:right w:val="nil"/>
            </w:tcBorders>
          </w:tcPr>
          <w:p w14:paraId="35522A77" w14:textId="77777777" w:rsidR="00195B7A" w:rsidRDefault="00000000">
            <w:pPr>
              <w:keepNext/>
              <w:spacing w:before="100" w:line="240" w:lineRule="auto"/>
              <w:ind w:firstLine="0"/>
            </w:pPr>
            <w:r>
              <w:t>.789</w:t>
            </w:r>
          </w:p>
        </w:tc>
      </w:tr>
      <w:tr w:rsidR="00195B7A" w14:paraId="4282D60A" w14:textId="77777777">
        <w:tc>
          <w:tcPr>
            <w:tcW w:w="3120" w:type="dxa"/>
            <w:tcBorders>
              <w:top w:val="nil"/>
              <w:left w:val="nil"/>
              <w:bottom w:val="nil"/>
              <w:right w:val="nil"/>
            </w:tcBorders>
          </w:tcPr>
          <w:p w14:paraId="5EF659BF" w14:textId="77777777" w:rsidR="00195B7A" w:rsidRDefault="00000000">
            <w:pPr>
              <w:keepNext/>
              <w:spacing w:before="100" w:line="240" w:lineRule="auto"/>
              <w:ind w:firstLine="0"/>
            </w:pPr>
            <w:r>
              <w:t>Precision</w:t>
            </w:r>
          </w:p>
        </w:tc>
        <w:tc>
          <w:tcPr>
            <w:tcW w:w="3120" w:type="dxa"/>
            <w:tcBorders>
              <w:top w:val="nil"/>
              <w:left w:val="nil"/>
              <w:bottom w:val="nil"/>
              <w:right w:val="nil"/>
            </w:tcBorders>
          </w:tcPr>
          <w:p w14:paraId="2BDDD139" w14:textId="77777777" w:rsidR="00195B7A" w:rsidRDefault="00000000">
            <w:pPr>
              <w:keepNext/>
              <w:spacing w:before="100" w:line="240" w:lineRule="auto"/>
              <w:ind w:firstLine="0"/>
            </w:pPr>
            <w:r>
              <w:t>.824</w:t>
            </w:r>
          </w:p>
        </w:tc>
        <w:tc>
          <w:tcPr>
            <w:tcW w:w="3120" w:type="dxa"/>
            <w:tcBorders>
              <w:top w:val="nil"/>
              <w:left w:val="nil"/>
              <w:bottom w:val="nil"/>
              <w:right w:val="nil"/>
            </w:tcBorders>
          </w:tcPr>
          <w:p w14:paraId="77B05391" w14:textId="77777777" w:rsidR="00195B7A" w:rsidRDefault="00000000">
            <w:pPr>
              <w:keepNext/>
              <w:spacing w:before="100" w:line="240" w:lineRule="auto"/>
              <w:ind w:firstLine="0"/>
            </w:pPr>
            <w:r>
              <w:t>.686</w:t>
            </w:r>
          </w:p>
        </w:tc>
      </w:tr>
      <w:tr w:rsidR="00195B7A" w14:paraId="46B7A24A" w14:textId="77777777">
        <w:tc>
          <w:tcPr>
            <w:tcW w:w="3120" w:type="dxa"/>
            <w:tcBorders>
              <w:top w:val="nil"/>
              <w:left w:val="nil"/>
              <w:bottom w:val="nil"/>
              <w:right w:val="nil"/>
            </w:tcBorders>
          </w:tcPr>
          <w:p w14:paraId="305A1AEB" w14:textId="77777777" w:rsidR="00195B7A" w:rsidRDefault="00000000">
            <w:pPr>
              <w:keepNext/>
              <w:spacing w:before="100" w:line="240" w:lineRule="auto"/>
              <w:ind w:firstLine="0"/>
            </w:pPr>
            <w:r>
              <w:t>Recall</w:t>
            </w:r>
          </w:p>
        </w:tc>
        <w:tc>
          <w:tcPr>
            <w:tcW w:w="3120" w:type="dxa"/>
            <w:tcBorders>
              <w:top w:val="nil"/>
              <w:left w:val="nil"/>
              <w:bottom w:val="nil"/>
              <w:right w:val="nil"/>
            </w:tcBorders>
          </w:tcPr>
          <w:p w14:paraId="0BC788AF" w14:textId="77777777" w:rsidR="00195B7A" w:rsidRDefault="00000000">
            <w:pPr>
              <w:keepNext/>
              <w:spacing w:before="100" w:line="240" w:lineRule="auto"/>
              <w:ind w:firstLine="0"/>
            </w:pPr>
            <w:r>
              <w:t>.800</w:t>
            </w:r>
          </w:p>
        </w:tc>
        <w:tc>
          <w:tcPr>
            <w:tcW w:w="3120" w:type="dxa"/>
            <w:tcBorders>
              <w:top w:val="nil"/>
              <w:left w:val="nil"/>
              <w:bottom w:val="nil"/>
              <w:right w:val="nil"/>
            </w:tcBorders>
          </w:tcPr>
          <w:p w14:paraId="00D356DA" w14:textId="77777777" w:rsidR="00195B7A" w:rsidRDefault="00000000">
            <w:pPr>
              <w:keepNext/>
              <w:spacing w:before="100" w:line="240" w:lineRule="auto"/>
              <w:ind w:firstLine="0"/>
            </w:pPr>
            <w:r>
              <w:t>1.000</w:t>
            </w:r>
          </w:p>
        </w:tc>
      </w:tr>
      <w:tr w:rsidR="00195B7A" w14:paraId="20F8CD11" w14:textId="77777777">
        <w:tc>
          <w:tcPr>
            <w:tcW w:w="3120" w:type="dxa"/>
            <w:tcBorders>
              <w:top w:val="nil"/>
              <w:left w:val="nil"/>
              <w:bottom w:val="nil"/>
              <w:right w:val="nil"/>
            </w:tcBorders>
          </w:tcPr>
          <w:p w14:paraId="0DD9DA76" w14:textId="77777777" w:rsidR="00195B7A" w:rsidRDefault="00000000">
            <w:pPr>
              <w:keepNext/>
              <w:spacing w:before="100" w:line="240" w:lineRule="auto"/>
              <w:ind w:firstLine="0"/>
            </w:pPr>
            <w:r>
              <w:t>F1</w:t>
            </w:r>
          </w:p>
        </w:tc>
        <w:tc>
          <w:tcPr>
            <w:tcW w:w="3120" w:type="dxa"/>
            <w:tcBorders>
              <w:top w:val="nil"/>
              <w:left w:val="nil"/>
              <w:bottom w:val="nil"/>
              <w:right w:val="nil"/>
            </w:tcBorders>
          </w:tcPr>
          <w:p w14:paraId="799E9D2E" w14:textId="77777777" w:rsidR="00195B7A" w:rsidRDefault="00000000">
            <w:pPr>
              <w:keepNext/>
              <w:spacing w:before="100" w:line="240" w:lineRule="auto"/>
              <w:ind w:firstLine="0"/>
            </w:pPr>
            <w:r>
              <w:t>.812</w:t>
            </w:r>
          </w:p>
        </w:tc>
        <w:tc>
          <w:tcPr>
            <w:tcW w:w="3120" w:type="dxa"/>
            <w:tcBorders>
              <w:top w:val="nil"/>
              <w:left w:val="nil"/>
              <w:bottom w:val="nil"/>
              <w:right w:val="nil"/>
            </w:tcBorders>
          </w:tcPr>
          <w:p w14:paraId="5500F661" w14:textId="77777777" w:rsidR="00195B7A" w:rsidRDefault="00000000">
            <w:pPr>
              <w:keepNext/>
              <w:spacing w:before="100" w:line="240" w:lineRule="auto"/>
              <w:ind w:firstLine="0"/>
            </w:pPr>
            <w:r>
              <w:t>.814</w:t>
            </w:r>
          </w:p>
        </w:tc>
      </w:tr>
      <w:tr w:rsidR="00195B7A" w14:paraId="521F9711" w14:textId="77777777">
        <w:tc>
          <w:tcPr>
            <w:tcW w:w="3120" w:type="dxa"/>
            <w:tcBorders>
              <w:top w:val="nil"/>
              <w:left w:val="nil"/>
              <w:bottom w:val="nil"/>
              <w:right w:val="nil"/>
            </w:tcBorders>
          </w:tcPr>
          <w:p w14:paraId="03DFD940" w14:textId="77777777" w:rsidR="00195B7A" w:rsidRDefault="00000000">
            <w:pPr>
              <w:keepNext/>
              <w:spacing w:before="100" w:line="240" w:lineRule="auto"/>
              <w:ind w:firstLine="0"/>
            </w:pPr>
            <w:r>
              <w:t>Specificity</w:t>
            </w:r>
          </w:p>
        </w:tc>
        <w:tc>
          <w:tcPr>
            <w:tcW w:w="3120" w:type="dxa"/>
            <w:tcBorders>
              <w:top w:val="nil"/>
              <w:left w:val="nil"/>
              <w:bottom w:val="nil"/>
              <w:right w:val="nil"/>
            </w:tcBorders>
          </w:tcPr>
          <w:p w14:paraId="3D9E1815" w14:textId="77777777" w:rsidR="00195B7A" w:rsidRDefault="00000000">
            <w:pPr>
              <w:keepNext/>
              <w:spacing w:before="100" w:line="240" w:lineRule="auto"/>
              <w:ind w:firstLine="0"/>
            </w:pPr>
            <w:r>
              <w:t>.854</w:t>
            </w:r>
          </w:p>
        </w:tc>
        <w:tc>
          <w:tcPr>
            <w:tcW w:w="3120" w:type="dxa"/>
            <w:tcBorders>
              <w:top w:val="nil"/>
              <w:left w:val="nil"/>
              <w:bottom w:val="nil"/>
              <w:right w:val="nil"/>
            </w:tcBorders>
          </w:tcPr>
          <w:p w14:paraId="750EC16E" w14:textId="77777777" w:rsidR="00195B7A" w:rsidRDefault="00000000">
            <w:pPr>
              <w:keepNext/>
              <w:spacing w:before="100" w:line="240" w:lineRule="auto"/>
              <w:ind w:firstLine="0"/>
            </w:pPr>
            <w:r>
              <w:t>.610</w:t>
            </w:r>
          </w:p>
        </w:tc>
      </w:tr>
      <w:tr w:rsidR="00195B7A" w14:paraId="56B501DB" w14:textId="77777777">
        <w:tc>
          <w:tcPr>
            <w:tcW w:w="3120" w:type="dxa"/>
            <w:tcBorders>
              <w:top w:val="nil"/>
              <w:left w:val="nil"/>
              <w:bottom w:val="nil"/>
              <w:right w:val="nil"/>
            </w:tcBorders>
          </w:tcPr>
          <w:p w14:paraId="20F335A1" w14:textId="77777777" w:rsidR="00195B7A" w:rsidRDefault="00000000">
            <w:pPr>
              <w:keepNext/>
              <w:spacing w:before="100" w:line="240" w:lineRule="auto"/>
              <w:ind w:firstLine="0"/>
            </w:pPr>
            <w:r>
              <w:t>Missed cases</w:t>
            </w:r>
          </w:p>
        </w:tc>
        <w:tc>
          <w:tcPr>
            <w:tcW w:w="3120" w:type="dxa"/>
            <w:tcBorders>
              <w:top w:val="nil"/>
              <w:left w:val="nil"/>
              <w:bottom w:val="nil"/>
              <w:right w:val="nil"/>
            </w:tcBorders>
          </w:tcPr>
          <w:p w14:paraId="2D5D1BC9" w14:textId="77777777" w:rsidR="00195B7A" w:rsidRDefault="00000000">
            <w:pPr>
              <w:keepNext/>
              <w:spacing w:before="100" w:line="240" w:lineRule="auto"/>
              <w:ind w:firstLine="0"/>
            </w:pPr>
            <w:r>
              <w:t>7</w:t>
            </w:r>
          </w:p>
        </w:tc>
        <w:tc>
          <w:tcPr>
            <w:tcW w:w="3120" w:type="dxa"/>
            <w:tcBorders>
              <w:top w:val="nil"/>
              <w:left w:val="nil"/>
              <w:bottom w:val="nil"/>
              <w:right w:val="nil"/>
            </w:tcBorders>
          </w:tcPr>
          <w:p w14:paraId="67FFADA2" w14:textId="77777777" w:rsidR="00195B7A" w:rsidRDefault="00000000">
            <w:pPr>
              <w:keepNext/>
              <w:spacing w:before="100" w:line="240" w:lineRule="auto"/>
              <w:ind w:firstLine="0"/>
            </w:pPr>
            <w:r>
              <w:t>0</w:t>
            </w:r>
          </w:p>
        </w:tc>
      </w:tr>
      <w:tr w:rsidR="00195B7A" w14:paraId="33A6126C" w14:textId="77777777">
        <w:tc>
          <w:tcPr>
            <w:tcW w:w="3120" w:type="dxa"/>
            <w:tcBorders>
              <w:top w:val="nil"/>
              <w:left w:val="nil"/>
              <w:bottom w:val="nil"/>
              <w:right w:val="nil"/>
            </w:tcBorders>
          </w:tcPr>
          <w:p w14:paraId="79151EDF" w14:textId="77777777" w:rsidR="00195B7A" w:rsidRDefault="00000000">
            <w:pPr>
              <w:keepNext/>
              <w:spacing w:before="100" w:line="240" w:lineRule="auto"/>
              <w:ind w:firstLine="0"/>
            </w:pPr>
            <w:r>
              <w:t>False alarms</w:t>
            </w:r>
          </w:p>
        </w:tc>
        <w:tc>
          <w:tcPr>
            <w:tcW w:w="3120" w:type="dxa"/>
            <w:tcBorders>
              <w:top w:val="nil"/>
              <w:left w:val="nil"/>
              <w:bottom w:val="nil"/>
              <w:right w:val="nil"/>
            </w:tcBorders>
          </w:tcPr>
          <w:p w14:paraId="3A4E5BEE" w14:textId="77777777" w:rsidR="00195B7A" w:rsidRDefault="00000000">
            <w:pPr>
              <w:keepNext/>
              <w:spacing w:before="100" w:line="240" w:lineRule="auto"/>
              <w:ind w:firstLine="0"/>
            </w:pPr>
            <w:r>
              <w:t>6</w:t>
            </w:r>
          </w:p>
        </w:tc>
        <w:tc>
          <w:tcPr>
            <w:tcW w:w="3120" w:type="dxa"/>
            <w:tcBorders>
              <w:top w:val="nil"/>
              <w:left w:val="nil"/>
              <w:bottom w:val="nil"/>
              <w:right w:val="nil"/>
            </w:tcBorders>
          </w:tcPr>
          <w:p w14:paraId="6B298A28" w14:textId="77777777" w:rsidR="00195B7A" w:rsidRDefault="00000000">
            <w:pPr>
              <w:keepNext/>
              <w:spacing w:before="100" w:line="240" w:lineRule="auto"/>
              <w:ind w:firstLine="0"/>
            </w:pPr>
            <w:r>
              <w:t>16</w:t>
            </w:r>
          </w:p>
        </w:tc>
      </w:tr>
      <w:tr w:rsidR="00195B7A" w14:paraId="459FFCB4" w14:textId="77777777">
        <w:tc>
          <w:tcPr>
            <w:tcW w:w="3120" w:type="dxa"/>
            <w:tcBorders>
              <w:top w:val="nil"/>
              <w:left w:val="nil"/>
              <w:bottom w:val="single" w:sz="6" w:space="0" w:color="000000"/>
              <w:right w:val="nil"/>
            </w:tcBorders>
          </w:tcPr>
          <w:p w14:paraId="051D96AD" w14:textId="77777777" w:rsidR="00195B7A" w:rsidRDefault="00000000">
            <w:pPr>
              <w:spacing w:before="100" w:line="240" w:lineRule="auto"/>
              <w:ind w:firstLine="0"/>
            </w:pPr>
            <w:r>
              <w:t>Flagged patients</w:t>
            </w:r>
          </w:p>
        </w:tc>
        <w:tc>
          <w:tcPr>
            <w:tcW w:w="3120" w:type="dxa"/>
            <w:tcBorders>
              <w:top w:val="nil"/>
              <w:left w:val="nil"/>
              <w:bottom w:val="single" w:sz="6" w:space="0" w:color="000000"/>
              <w:right w:val="nil"/>
            </w:tcBorders>
          </w:tcPr>
          <w:p w14:paraId="5B2A0B5D" w14:textId="77777777" w:rsidR="00195B7A" w:rsidRDefault="00000000">
            <w:pPr>
              <w:spacing w:before="100" w:line="240" w:lineRule="auto"/>
              <w:ind w:firstLine="0"/>
            </w:pPr>
            <w:r>
              <w:t>34 of 76</w:t>
            </w:r>
          </w:p>
        </w:tc>
        <w:tc>
          <w:tcPr>
            <w:tcW w:w="3120" w:type="dxa"/>
            <w:tcBorders>
              <w:top w:val="nil"/>
              <w:left w:val="nil"/>
              <w:bottom w:val="single" w:sz="6" w:space="0" w:color="000000"/>
              <w:right w:val="nil"/>
            </w:tcBorders>
          </w:tcPr>
          <w:p w14:paraId="7702E88A" w14:textId="77777777" w:rsidR="00195B7A" w:rsidRDefault="00000000">
            <w:pPr>
              <w:spacing w:before="100" w:line="240" w:lineRule="auto"/>
              <w:ind w:firstLine="0"/>
            </w:pPr>
            <w:r>
              <w:t>51 of 76</w:t>
            </w:r>
          </w:p>
        </w:tc>
      </w:tr>
    </w:tbl>
    <w:p w14:paraId="25AE67EC" w14:textId="77777777" w:rsidR="00195B7A" w:rsidRDefault="00000000">
      <w:pPr>
        <w:ind w:firstLine="0"/>
      </w:pPr>
      <w:r>
        <w:rPr>
          <w:rFonts w:eastAsia="Times New Roman" w:cs="Times New Roman"/>
          <w:i/>
        </w:rPr>
        <w:t>Note.</w:t>
      </w:r>
      <w:r>
        <w:t xml:space="preserve"> Values come from the 76-patient test partition. Flagged patients are those predicted positive at the stated threshold. The .16 threshold was selected using test outcomes and is therefore exploratory.</w:t>
      </w:r>
    </w:p>
    <w:p w14:paraId="2ED59D1B" w14:textId="77777777" w:rsidR="00195B7A" w:rsidRDefault="00000000">
      <w:r>
        <w:rPr>
          <w:rFonts w:eastAsia="Times New Roman" w:cs="Times New Roman"/>
        </w:rPr>
        <w:t>The Brier score was .1105. A five-bin quantile calibration plot showed absolute differences between predicted and observed frequencies of approximately .036 to .085 (Figure A1). With about 15 patients per bin, this is preliminary calibration evidence. A constant prediction using test prevalence yields an illustrative Brier score of .2484; it is a descriptive benchmark rather than a fitted baseline. Neither a low Brier score nor the plot establishes reliable individual clinical probabilities.</w:t>
      </w:r>
    </w:p>
    <w:p w14:paraId="53F8DC84" w14:textId="77777777" w:rsidR="00195B7A" w:rsidRDefault="00000000">
      <w:r>
        <w:rPr>
          <w:rFonts w:eastAsia="Times New Roman" w:cs="Times New Roman"/>
        </w:rPr>
        <w:t xml:space="preserve">The notebook searched thresholds from .05 to .95 in increments of .01, minimizing C × false negatives + false positives. Equal costs selected .57, with seven missed cases and three false alarms. Assumed missed-case costs of two or more times false-alarm costs selected .16. </w:t>
      </w:r>
      <w:r>
        <w:rPr>
          <w:rFonts w:eastAsia="Times New Roman" w:cs="Times New Roman"/>
        </w:rPr>
        <w:lastRenderedPageBreak/>
        <w:t>Compared with .50, this detected seven additional disease cases while adding ten false alarms and 17 review requests (Figure A2). F1 changed little, illustrating why error counts and workload matter alongside summary metrics.</w:t>
      </w:r>
    </w:p>
    <w:p w14:paraId="0D308747" w14:textId="77777777" w:rsidR="00195B7A" w:rsidRDefault="00000000">
      <w:r>
        <w:rPr>
          <w:rFonts w:eastAsia="Times New Roman" w:cs="Times New Roman"/>
        </w:rPr>
        <w:t>These thresholds were selected and evaluated using the same test outcomes and must remain exploratory (scikit-learn developers, n.d.-c). Zero observed misses among 35 cases does not guarantee zero future misses. ROC-AUC is unchanged by threshold adjustment. The reported fold SD describes variation across five folds, not a confidence interval; the report does not establish statistically significant superiority or provide independently validated uncertainty intervals.</w:t>
      </w:r>
    </w:p>
    <w:p w14:paraId="19C261AC" w14:textId="77777777" w:rsidR="00195B7A" w:rsidRDefault="00000000">
      <w:pPr>
        <w:pStyle w:val="Heading1"/>
      </w:pPr>
      <w:r>
        <w:rPr>
          <w:rFonts w:ascii="Times New Roman" w:eastAsia="Times New Roman" w:hAnsi="Times New Roman" w:cs="Times New Roman"/>
        </w:rPr>
        <w:t>Ethical Considerations</w:t>
      </w:r>
    </w:p>
    <w:p w14:paraId="5129C3C6" w14:textId="77777777" w:rsidR="00195B7A" w:rsidRDefault="00000000">
      <w:r>
        <w:rPr>
          <w:rFonts w:eastAsia="Times New Roman" w:cs="Times New Roman"/>
        </w:rPr>
        <w:t>At .50, recall was .714 for sex = 0 and .821 for sex = 1. Lowering only the sex = 0 threshold to .30 raised recall to .857, recovering one of seven subgroup disease cases while adding one false alarm. Across 30 overlapping resampled splits, retrospectively chosen thresholds averaged .336 (</w:t>
      </w:r>
      <w:r>
        <w:rPr>
          <w:i/>
        </w:rPr>
        <w:t>SD</w:t>
      </w:r>
      <w:r>
        <w:t xml:space="preserve"> = .157), ranging from .05 to .50. The rule selected the highest searched threshold achieving recall at least as high as sex = 1 recall, rather than exact equality (Figure A3). Because each threshold used its split’s test labels, this is an instability analysis, not independent validation of a fairness remedy.</w:t>
      </w:r>
    </w:p>
    <w:p w14:paraId="4A4856ED" w14:textId="77777777" w:rsidR="00195B7A" w:rsidRDefault="00000000">
      <w:r>
        <w:rPr>
          <w:rFonts w:eastAsia="Times New Roman" w:cs="Times New Roman"/>
        </w:rPr>
        <w:t xml:space="preserve">Sex is included both as a predictor and as an auditing attribute. Removing it would not by itself establish fairness, and retaining it requires an explicit justification and subgroup monitoring (Rajkomar et al., 2018). Sex-specific troponin studies illustrate that identifying more patients does not automatically improve treatment or outcomes; they do not validate subgroup thresholds for this classifier (Lee et al., 2019). No subgroup correction is adopted here. Future evaluation </w:t>
      </w:r>
      <w:r>
        <w:rPr>
          <w:rFonts w:eastAsia="Times New Roman" w:cs="Times New Roman"/>
        </w:rPr>
        <w:lastRenderedPageBreak/>
        <w:t>should report case counts, recall, false-positive rates, and uncertainty, and examine whether flagged patients actually receive follow-up (Chen et al., 2019).</w:t>
      </w:r>
    </w:p>
    <w:p w14:paraId="543B8D53" w14:textId="77777777" w:rsidR="00195B7A" w:rsidRDefault="00000000">
      <w:r>
        <w:rPr>
          <w:rFonts w:eastAsia="Times New Roman" w:cs="Times New Roman"/>
        </w:rPr>
        <w:t>The public historical dataset does not establish consent or authorization for the proposed clinical deployment. Any future local patient data should have restricted access, encrypted storage, defined retention, and identifiers separated from model inputs. Institutional governance should determine permissible use. Population imbalance, historical care practices, and absent demographic information limit the scope of the fairness audit.</w:t>
      </w:r>
    </w:p>
    <w:p w14:paraId="0BA99115" w14:textId="77777777" w:rsidR="00195B7A" w:rsidRDefault="00000000">
      <w:pPr>
        <w:pStyle w:val="Heading1"/>
      </w:pPr>
      <w:r>
        <w:rPr>
          <w:rFonts w:ascii="Times New Roman" w:eastAsia="Times New Roman" w:hAnsi="Times New Roman" w:cs="Times New Roman"/>
        </w:rPr>
        <w:t>Real-World Application</w:t>
      </w:r>
    </w:p>
    <w:p w14:paraId="032F83A3" w14:textId="77777777" w:rsidR="00195B7A" w:rsidRDefault="00000000">
      <w:r>
        <w:rPr>
          <w:rFonts w:eastAsia="Times New Roman" w:cs="Times New Roman"/>
        </w:rPr>
        <w:t>A feasible workflow begins after required cardiac investigations are complete. Clinical staff verify the inputs, the model assigns a score, and an authorized clinician reviews the resulting worklist alongside ordinary clinical information. The score would prioritize review rather than replace diagnosis, discharge decisions, or existing care pathways. The intended benefit is more consistent review prioritization under capacity constraints; the project has not demonstrated improved outcomes, reduced costs, or faster treatment.</w:t>
      </w:r>
    </w:p>
    <w:p w14:paraId="50D9AFBF" w14:textId="77777777" w:rsidR="00195B7A" w:rsidRDefault="00000000">
      <w:r>
        <w:rPr>
          <w:rFonts w:eastAsia="Times New Roman" w:cs="Times New Roman"/>
        </w:rPr>
        <w:t>The operating threshold must reflect the consequences of delayed review, unnecessary review, and available capacity. In this sample, lowering the threshold increased the flagged proportion from 44.7% to 67.1%. The assumed cost ratios are scenarios rather than preferences elicited from clinicians or patients. Service managers would need to assess whether this workload is feasible and whether prioritization actually improves care.</w:t>
      </w:r>
    </w:p>
    <w:p w14:paraId="4A3820AF" w14:textId="77777777" w:rsidR="00195B7A" w:rsidRDefault="00000000">
      <w:r>
        <w:rPr>
          <w:rFonts w:eastAsia="Times New Roman" w:cs="Times New Roman"/>
        </w:rPr>
        <w:t xml:space="preserve">Development should first correct implementation errors and separate selection from evaluation. Preprocessing, model comparison, calibration adjustments if needed, and threshold selection should occur within development data. The locked workflow then needs evaluation on an independent contemporary cohort. A silent evaluation could compare proposed priorities with </w:t>
      </w:r>
      <w:r>
        <w:rPr>
          <w:rFonts w:eastAsia="Times New Roman" w:cs="Times New Roman"/>
        </w:rPr>
        <w:lastRenderedPageBreak/>
        <w:t>current practice before influencing care. A later pilot would require institutional approval, clinician training, clear escalation procedures, and monitoring of calibration, missed cases, false alarms, subgroup performance, and population change.</w:t>
      </w:r>
    </w:p>
    <w:p w14:paraId="664AB270" w14:textId="77777777" w:rsidR="00195B7A" w:rsidRDefault="00000000">
      <w:r>
        <w:rPr>
          <w:rFonts w:eastAsia="Times New Roman" w:cs="Times New Roman"/>
        </w:rPr>
        <w:t>The notebook’s coefficient table originally assigned input dataframe labels to the transformed coefficient vector. ColumnTransformer emits the scaled continuous columns before the passthrough remainder, so seven of 22 labels were displaced, and the value reported as maximum heart rate was in fact the coefficient for sex. Labels are now taken from the fitted transformer’s get_feature_names_out method (scikit-learn developers, n.d.-a). With correct labels, maximum heart rate carries a coefficient of −.345, consistent with its negative marginal association, and the previously reported sign reversal does not exist. Correctly labeled coefficients represent conditional associations rather than causal effects. Explanations shown to clinicians must identify the input measurements, uncertainty, and limits of the model.</w:t>
      </w:r>
    </w:p>
    <w:p w14:paraId="5AAC5CDC" w14:textId="77777777" w:rsidR="00195B7A" w:rsidRDefault="00000000">
      <w:pPr>
        <w:pStyle w:val="Heading1"/>
      </w:pPr>
      <w:r>
        <w:rPr>
          <w:rFonts w:ascii="Times New Roman" w:eastAsia="Times New Roman" w:hAnsi="Times New Roman" w:cs="Times New Roman"/>
        </w:rPr>
        <w:t>Final Thoughts and Conclusion</w:t>
      </w:r>
    </w:p>
    <w:p w14:paraId="21734C86" w14:textId="77777777" w:rsidR="00195B7A" w:rsidRDefault="00000000">
      <w:r>
        <w:rPr>
          <w:rFonts w:eastAsia="Times New Roman" w:cs="Times New Roman"/>
        </w:rPr>
        <w:t>Logistic regression remained the stronger candidate by mean nested ROC-AUC. Threshold exploration showed how similar F1 scores can conceal different missed-case counts and review demands. Subgroup experiments showed that very small case counts produce unstable retrospective threshold adjustments. These findings support reporting discrimination, calibration, error counts, workload, and uncertainty together.</w:t>
      </w:r>
    </w:p>
    <w:p w14:paraId="5F4B7A08" w14:textId="77777777" w:rsidR="00195B7A" w:rsidRDefault="00000000">
      <w:r>
        <w:rPr>
          <w:rFonts w:eastAsia="Times New Roman" w:cs="Times New Roman"/>
        </w:rPr>
        <w:t xml:space="preserve">The main limitations are the small historical cohort, full-cohort model comparison before the later test evaluation, and test-selected thresholds. The coefficient-labeling error found during review has been corrected. The next steps are to fit all preprocessing within development folds, select thresholds without test outcomes, and validate the locked procedure independently. The </w:t>
      </w:r>
      <w:r>
        <w:rPr>
          <w:rFonts w:eastAsia="Times New Roman" w:cs="Times New Roman"/>
        </w:rPr>
        <w:lastRenderedPageBreak/>
        <w:t>contribution is an evaluated research prototype and a concrete account of what remains necessary before clinical use.</w:t>
      </w:r>
    </w:p>
    <w:p w14:paraId="6D957E70" w14:textId="77777777" w:rsidR="00195B7A" w:rsidRDefault="00000000">
      <w:pPr>
        <w:pStyle w:val="Heading1"/>
      </w:pPr>
      <w:r>
        <w:rPr>
          <w:rFonts w:ascii="Times New Roman" w:eastAsia="Times New Roman" w:hAnsi="Times New Roman" w:cs="Times New Roman"/>
        </w:rPr>
        <w:t>Teamwork and Documentation</w:t>
      </w:r>
    </w:p>
    <w:p w14:paraId="1B20805B" w14:textId="77777777" w:rsidR="00195B7A" w:rsidRDefault="00000000">
      <w:r>
        <w:rPr>
          <w:rFonts w:eastAsia="Times New Roman" w:cs="Times New Roman"/>
        </w:rPr>
        <w:t>Group 8 coordinated through WhatsApp, developed analysis in shared Google Colab notebooks, and synchronized artifacts to GitHub. Christian Gaston led the problem recap, application discussion, and assembly; Subba Taniparti led tuning and evaluation metrics; Harini Mamidala contributed evaluation figures and the conclusion; Bellary Naveen Vishal led ethics and team documentation. The decision log records contributions because synchronized commits do not capture all individual authorship.</w:t>
      </w:r>
    </w:p>
    <w:p w14:paraId="48E8EBAA" w14:textId="77777777" w:rsidR="00195B7A" w:rsidRDefault="00000000">
      <w:r>
        <w:rPr>
          <w:rFonts w:eastAsia="Times New Roman" w:cs="Times New Roman"/>
        </w:rPr>
        <w:t>The repository records the nested-evaluation and threshold-selection caveats. The coefficient-labeling error was found during drafting and corrected in the notebook, which was then rerun; every other stored output was unchanged by the correction, so the figures and metrics reported here are unaffected. Reproducibility also requires recording Python and package versions, pinning the dataset source, identifying the final commit, and documenting figure regeneration. The final report should accompany the executed notebook as the authoritative Part 2 submission.</w:t>
      </w:r>
    </w:p>
    <w:p w14:paraId="2AA5B2F9" w14:textId="77777777" w:rsidR="00195B7A" w:rsidRDefault="00000000">
      <w:r>
        <w:rPr>
          <w:rFonts w:eastAsia="Times New Roman" w:cs="Times New Roman"/>
        </w:rPr>
        <w:br w:type="page"/>
      </w:r>
    </w:p>
    <w:p w14:paraId="31CFC89C" w14:textId="77777777" w:rsidR="00195B7A" w:rsidRDefault="00000000">
      <w:pPr>
        <w:pStyle w:val="Heading1"/>
      </w:pPr>
      <w:r>
        <w:rPr>
          <w:rFonts w:ascii="Times New Roman" w:eastAsia="Times New Roman" w:hAnsi="Times New Roman" w:cs="Times New Roman"/>
        </w:rPr>
        <w:lastRenderedPageBreak/>
        <w:t>References</w:t>
      </w:r>
    </w:p>
    <w:p w14:paraId="0B4FCD76" w14:textId="77777777" w:rsidR="00195B7A" w:rsidRDefault="00000000">
      <w:pPr>
        <w:keepLines/>
        <w:ind w:left="720" w:hanging="720"/>
      </w:pPr>
      <w:r>
        <w:rPr>
          <w:rFonts w:eastAsia="Times New Roman" w:cs="Times New Roman"/>
        </w:rPr>
        <w:t xml:space="preserve">Chen, I. Y., Szolovits, P., &amp; Ghassemi, M. (2019). Can AI help reduce disparities in general medical and mental health care? </w:t>
      </w:r>
      <w:r>
        <w:rPr>
          <w:rFonts w:eastAsia="Times New Roman" w:cs="Times New Roman"/>
          <w:i/>
        </w:rPr>
        <w:t>AMA Journal of Ethics, 21</w:t>
      </w:r>
      <w:r>
        <w:rPr>
          <w:rFonts w:eastAsia="Times New Roman" w:cs="Times New Roman"/>
        </w:rPr>
        <w:t>(2), E167–E179. https://doi.org/10.1001/amajethics.2019.167</w:t>
      </w:r>
    </w:p>
    <w:p w14:paraId="0F89D19B" w14:textId="77777777" w:rsidR="00195B7A" w:rsidRDefault="00000000">
      <w:pPr>
        <w:keepLines/>
        <w:ind w:left="720" w:hanging="720"/>
      </w:pPr>
      <w:r>
        <w:rPr>
          <w:rFonts w:eastAsia="Times New Roman" w:cs="Times New Roman"/>
        </w:rPr>
        <w:t xml:space="preserve">Janosi, A., Steinbrunn, W., Pfisterer, M., &amp; Detrano, R. (1989). </w:t>
      </w:r>
      <w:r>
        <w:rPr>
          <w:rFonts w:eastAsia="Times New Roman" w:cs="Times New Roman"/>
          <w:i/>
        </w:rPr>
        <w:t>Heart disease</w:t>
      </w:r>
      <w:r>
        <w:rPr>
          <w:rFonts w:eastAsia="Times New Roman" w:cs="Times New Roman"/>
        </w:rPr>
        <w:t xml:space="preserve"> [Data set]. UCI Machine Learning Repository. https://doi.org/10.24432/C52P4X</w:t>
      </w:r>
    </w:p>
    <w:p w14:paraId="353AE174" w14:textId="77777777" w:rsidR="00195B7A" w:rsidRDefault="00000000">
      <w:pPr>
        <w:keepLines/>
        <w:ind w:left="720" w:hanging="720"/>
      </w:pPr>
      <w:r>
        <w:rPr>
          <w:rFonts w:eastAsia="Times New Roman" w:cs="Times New Roman"/>
        </w:rPr>
        <w:t xml:space="preserve">Lee, K. K., Ferry, A. V., Anand, A., Strachan, F. E., Chapman, A. R., Kimenai, D. M., Meex, S. J. R., Berry, C., Findlay, I., Reid, A., Cruickshank, A., Gray, A., Collinson, P. O., Apple, F. S., McAllister, D. A., Maguire, D., Fox, K. A. A., Newby, D. E., Tuck, C., . . . Mills, N. L. (2019). Sex-specific thresholds of high-sensitivity troponin in patients with suspected acute coronary syndrome. </w:t>
      </w:r>
      <w:r>
        <w:rPr>
          <w:rFonts w:eastAsia="Times New Roman" w:cs="Times New Roman"/>
          <w:i/>
        </w:rPr>
        <w:t>Journal of the American College of Cardiology, 74</w:t>
      </w:r>
      <w:r>
        <w:rPr>
          <w:rFonts w:eastAsia="Times New Roman" w:cs="Times New Roman"/>
        </w:rPr>
        <w:t>(16), 2032–2043. https://doi.org/10.1016/j.jacc.2019.07.082</w:t>
      </w:r>
    </w:p>
    <w:p w14:paraId="2EE7F72F" w14:textId="77777777" w:rsidR="00195B7A" w:rsidRDefault="00000000">
      <w:pPr>
        <w:keepLines/>
        <w:ind w:left="720" w:hanging="720"/>
      </w:pPr>
      <w:r>
        <w:rPr>
          <w:rFonts w:eastAsia="Times New Roman" w:cs="Times New Roman"/>
        </w:rP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14:paraId="140289F6" w14:textId="77777777" w:rsidR="00195B7A" w:rsidRDefault="00000000">
      <w:pPr>
        <w:keepLines/>
        <w:ind w:left="720" w:hanging="720"/>
      </w:pPr>
      <w:r>
        <w:rPr>
          <w:rFonts w:eastAsia="Times New Roman" w:cs="Times New Roman"/>
        </w:rPr>
        <w:t xml:space="preserve">Rajkomar, A., Hardt, M., Howell, M. D., Corrado, G., &amp; Chin, M. H. (2018). Ensuring fairness in machine learning to advance health equity. </w:t>
      </w:r>
      <w:r>
        <w:rPr>
          <w:rFonts w:eastAsia="Times New Roman" w:cs="Times New Roman"/>
          <w:i/>
        </w:rPr>
        <w:t>Annals of Internal Medicine, 169</w:t>
      </w:r>
      <w:r>
        <w:rPr>
          <w:rFonts w:eastAsia="Times New Roman" w:cs="Times New Roman"/>
        </w:rPr>
        <w:t>(12), 866–872. https://doi.org/10.7326/M18-1990</w:t>
      </w:r>
    </w:p>
    <w:p w14:paraId="40736B93" w14:textId="77777777" w:rsidR="00195B7A" w:rsidRDefault="00000000">
      <w:pPr>
        <w:keepLines/>
        <w:ind w:left="720" w:hanging="720"/>
      </w:pPr>
      <w:r>
        <w:rPr>
          <w:rFonts w:eastAsia="Times New Roman" w:cs="Times New Roman"/>
        </w:rPr>
        <w:t>scikit-learn developers. (n.d.-a). ColumnTransformer. scikit-learn. https://scikit-learn.org/stable/modules/generated/sklearn.compose.ColumnTransformer.html</w:t>
      </w:r>
    </w:p>
    <w:p w14:paraId="26F2ABA3" w14:textId="77777777" w:rsidR="00195B7A" w:rsidRDefault="00000000">
      <w:pPr>
        <w:keepLines/>
        <w:ind w:left="720" w:hanging="720"/>
      </w:pPr>
      <w:r>
        <w:rPr>
          <w:rFonts w:eastAsia="Times New Roman" w:cs="Times New Roman"/>
        </w:rPr>
        <w:lastRenderedPageBreak/>
        <w:t>scikit-learn developers. (n.d.-b). Nested versus non-nested cross-validation. scikit-learn. https://scikit-learn.org/stable/auto_examples/model_selection/plot_nested_cross_validation_iris.html</w:t>
      </w:r>
    </w:p>
    <w:p w14:paraId="46AF5FC3" w14:textId="77777777" w:rsidR="00195B7A" w:rsidRDefault="00000000">
      <w:pPr>
        <w:keepLines/>
        <w:ind w:left="720" w:hanging="720"/>
      </w:pPr>
      <w:r>
        <w:rPr>
          <w:rFonts w:eastAsia="Times New Roman" w:cs="Times New Roman"/>
        </w:rPr>
        <w:t>scikit-learn developers. (n.d.-c). Tuning the decision threshold for class prediction. scikit-learn. https://scikit-learn.org/stable/modules/classification_threshold.html</w:t>
      </w:r>
    </w:p>
    <w:p w14:paraId="50F9839F" w14:textId="77777777" w:rsidR="00195B7A" w:rsidRDefault="00000000">
      <w:r>
        <w:rPr>
          <w:rFonts w:eastAsia="Times New Roman" w:cs="Times New Roman"/>
        </w:rPr>
        <w:br w:type="page"/>
      </w:r>
    </w:p>
    <w:p w14:paraId="0F3B450E" w14:textId="77777777" w:rsidR="00195B7A" w:rsidRDefault="00000000">
      <w:pPr>
        <w:pStyle w:val="Heading1"/>
      </w:pPr>
      <w:r>
        <w:rPr>
          <w:rFonts w:ascii="Times New Roman" w:eastAsia="Times New Roman" w:hAnsi="Times New Roman" w:cs="Times New Roman"/>
        </w:rPr>
        <w:lastRenderedPageBreak/>
        <w:t>Appendix</w:t>
      </w:r>
    </w:p>
    <w:p w14:paraId="6FD4D8D7" w14:textId="77777777" w:rsidR="00195B7A" w:rsidRDefault="00000000">
      <w:pPr>
        <w:pStyle w:val="Heading1"/>
      </w:pPr>
      <w:r>
        <w:rPr>
          <w:rFonts w:ascii="Times New Roman" w:eastAsia="Times New Roman" w:hAnsi="Times New Roman" w:cs="Times New Roman"/>
        </w:rPr>
        <w:t>Evaluation Figures</w:t>
      </w:r>
    </w:p>
    <w:p w14:paraId="538F9722" w14:textId="77777777" w:rsidR="00195B7A" w:rsidRDefault="00000000">
      <w:pPr>
        <w:ind w:firstLine="0"/>
      </w:pPr>
      <w:r>
        <w:rPr>
          <w:rFonts w:eastAsia="Times New Roman" w:cs="Times New Roman"/>
          <w:b/>
        </w:rPr>
        <w:t>Figure A1</w:t>
      </w:r>
    </w:p>
    <w:p w14:paraId="46A5C3E6" w14:textId="77777777" w:rsidR="00195B7A" w:rsidRDefault="00000000">
      <w:pPr>
        <w:ind w:firstLine="0"/>
      </w:pPr>
      <w:r>
        <w:rPr>
          <w:rFonts w:eastAsia="Times New Roman" w:cs="Times New Roman"/>
          <w:i/>
        </w:rPr>
        <w:t>Calibration and Predicted Disease Probabilities</w:t>
      </w:r>
    </w:p>
    <w:p w14:paraId="60593282" w14:textId="77777777" w:rsidR="00195B7A" w:rsidRDefault="00000000">
      <w:r>
        <w:rPr>
          <w:rFonts w:eastAsia="Times New Roman" w:cs="Times New Roman"/>
          <w:noProof/>
        </w:rPr>
        <w:drawing>
          <wp:inline distT="0" distB="0" distL="0" distR="0" wp14:anchorId="25BB13F0" wp14:editId="14F8AA64">
            <wp:extent cx="5943600" cy="2043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043015"/>
                    </a:xfrm>
                    <a:prstGeom prst="rect">
                      <a:avLst/>
                    </a:prstGeom>
                  </pic:spPr>
                </pic:pic>
              </a:graphicData>
            </a:graphic>
          </wp:inline>
        </w:drawing>
      </w:r>
    </w:p>
    <w:p w14:paraId="58F38AE7" w14:textId="77777777" w:rsidR="00195B7A" w:rsidRDefault="00000000">
      <w:pPr>
        <w:ind w:firstLine="0"/>
      </w:pPr>
      <w:r>
        <w:rPr>
          <w:rFonts w:eastAsia="Times New Roman" w:cs="Times New Roman"/>
          <w:i/>
        </w:rPr>
        <w:t>Note.</w:t>
      </w:r>
      <w:r>
        <w:rPr>
          <w:rFonts w:eastAsia="Times New Roman" w:cs="Times New Roman"/>
        </w:rPr>
        <w:t xml:space="preserve"> Five quantile bins summarize calibration in 76 test patients. Brier score = .1105. The small sample does not establish clinical calibration.</w:t>
      </w:r>
    </w:p>
    <w:p w14:paraId="1224AC6B" w14:textId="77777777" w:rsidR="00195B7A" w:rsidRDefault="00000000">
      <w:r>
        <w:rPr>
          <w:rFonts w:eastAsia="Times New Roman" w:cs="Times New Roman"/>
        </w:rPr>
        <w:br w:type="page"/>
      </w:r>
    </w:p>
    <w:p w14:paraId="23F738F3" w14:textId="77777777" w:rsidR="00195B7A" w:rsidRDefault="00000000">
      <w:pPr>
        <w:ind w:firstLine="0"/>
      </w:pPr>
      <w:r>
        <w:rPr>
          <w:rFonts w:eastAsia="Times New Roman" w:cs="Times New Roman"/>
          <w:b/>
        </w:rPr>
        <w:lastRenderedPageBreak/>
        <w:t>Figure A2</w:t>
      </w:r>
    </w:p>
    <w:p w14:paraId="5E507EF8" w14:textId="77777777" w:rsidR="00195B7A" w:rsidRDefault="00000000">
      <w:pPr>
        <w:ind w:firstLine="0"/>
      </w:pPr>
      <w:r>
        <w:rPr>
          <w:rFonts w:eastAsia="Times New Roman" w:cs="Times New Roman"/>
          <w:i/>
        </w:rPr>
        <w:t>Confusion Matrices at Default and Exploratory Thresholds</w:t>
      </w:r>
    </w:p>
    <w:p w14:paraId="5123CEE1" w14:textId="77777777" w:rsidR="00195B7A" w:rsidRDefault="00000000">
      <w:r>
        <w:rPr>
          <w:rFonts w:eastAsia="Times New Roman" w:cs="Times New Roman"/>
          <w:noProof/>
        </w:rPr>
        <w:drawing>
          <wp:inline distT="0" distB="0" distL="0" distR="0" wp14:anchorId="22AD8DC1" wp14:editId="7723ED44">
            <wp:extent cx="5943600" cy="2096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096620"/>
                    </a:xfrm>
                    <a:prstGeom prst="rect">
                      <a:avLst/>
                    </a:prstGeom>
                  </pic:spPr>
                </pic:pic>
              </a:graphicData>
            </a:graphic>
          </wp:inline>
        </w:drawing>
      </w:r>
    </w:p>
    <w:p w14:paraId="65C45EF5" w14:textId="77777777" w:rsidR="00195B7A" w:rsidRDefault="00000000">
      <w:pPr>
        <w:ind w:firstLine="0"/>
      </w:pPr>
      <w:r>
        <w:rPr>
          <w:rFonts w:eastAsia="Times New Roman" w:cs="Times New Roman"/>
          <w:i/>
        </w:rPr>
        <w:t>Note.</w:t>
      </w:r>
      <w:r>
        <w:rPr>
          <w:rFonts w:eastAsia="Times New Roman" w:cs="Times New Roman"/>
        </w:rPr>
        <w:t xml:space="preserve"> The .16 threshold was selected using test outcomes. Compared with .50, it adds ten false alarms and recovers seven disease cases. These results require independent validation.</w:t>
      </w:r>
    </w:p>
    <w:p w14:paraId="397BD950" w14:textId="77777777" w:rsidR="00195B7A" w:rsidRDefault="00000000">
      <w:r>
        <w:rPr>
          <w:rFonts w:eastAsia="Times New Roman" w:cs="Times New Roman"/>
        </w:rPr>
        <w:br w:type="page"/>
      </w:r>
    </w:p>
    <w:p w14:paraId="5F4C92A6" w14:textId="77777777" w:rsidR="00195B7A" w:rsidRDefault="00000000">
      <w:pPr>
        <w:ind w:firstLine="0"/>
      </w:pPr>
      <w:r>
        <w:rPr>
          <w:rFonts w:eastAsia="Times New Roman" w:cs="Times New Roman"/>
          <w:b/>
        </w:rPr>
        <w:lastRenderedPageBreak/>
        <w:t>Figure A3</w:t>
      </w:r>
    </w:p>
    <w:p w14:paraId="17A2DA2D" w14:textId="77777777" w:rsidR="00195B7A" w:rsidRDefault="00000000">
      <w:pPr>
        <w:ind w:firstLine="0"/>
      </w:pPr>
      <w:r>
        <w:rPr>
          <w:rFonts w:eastAsia="Times New Roman" w:cs="Times New Roman"/>
          <w:i/>
        </w:rPr>
        <w:t>Retrospective Subgroup Thresholds Across Resampled Splits</w:t>
      </w:r>
    </w:p>
    <w:p w14:paraId="5D98AB17" w14:textId="77777777" w:rsidR="00195B7A" w:rsidRDefault="00000000">
      <w:r>
        <w:rPr>
          <w:rFonts w:eastAsia="Times New Roman" w:cs="Times New Roman"/>
          <w:noProof/>
        </w:rPr>
        <w:drawing>
          <wp:inline distT="0" distB="0" distL="0" distR="0" wp14:anchorId="385246D6" wp14:editId="47744041">
            <wp:extent cx="5943600" cy="2046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046006"/>
                    </a:xfrm>
                    <a:prstGeom prst="rect">
                      <a:avLst/>
                    </a:prstGeom>
                  </pic:spPr>
                </pic:pic>
              </a:graphicData>
            </a:graphic>
          </wp:inline>
        </w:drawing>
      </w:r>
    </w:p>
    <w:p w14:paraId="44E87AC8" w14:textId="77777777" w:rsidR="00195B7A" w:rsidRDefault="00000000">
      <w:pPr>
        <w:ind w:firstLine="0"/>
      </w:pPr>
      <w:r>
        <w:rPr>
          <w:rFonts w:eastAsia="Times New Roman" w:cs="Times New Roman"/>
          <w:i/>
        </w:rPr>
        <w:t>Note.</w:t>
      </w:r>
      <w:r>
        <w:rPr>
          <w:rFonts w:eastAsia="Times New Roman" w:cs="Times New Roman"/>
        </w:rPr>
        <w:t xml:space="preserve"> Across 30 overlapping splits, thresholds achieving at least the comparison-group recall ranged from .05 to .50. Each threshold used that split’s test labels; this plot demonstrates instability rather than a validated fairness correction.</w:t>
      </w:r>
    </w:p>
    <w:sectPr w:rsidR="00195B7A"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25FA39" w14:textId="77777777" w:rsidR="00A1477C" w:rsidRDefault="00A1477C">
      <w:pPr>
        <w:spacing w:line="240" w:lineRule="auto"/>
      </w:pPr>
      <w:r>
        <w:separator/>
      </w:r>
    </w:p>
  </w:endnote>
  <w:endnote w:type="continuationSeparator" w:id="0">
    <w:p w14:paraId="6435DB96" w14:textId="77777777" w:rsidR="00A1477C" w:rsidRDefault="00A14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0EC78D" w14:textId="77777777" w:rsidR="00A1477C" w:rsidRDefault="00A1477C">
      <w:pPr>
        <w:spacing w:line="240" w:lineRule="auto"/>
      </w:pPr>
      <w:r>
        <w:separator/>
      </w:r>
    </w:p>
  </w:footnote>
  <w:footnote w:type="continuationSeparator" w:id="0">
    <w:p w14:paraId="08C4F850" w14:textId="77777777" w:rsidR="00A1477C" w:rsidRDefault="00A14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0F3E1" w14:textId="77777777" w:rsidR="00195B7A" w:rsidRDefault="00000000">
    <w:pPr>
      <w:pStyle w:val="Header"/>
      <w:jc w:val="right"/>
    </w:pPr>
    <w:r>
      <w:fldChar w:fldCharType="begin"/>
    </w:r>
    <w:r>
      <w:instrText>PAGE</w:instrText>
    </w:r>
    <w:r>
      <w:fldChar w:fldCharType="separate"/>
    </w:r>
    <w:r w:rsidR="0066199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974033">
    <w:abstractNumId w:val="8"/>
  </w:num>
  <w:num w:numId="2" w16cid:durableId="1538813586">
    <w:abstractNumId w:val="6"/>
  </w:num>
  <w:num w:numId="3" w16cid:durableId="1881894166">
    <w:abstractNumId w:val="5"/>
  </w:num>
  <w:num w:numId="4" w16cid:durableId="603002426">
    <w:abstractNumId w:val="4"/>
  </w:num>
  <w:num w:numId="5" w16cid:durableId="170804633">
    <w:abstractNumId w:val="7"/>
  </w:num>
  <w:num w:numId="6" w16cid:durableId="266933484">
    <w:abstractNumId w:val="3"/>
  </w:num>
  <w:num w:numId="7" w16cid:durableId="1002011037">
    <w:abstractNumId w:val="2"/>
  </w:num>
  <w:num w:numId="8" w16cid:durableId="461465370">
    <w:abstractNumId w:val="1"/>
  </w:num>
  <w:num w:numId="9" w16cid:durableId="20378512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B7A"/>
    <w:rsid w:val="0029639D"/>
    <w:rsid w:val="00326F90"/>
    <w:rsid w:val="0066199C"/>
    <w:rsid w:val="00745B06"/>
    <w:rsid w:val="00A147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87C1D"/>
  <w14:defaultImageDpi w14:val="300"/>
  <w15:docId w15:val="{126910F7-2FE1-6648-B654-F623E29C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2066</Words>
  <Characters>13012</Characters>
  <Application>Microsoft Office Word</Application>
  <DocSecurity>0</DocSecurity>
  <Lines>239</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Model Optimization and Ethical Evaluation</dc:title>
  <dc:subject/>
  <dc:creator>Subba Taniparti, Harini Mamidala, Christian Gaston, and Bellary Naveen Vishal</dc:creator>
  <cp:keywords/>
  <dc:description/>
  <cp:lastModifiedBy>Subba Taniparti</cp:lastModifiedBy>
  <cp:revision>2</cp:revision>
  <dcterms:created xsi:type="dcterms:W3CDTF">2013-12-23T23:15:00Z</dcterms:created>
  <dcterms:modified xsi:type="dcterms:W3CDTF">2026-10-14T18:33:00Z</dcterms:modified>
  <cp:category/>
</cp:coreProperties>
</file>