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2755" w14:textId="54771971" w:rsidR="004D65E3" w:rsidRPr="004D65E3" w:rsidRDefault="004D65E3" w:rsidP="004D65E3">
      <w:pPr>
        <w:spacing w:line="480" w:lineRule="auto"/>
      </w:pPr>
      <w:r w:rsidRPr="004D65E3">
        <w:pict w14:anchorId="180D0597">
          <v:rect id="_x0000_i1043" style="width:0;height:0" o:hralign="center" o:hrstd="t" o:hr="t" fillcolor="#a0a0a0" stroked="f"/>
        </w:pict>
      </w:r>
    </w:p>
    <w:p w14:paraId="3825B8CD" w14:textId="77777777" w:rsidR="004D65E3" w:rsidRPr="004D65E3" w:rsidRDefault="004D65E3" w:rsidP="004D65E3">
      <w:pPr>
        <w:spacing w:line="480" w:lineRule="auto"/>
        <w:rPr>
          <w:b/>
          <w:bCs/>
        </w:rPr>
      </w:pPr>
      <w:r w:rsidRPr="004D65E3">
        <w:rPr>
          <w:b/>
          <w:bCs/>
        </w:rPr>
        <w:t>RECAP: PROBLEM DEFINITION, STAKEHOLDER IDENTIFICATION, AND DATASET CHARACTERIZATION</w:t>
      </w:r>
    </w:p>
    <w:p w14:paraId="1A2F70E8" w14:textId="77777777" w:rsidR="004D65E3" w:rsidRPr="004D65E3" w:rsidRDefault="004D65E3" w:rsidP="004D65E3">
      <w:pPr>
        <w:spacing w:line="480" w:lineRule="auto"/>
      </w:pPr>
      <w:r w:rsidRPr="004D65E3">
        <w:t xml:space="preserve">Cardiovascular disease remains the leading cause of mortality globally, accounting for approximately 17.9 million deaths annually (World Health Organization, 2021). While therapeutic interventions for cardiac conditions have advanced substantially, the clinical challenge persists in early identification and appropriate triage of at-risk patients. The fundamental tension in clinical practice emerges from resource constraints: cardiologist referrals and invasive diagnostic procedures such as coronary angiography are both costly and carry procedural risk, rendering universal screening impractical. Conversely, overly conservative referral thresholds result in missed diagnoses and delayed intervention, with documented associations to adverse patient outcomes (Framingham Heart Study, 2019). This project addresses this triage dilemma through the development of a clinical decision-support prototype designed to estimate cardiovascular disease risk using thirteen routinely collected clinical measurements obtained during standard clinical </w:t>
      </w:r>
      <w:proofErr w:type="gramStart"/>
      <w:r w:rsidRPr="004D65E3">
        <w:t>workup—</w:t>
      </w:r>
      <w:proofErr w:type="gramEnd"/>
      <w:r w:rsidRPr="004D65E3">
        <w:t>measurements that require no invasive procedures or specialized testing infrastructure.</w:t>
      </w:r>
    </w:p>
    <w:p w14:paraId="290B455B" w14:textId="77777777" w:rsidR="004D65E3" w:rsidRPr="004D65E3" w:rsidRDefault="004D65E3" w:rsidP="004D65E3">
      <w:pPr>
        <w:spacing w:line="480" w:lineRule="auto"/>
      </w:pPr>
      <w:r w:rsidRPr="004D65E3">
        <w:t xml:space="preserve">The intended application of this prototype is explicitly positioned as triage support rather than diagnostic determination. The system is designed to flag patients presenting with chest pain who warrant further cardiac investigation, thereby optimizing referral patterns and resource allocation within healthcare systems. This distinction between decision support and diagnosis is critical to the ethical and regulatory framing of the work, as it </w:t>
      </w:r>
      <w:r w:rsidRPr="004D65E3">
        <w:lastRenderedPageBreak/>
        <w:t>positions the model as an adjunct to clinical judgment rather than a replacement for it (</w:t>
      </w:r>
      <w:proofErr w:type="spellStart"/>
      <w:r w:rsidRPr="004D65E3">
        <w:t>Rajkomar</w:t>
      </w:r>
      <w:proofErr w:type="spellEnd"/>
      <w:r w:rsidRPr="004D65E3">
        <w:t xml:space="preserve"> et al., 2018).</w:t>
      </w:r>
    </w:p>
    <w:p w14:paraId="30707C11" w14:textId="77777777" w:rsidR="004D65E3" w:rsidRPr="004D65E3" w:rsidRDefault="004D65E3" w:rsidP="004D65E3">
      <w:pPr>
        <w:spacing w:line="480" w:lineRule="auto"/>
      </w:pPr>
      <w:r w:rsidRPr="004D65E3">
        <w:t xml:space="preserve">The primary stakeholders in this system include three distinct populations. First, patients presenting with chest pain or cardiac symptoms represent the ultimate beneficiaries, as improved triage accuracy directly influences the timeliness and appropriateness of their diagnostic pathways. Second, cardiologists and other clinical </w:t>
      </w:r>
      <w:proofErr w:type="gramStart"/>
      <w:r w:rsidRPr="004D65E3">
        <w:t>decision-makers</w:t>
      </w:r>
      <w:proofErr w:type="gramEnd"/>
      <w:r w:rsidRPr="004D65E3">
        <w:t xml:space="preserve"> serve as the immediate users of the system, relying on its risk estimates to inform referral decisions and resource prioritization. Third, healthcare systems and institutional administrators benefit from optimized resource allocation, reduced unnecessary procedures, and improved population-level cardiac outcomes. Each stakeholder group brings distinct priorities and constraints that must be balanced in system design and deployment.</w:t>
      </w:r>
    </w:p>
    <w:p w14:paraId="66546101" w14:textId="77777777" w:rsidR="004D65E3" w:rsidRPr="004D65E3" w:rsidRDefault="004D65E3" w:rsidP="004D65E3">
      <w:pPr>
        <w:spacing w:line="480" w:lineRule="auto"/>
      </w:pPr>
      <w:r w:rsidRPr="004D65E3">
        <w:t xml:space="preserve">The dataset employed in this analysis is the </w:t>
      </w:r>
      <w:proofErr w:type="gramStart"/>
      <w:r w:rsidRPr="004D65E3">
        <w:t>Heart Disease</w:t>
      </w:r>
      <w:proofErr w:type="gramEnd"/>
      <w:r w:rsidRPr="004D65E3">
        <w:t xml:space="preserve"> dataset derived from the Cleveland Clinic Foundation, originally compiled by Janosi et al. (1989) and subsequently made available through the UCI Machine Learning Repository. The dataset comprises 302 patient records following removal of one exact duplicate entry during preprocessing, with each record containing thirteen clinical features measured during routine cardiac workup. These features encompass standard laboratory values, vital signs, and electrocardiographic measurements, including age, sex, chest pain type, resting blood pressure, serum cholesterol, fasting blood glucose status, resting electrocardiographic results, maximum heart rate achieved, exercise-induced angina, ST depression induced by exercise, slope of the ST segment, number of major vessels colored by fluoroscopy, and thalassemia status. Following categorical encoding and preprocessing, the feature space </w:t>
      </w:r>
      <w:r w:rsidRPr="004D65E3">
        <w:lastRenderedPageBreak/>
        <w:t>expanded to twenty-two encoded variables. The dataset exhibits notable demographic variation, with disease prevalence of 25.0% among patients coded as sex=0 and 55.3% among patients coded as sex=1, a disparity that carries implications for model fairness and subgroup performance analysis (Janosi et al., 1989).</w:t>
      </w:r>
    </w:p>
    <w:p w14:paraId="4E1A527B" w14:textId="77777777" w:rsidR="004D65E3" w:rsidRPr="004D65E3" w:rsidRDefault="004D65E3" w:rsidP="004D65E3">
      <w:pPr>
        <w:spacing w:line="480" w:lineRule="auto"/>
      </w:pPr>
      <w:r w:rsidRPr="004D65E3">
        <w:pict w14:anchorId="469C404E">
          <v:rect id="_x0000_i1044" style="width:0;height:0" o:hralign="center" o:hrstd="t" o:hr="t" fillcolor="#a0a0a0" stroked="f"/>
        </w:pict>
      </w:r>
    </w:p>
    <w:p w14:paraId="62DB20D5" w14:textId="77777777" w:rsidR="004D65E3" w:rsidRPr="004D65E3" w:rsidRDefault="004D65E3" w:rsidP="004D65E3">
      <w:pPr>
        <w:spacing w:line="480" w:lineRule="auto"/>
        <w:rPr>
          <w:b/>
          <w:bCs/>
        </w:rPr>
      </w:pPr>
      <w:r w:rsidRPr="004D65E3">
        <w:rPr>
          <w:b/>
          <w:bCs/>
        </w:rPr>
        <w:t>REAL-WORLD APPLICATION: DEPLOYMENT CONTEXT AND CLINICAL INTEGRATION</w:t>
      </w:r>
    </w:p>
    <w:p w14:paraId="0B8777A7" w14:textId="77777777" w:rsidR="004D65E3" w:rsidRPr="004D65E3" w:rsidRDefault="004D65E3" w:rsidP="004D65E3">
      <w:pPr>
        <w:spacing w:line="480" w:lineRule="auto"/>
      </w:pPr>
      <w:r w:rsidRPr="004D65E3">
        <w:t>The transition from model development to clinical deployment requires careful consideration of how algorithmic outputs translate into actionable clinical decisions within existing healthcare workflows. The decision-support prototype developed through this project is designed for integration into triage workflows in emergency departments, urgent care settings, and primary care clinics where patients present with chest pain or cardiac symptoms. Rather than replacing clinical judgment, the system provides probabilistic risk estimates that clinicians can incorporate into their decision-making process alongside physical examination findings, patient history, and institutional protocols.</w:t>
      </w:r>
    </w:p>
    <w:p w14:paraId="67060733" w14:textId="77777777" w:rsidR="004D65E3" w:rsidRPr="004D65E3" w:rsidRDefault="004D65E3" w:rsidP="004D65E3">
      <w:pPr>
        <w:spacing w:line="480" w:lineRule="auto"/>
      </w:pPr>
      <w:r w:rsidRPr="004D65E3">
        <w:t xml:space="preserve">A practical deployment scenario illustrates this integration. When a patient presents to an emergency department with chest pain, clinical staff collect the thirteen routine measurements specified in the model's feature set—measurements that are already standard components of cardiac workup in most healthcare settings. These measurements are entered into the decision-support system, which returns a calibrated probability estimate of underlying cardiovascular disease. This probability estimate, combined with clinical assessment, informs the referral decision: patients with high </w:t>
      </w:r>
      <w:r w:rsidRPr="004D65E3">
        <w:lastRenderedPageBreak/>
        <w:t>model-estimated risk and clinical indicators of cardiac disease proceed to cardiology consultation and further diagnostic testing, while patients with low model-estimated risk may be managed through alternative pathways or discharged with appropriate follow-up. The key advantage of this approach is that it systematizes risk assessment, reducing variability in referral patterns that often arise from differences in clinician experience, cognitive load, or implicit biases.</w:t>
      </w:r>
    </w:p>
    <w:p w14:paraId="6D4F1EF1" w14:textId="77777777" w:rsidR="004D65E3" w:rsidRPr="004D65E3" w:rsidRDefault="004D65E3" w:rsidP="004D65E3">
      <w:pPr>
        <w:spacing w:line="480" w:lineRule="auto"/>
      </w:pPr>
      <w:r w:rsidRPr="004D65E3">
        <w:t xml:space="preserve">The asymmetric cost structure inherent in cardiac triage creates specific requirements for threshold calibration. A false negative—failing to refer a patient with underlying disease—carries substantial clinical cost, potentially resulting in delayed diagnosis, disease progression, and adverse outcomes including myocardial infarction or sudden cardiac death. In contrast, a false positive—referring a patient without disease for further testing—incurs costs primarily in terms of resource utilization and patient </w:t>
      </w:r>
      <w:proofErr w:type="gramStart"/>
      <w:r w:rsidRPr="004D65E3">
        <w:t>anxiety, but</w:t>
      </w:r>
      <w:proofErr w:type="gramEnd"/>
      <w:r w:rsidRPr="004D65E3">
        <w:t xml:space="preserve"> does not directly endanger patient safety. This asymmetry necessitates careful threshold selection, moving beyond the default decision boundary of 0.5 to a threshold that reflects the relative costs of missed cases versus unnecessary referrals. Part 2 analysis explored group-specific thresholds as a potential mechanism to address observed performance disparities between patient subgroups, though stability concerns emerged regarding the robustness of such thresholds across different data samples.</w:t>
      </w:r>
    </w:p>
    <w:p w14:paraId="0F630794" w14:textId="77777777" w:rsidR="004D65E3" w:rsidRPr="004D65E3" w:rsidRDefault="004D65E3" w:rsidP="004D65E3">
      <w:pPr>
        <w:spacing w:line="480" w:lineRule="auto"/>
      </w:pPr>
      <w:r w:rsidRPr="004D65E3">
        <w:t xml:space="preserve">Calibration of predicted probabilities emerges as a critical requirement for clinical trustworthiness and appropriate threshold setting. A well-calibrated model produces probability estimates that accurately reflect true disease prevalence within risk strata—that is, among patients assigned a 70% risk probability, approximately 70% </w:t>
      </w:r>
      <w:proofErr w:type="gramStart"/>
      <w:r w:rsidRPr="004D65E3">
        <w:t>actually have</w:t>
      </w:r>
      <w:proofErr w:type="gramEnd"/>
      <w:r w:rsidRPr="004D65E3">
        <w:t xml:space="preserve"> </w:t>
      </w:r>
      <w:r w:rsidRPr="004D65E3">
        <w:lastRenderedPageBreak/>
        <w:t xml:space="preserve">disease. Miscalibration, whether in the direction of overconfidence or </w:t>
      </w:r>
      <w:proofErr w:type="spellStart"/>
      <w:r w:rsidRPr="004D65E3">
        <w:t>underconfidence</w:t>
      </w:r>
      <w:proofErr w:type="spellEnd"/>
      <w:r w:rsidRPr="004D65E3">
        <w:t>, undermines the clinical utility of the system by distorting the relationship between model output and actual risk. Healthcare providers must be able to interpret the model's probability estimates as meaningful clinical information rather than as abstract algorithmic scores. This requirement for calibration extends beyond statistical performance metrics to encompass the broader goal of building clinician trust and appropriate reliance on the decision-support system.</w:t>
      </w:r>
    </w:p>
    <w:p w14:paraId="65266E56" w14:textId="77777777" w:rsidR="004D65E3" w:rsidRPr="004D65E3" w:rsidRDefault="004D65E3" w:rsidP="004D65E3">
      <w:pPr>
        <w:spacing w:line="480" w:lineRule="auto"/>
      </w:pPr>
      <w:r w:rsidRPr="004D65E3">
        <w:t>Implementation of such a system within healthcare settings also requires attention to data governance, model monitoring, and performance tracking across diverse patient populations. The model's performance must be validated prospectively in the target clinical setting, with ongoing surveillance for performance drift or systematic disparities in accuracy across demographic subgroups. This monitoring framework ensures that the system continues to function as intended and that any emerging performance concerns are identified and addressed promptly. Additionally, clear documentation of model limitations, appropriate use cases, and contraindications must accompany deployment to ensure that clinicians understand the scope and boundaries of the system's applicability.</w:t>
      </w:r>
    </w:p>
    <w:p w14:paraId="0E63D494" w14:textId="77777777" w:rsidR="004D65E3" w:rsidRPr="004D65E3" w:rsidRDefault="004D65E3" w:rsidP="004D65E3">
      <w:pPr>
        <w:spacing w:line="480" w:lineRule="auto"/>
      </w:pPr>
      <w:r w:rsidRPr="004D65E3">
        <w:pict w14:anchorId="735BD0FE">
          <v:rect id="_x0000_i1045" style="width:0;height:0" o:hralign="center" o:hrstd="t" o:hr="t" fillcolor="#a0a0a0" stroked="f"/>
        </w:pict>
      </w:r>
    </w:p>
    <w:p w14:paraId="4948E73D" w14:textId="77777777" w:rsidR="004D65E3" w:rsidRDefault="004D65E3" w:rsidP="004D65E3">
      <w:pPr>
        <w:spacing w:line="480" w:lineRule="auto"/>
        <w:rPr>
          <w:b/>
          <w:bCs/>
        </w:rPr>
      </w:pPr>
    </w:p>
    <w:p w14:paraId="6AAC0080" w14:textId="77777777" w:rsidR="004D65E3" w:rsidRDefault="004D65E3" w:rsidP="004D65E3">
      <w:pPr>
        <w:spacing w:line="480" w:lineRule="auto"/>
        <w:rPr>
          <w:b/>
          <w:bCs/>
        </w:rPr>
      </w:pPr>
    </w:p>
    <w:p w14:paraId="74D8F930" w14:textId="77777777" w:rsidR="004D65E3" w:rsidRDefault="004D65E3" w:rsidP="004D65E3">
      <w:pPr>
        <w:spacing w:line="480" w:lineRule="auto"/>
        <w:rPr>
          <w:b/>
          <w:bCs/>
        </w:rPr>
      </w:pPr>
    </w:p>
    <w:p w14:paraId="26DEE47E" w14:textId="639C0E2E" w:rsidR="004D65E3" w:rsidRPr="004D65E3" w:rsidRDefault="004D65E3" w:rsidP="004D65E3">
      <w:pPr>
        <w:spacing w:line="480" w:lineRule="auto"/>
        <w:rPr>
          <w:b/>
          <w:bCs/>
        </w:rPr>
      </w:pPr>
      <w:r w:rsidRPr="004D65E3">
        <w:rPr>
          <w:b/>
          <w:bCs/>
        </w:rPr>
        <w:lastRenderedPageBreak/>
        <w:t>REFERENCES</w:t>
      </w:r>
    </w:p>
    <w:p w14:paraId="4FF08E7D" w14:textId="77777777" w:rsidR="004D65E3" w:rsidRPr="004D65E3" w:rsidRDefault="004D65E3" w:rsidP="004D65E3">
      <w:pPr>
        <w:spacing w:line="480" w:lineRule="auto"/>
      </w:pPr>
      <w:r w:rsidRPr="004D65E3">
        <w:t>Framingham Heart Study. (2019). Cardiovascular disease outcomes in the Framingham Heart Study. National Heart, Lung, and Blood Institute.</w:t>
      </w:r>
    </w:p>
    <w:p w14:paraId="5A972DA5" w14:textId="77777777" w:rsidR="004D65E3" w:rsidRPr="004D65E3" w:rsidRDefault="004D65E3" w:rsidP="004D65E3">
      <w:pPr>
        <w:spacing w:line="480" w:lineRule="auto"/>
      </w:pPr>
      <w:r w:rsidRPr="004D65E3">
        <w:t xml:space="preserve">Janosi, A., </w:t>
      </w:r>
      <w:proofErr w:type="spellStart"/>
      <w:r w:rsidRPr="004D65E3">
        <w:t>Steinbrunn</w:t>
      </w:r>
      <w:proofErr w:type="spellEnd"/>
      <w:r w:rsidRPr="004D65E3">
        <w:t>, W., Pfisterer, M., &amp; Detrano, R. (1989). Heart disease. UCI Machine Learning Repository. </w:t>
      </w:r>
      <w:hyperlink r:id="rId4" w:tgtFrame="_blank" w:history="1">
        <w:r w:rsidRPr="004D65E3">
          <w:rPr>
            <w:rStyle w:val="Hyperlink"/>
          </w:rPr>
          <w:t>https://doi.org/10.24432/C52P4V</w:t>
        </w:r>
      </w:hyperlink>
    </w:p>
    <w:p w14:paraId="74BF03C8" w14:textId="77777777" w:rsidR="004D65E3" w:rsidRPr="004D65E3" w:rsidRDefault="004D65E3" w:rsidP="004D65E3">
      <w:pPr>
        <w:spacing w:line="480" w:lineRule="auto"/>
      </w:pPr>
      <w:proofErr w:type="spellStart"/>
      <w:r w:rsidRPr="004D65E3">
        <w:t>Rajkomar</w:t>
      </w:r>
      <w:proofErr w:type="spellEnd"/>
      <w:r w:rsidRPr="004D65E3">
        <w:t>, A., Hardt, M., Howell, M. D., Corrado, G., &amp; Chin, M. H. (2018). Ensuring fairness in machine learning to advance health equity. Annals of Internal Medicine, 169(12), 866–872. </w:t>
      </w:r>
      <w:hyperlink r:id="rId5" w:tgtFrame="_blank" w:history="1">
        <w:r w:rsidRPr="004D65E3">
          <w:rPr>
            <w:rStyle w:val="Hyperlink"/>
          </w:rPr>
          <w:t>https://doi.org/10.7326/M18-1990</w:t>
        </w:r>
      </w:hyperlink>
    </w:p>
    <w:p w14:paraId="5F00FEA0" w14:textId="77777777" w:rsidR="004D65E3" w:rsidRPr="004D65E3" w:rsidRDefault="004D65E3" w:rsidP="004D65E3">
      <w:pPr>
        <w:spacing w:line="480" w:lineRule="auto"/>
      </w:pPr>
      <w:r w:rsidRPr="004D65E3">
        <w:t>World Health Organization. (2021). Cardiovascular diseases (CVDs). Retrieved from </w:t>
      </w:r>
      <w:hyperlink r:id="rId6" w:tgtFrame="_blank" w:history="1">
        <w:r w:rsidRPr="004D65E3">
          <w:rPr>
            <w:rStyle w:val="Hyperlink"/>
          </w:rPr>
          <w:t>https://www.who.int/news-room/fact-sheets/detail/cardiovascular-diseases-(cvds)</w:t>
        </w:r>
      </w:hyperlink>
    </w:p>
    <w:p w14:paraId="3698CD43" w14:textId="77777777" w:rsidR="00713437" w:rsidRDefault="00713437" w:rsidP="004D65E3">
      <w:pPr>
        <w:spacing w:line="480" w:lineRule="auto"/>
      </w:pPr>
    </w:p>
    <w:sectPr w:rsidR="00713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84E"/>
    <w:rsid w:val="000C6924"/>
    <w:rsid w:val="000D4BE1"/>
    <w:rsid w:val="002A284E"/>
    <w:rsid w:val="004D65E3"/>
    <w:rsid w:val="00713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96ED"/>
  <w15:chartTrackingRefBased/>
  <w15:docId w15:val="{6D9DA4C5-CEDB-4685-BDFE-DEF176ACC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84E"/>
    <w:rPr>
      <w:rFonts w:eastAsiaTheme="majorEastAsia" w:cstheme="majorBidi"/>
      <w:color w:val="272727" w:themeColor="text1" w:themeTint="D8"/>
    </w:rPr>
  </w:style>
  <w:style w:type="paragraph" w:styleId="Title">
    <w:name w:val="Title"/>
    <w:basedOn w:val="Normal"/>
    <w:next w:val="Normal"/>
    <w:link w:val="TitleChar"/>
    <w:uiPriority w:val="10"/>
    <w:qFormat/>
    <w:rsid w:val="002A2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84E"/>
    <w:pPr>
      <w:spacing w:before="160"/>
      <w:jc w:val="center"/>
    </w:pPr>
    <w:rPr>
      <w:i/>
      <w:iCs/>
      <w:color w:val="404040" w:themeColor="text1" w:themeTint="BF"/>
    </w:rPr>
  </w:style>
  <w:style w:type="character" w:customStyle="1" w:styleId="QuoteChar">
    <w:name w:val="Quote Char"/>
    <w:basedOn w:val="DefaultParagraphFont"/>
    <w:link w:val="Quote"/>
    <w:uiPriority w:val="29"/>
    <w:rsid w:val="002A284E"/>
    <w:rPr>
      <w:i/>
      <w:iCs/>
      <w:color w:val="404040" w:themeColor="text1" w:themeTint="BF"/>
    </w:rPr>
  </w:style>
  <w:style w:type="paragraph" w:styleId="ListParagraph">
    <w:name w:val="List Paragraph"/>
    <w:basedOn w:val="Normal"/>
    <w:uiPriority w:val="34"/>
    <w:qFormat/>
    <w:rsid w:val="002A284E"/>
    <w:pPr>
      <w:ind w:left="720"/>
      <w:contextualSpacing/>
    </w:pPr>
  </w:style>
  <w:style w:type="character" w:styleId="IntenseEmphasis">
    <w:name w:val="Intense Emphasis"/>
    <w:basedOn w:val="DefaultParagraphFont"/>
    <w:uiPriority w:val="21"/>
    <w:qFormat/>
    <w:rsid w:val="002A284E"/>
    <w:rPr>
      <w:i/>
      <w:iCs/>
      <w:color w:val="0F4761" w:themeColor="accent1" w:themeShade="BF"/>
    </w:rPr>
  </w:style>
  <w:style w:type="paragraph" w:styleId="IntenseQuote">
    <w:name w:val="Intense Quote"/>
    <w:basedOn w:val="Normal"/>
    <w:next w:val="Normal"/>
    <w:link w:val="IntenseQuoteChar"/>
    <w:uiPriority w:val="30"/>
    <w:qFormat/>
    <w:rsid w:val="002A2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84E"/>
    <w:rPr>
      <w:i/>
      <w:iCs/>
      <w:color w:val="0F4761" w:themeColor="accent1" w:themeShade="BF"/>
    </w:rPr>
  </w:style>
  <w:style w:type="character" w:styleId="IntenseReference">
    <w:name w:val="Intense Reference"/>
    <w:basedOn w:val="DefaultParagraphFont"/>
    <w:uiPriority w:val="32"/>
    <w:qFormat/>
    <w:rsid w:val="002A284E"/>
    <w:rPr>
      <w:b/>
      <w:bCs/>
      <w:smallCaps/>
      <w:color w:val="0F4761" w:themeColor="accent1" w:themeShade="BF"/>
      <w:spacing w:val="5"/>
    </w:rPr>
  </w:style>
  <w:style w:type="character" w:styleId="Hyperlink">
    <w:name w:val="Hyperlink"/>
    <w:basedOn w:val="DefaultParagraphFont"/>
    <w:uiPriority w:val="99"/>
    <w:unhideWhenUsed/>
    <w:rsid w:val="004D65E3"/>
    <w:rPr>
      <w:color w:val="467886" w:themeColor="hyperlink"/>
      <w:u w:val="single"/>
    </w:rPr>
  </w:style>
  <w:style w:type="character" w:styleId="UnresolvedMention">
    <w:name w:val="Unresolved Mention"/>
    <w:basedOn w:val="DefaultParagraphFont"/>
    <w:uiPriority w:val="99"/>
    <w:semiHidden/>
    <w:unhideWhenUsed/>
    <w:rsid w:val="004D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o.int/news-room/fact-sheets/detail/cardiovascular-diseases-(cvds)" TargetMode="External"/><Relationship Id="rId5" Type="http://schemas.openxmlformats.org/officeDocument/2006/relationships/hyperlink" Target="https://doi.org/10.7326/M18-1990" TargetMode="External"/><Relationship Id="rId4" Type="http://schemas.openxmlformats.org/officeDocument/2006/relationships/hyperlink" Target="https://doi.org/10.24432/C52P4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1382</Words>
  <Characters>7878</Characters>
  <Application>Microsoft Office Word</Application>
  <DocSecurity>0</DocSecurity>
  <Lines>65</Lines>
  <Paragraphs>18</Paragraphs>
  <ScaleCrop>false</ScaleCrop>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Gaston</dc:creator>
  <cp:keywords/>
  <dc:description/>
  <cp:lastModifiedBy>Christian Gaston</cp:lastModifiedBy>
  <cp:revision>2</cp:revision>
  <dcterms:created xsi:type="dcterms:W3CDTF">2026-10-14T03:18:00Z</dcterms:created>
  <dcterms:modified xsi:type="dcterms:W3CDTF">2026-10-14T03:20:00Z</dcterms:modified>
</cp:coreProperties>
</file>