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p>
    <w:p>
      <w:pPr>
        <w:spacing w:line="480" w:lineRule="auto"/>
      </w:pPr>
    </w:p>
    <w:p>
      <w:pPr>
        <w:spacing w:line="480" w:lineRule="auto"/>
      </w:pPr>
    </w:p>
    <w:p>
      <w:pPr>
        <w:spacing w:line="480" w:lineRule="auto"/>
      </w:pPr>
    </w:p>
    <w:p>
      <w:pPr>
        <w:spacing w:line="480" w:lineRule="auto"/>
        <w:jc w:val="center"/>
      </w:pPr>
      <w:r>
        <w:rPr>
          <w:rFonts w:ascii="Times New Roman" w:cs="Times New Roman" w:eastAsia="Times New Roman" w:hAnsi="Times New Roman"/>
          <w:b/>
          <w:bCs/>
          <w:sz w:val="24"/>
          <w:szCs w:val="24"/>
        </w:rPr>
        <w:t xml:space="preserve">Predicting Heart Disease Risk: A Clinical Decision-Support Prototype</w:t>
      </w:r>
    </w:p>
    <w:p>
      <w:pPr>
        <w:spacing w:line="480" w:lineRule="auto"/>
      </w:pPr>
    </w:p>
    <w:p>
      <w:pPr>
        <w:spacing w:line="480" w:lineRule="auto"/>
        <w:jc w:val="center"/>
      </w:pPr>
      <w:r>
        <w:rPr>
          <w:rFonts w:ascii="Times New Roman" w:cs="Times New Roman" w:eastAsia="Times New Roman" w:hAnsi="Times New Roman"/>
          <w:sz w:val="24"/>
          <w:szCs w:val="24"/>
        </w:rPr>
        <w:t xml:space="preserve">Group 8: Subba Taniparti, Harini Mamidala, Christian Gaston, and Naveen Vishal Bellary</w:t>
      </w:r>
    </w:p>
    <w:p>
      <w:pPr>
        <w:spacing w:line="480" w:lineRule="auto"/>
        <w:jc w:val="center"/>
      </w:pPr>
      <w:r>
        <w:rPr>
          <w:rFonts w:ascii="Times New Roman" w:cs="Times New Roman" w:eastAsia="Times New Roman" w:hAnsi="Times New Roman"/>
          <w:sz w:val="24"/>
          <w:szCs w:val="24"/>
        </w:rPr>
        <w:t xml:space="preserve">Department of Computer and Information Sciences, University of the Cumberlands</w:t>
      </w:r>
    </w:p>
    <w:p>
      <w:pPr>
        <w:spacing w:line="480" w:lineRule="auto"/>
        <w:jc w:val="center"/>
      </w:pPr>
      <w:r>
        <w:rPr>
          <w:rFonts w:ascii="Times New Roman" w:cs="Times New Roman" w:eastAsia="Times New Roman" w:hAnsi="Times New Roman"/>
          <w:sz w:val="24"/>
          <w:szCs w:val="24"/>
        </w:rPr>
        <w:t xml:space="preserve">PhDAI 733-A02: Python Application for Data Analytics in AI</w:t>
      </w:r>
    </w:p>
    <w:p>
      <w:pPr>
        <w:spacing w:line="480" w:lineRule="auto"/>
        <w:jc w:val="center"/>
      </w:pPr>
      <w:r>
        <w:rPr>
          <w:rFonts w:ascii="Times New Roman" w:cs="Times New Roman" w:eastAsia="Times New Roman" w:hAnsi="Times New Roman"/>
          <w:sz w:val="24"/>
          <w:szCs w:val="24"/>
        </w:rPr>
        <w:t xml:space="preserve">Dr. Karriem Perry</w:t>
      </w:r>
    </w:p>
    <w:p>
      <w:pPr>
        <w:spacing w:line="480" w:lineRule="auto"/>
        <w:jc w:val="center"/>
      </w:pPr>
      <w:r>
        <w:rPr>
          <w:rFonts w:ascii="Times New Roman" w:cs="Times New Roman" w:eastAsia="Times New Roman" w:hAnsi="Times New Roman"/>
          <w:sz w:val="24"/>
          <w:szCs w:val="24"/>
        </w:rPr>
        <w:t xml:space="preserve">September 27, 2026</w:t>
      </w:r>
    </w:p>
    <w:p>
      <w:pPr>
        <w:sectPr>
          <w:headerReference w:type="default" r:id="rId7"/>
          <w:pgSz w:w="12240" w:h="15840" w:orient="portrait"/>
          <w:pgMar w:top="1440" w:right="1440" w:bottom="1440" w:left="1440" w:header="708" w:footer="708" w:gutter="0"/>
          <w:pgNumType/>
          <w:titlePg/>
          <w:docGrid w:linePitch="360"/>
        </w:sectPr>
      </w:pPr>
    </w:p>
    <w:p>
      <w:pPr>
        <w:spacing w:after="0" w:line="480" w:lineRule="auto"/>
        <w:jc w:val="center"/>
      </w:pPr>
      <w:r>
        <w:rPr>
          <w:rFonts w:ascii="Times New Roman" w:cs="Times New Roman" w:eastAsia="Times New Roman" w:hAnsi="Times New Roman"/>
          <w:b/>
          <w:bCs/>
          <w:sz w:val="24"/>
          <w:szCs w:val="24"/>
        </w:rPr>
        <w:t xml:space="preserve">Predicting Heart Disease Risk: A Clinical Decision-Support Prototype</w:t>
      </w:r>
    </w:p>
    <w:p>
      <w:pPr>
        <w:spacing w:line="480" w:lineRule="auto"/>
        <w:ind w:firstLine="720"/>
      </w:pPr>
      <w:r>
        <w:rPr>
          <w:rFonts w:ascii="Times New Roman" w:cs="Times New Roman" w:eastAsia="Times New Roman" w:hAnsi="Times New Roman"/>
          <w:sz w:val="24"/>
          <w:szCs w:val="24"/>
        </w:rPr>
        <w:t xml:space="preserve">Heart disease kills more people than anything else, and catching it early changes outcomes. The hard part is not treatment but deciding who to send for further testing: referrals and angiograms are expensive and invasive, so sending everyone with chest pain is unrealistic, while sending too few lets disease go undetected. We built a prototype estimating heart-disease risk from thirteen measurements a clinic already collects, using the Cleveland cohort of the UCI Heart Disease dataset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302 after removing a duplicate; Janosi et al., 1989). We ask whether these measurements beat a naive baseline (RQ1), whether a flexible model beats a simpler one at this sample size (RQ2), and whether the model works equally well across patient sex (RQ3).</w:t>
      </w:r>
    </w:p>
    <w:p>
      <w:pPr>
        <w:spacing w:line="480" w:lineRule="auto"/>
        <w:ind w:firstLine="720"/>
      </w:pPr>
      <w:r>
        <w:rPr>
          <w:rFonts w:ascii="Times New Roman" w:cs="Times New Roman" w:eastAsia="Times New Roman" w:hAnsi="Times New Roman"/>
          <w:sz w:val="24"/>
          <w:szCs w:val="24"/>
        </w:rPr>
        <w:t xml:space="preserve">Deployment would be a ranked worklist inside an existing health record, where a nurse sees a risk tier beside the values producing it — no new equipment, no new data collection, and a clinician who can always overrule it. Because a false alarm costs an appointment while a missed case can mean untreated disease, we report recall and the confusion matrix rather than leading with accuracy.</w:t>
      </w:r>
    </w:p>
    <w:p>
      <w:pPr>
        <w:spacing w:after="0" w:before="0" w:line="480" w:lineRule="auto"/>
        <w:jc w:val="center"/>
      </w:pPr>
      <w:r>
        <w:rPr>
          <w:rFonts w:ascii="Times New Roman" w:cs="Times New Roman" w:eastAsia="Times New Roman" w:hAnsi="Times New Roman"/>
          <w:b/>
          <w:bCs/>
          <w:sz w:val="24"/>
          <w:szCs w:val="24"/>
        </w:rPr>
        <w:t xml:space="preserve">Dataset Exploration and Preprocessing</w:t>
      </w:r>
    </w:p>
    <w:p>
      <w:pPr>
        <w:spacing w:line="480" w:lineRule="auto"/>
        <w:ind w:firstLine="720"/>
      </w:pPr>
      <w:r>
        <w:rPr>
          <w:rFonts w:ascii="Times New Roman" w:cs="Times New Roman" w:eastAsia="Times New Roman" w:hAnsi="Times New Roman"/>
          <w:sz w:val="24"/>
          <w:szCs w:val="24"/>
        </w:rPr>
        <w:t xml:space="preserve">The most important thing we did was check what the target column means. This dataset circulates in copies that disagree on the convention, so we tested it against cardiology rather than assuming. Patients with disease should show a lower maximum heart rate, more ST depression, more blocked vessels, and more exercise-induced angina. All four markers pointed the same way and all four contradicted the usual reading: patients coded </w:t>
      </w:r>
      <w:r>
        <w:rPr>
          <w:rFonts w:ascii="Times New Roman" w:cs="Times New Roman" w:eastAsia="Times New Roman" w:hAnsi="Times New Roman"/>
          <w:i/>
          <w:iCs/>
          <w:sz w:val="24"/>
          <w:szCs w:val="24"/>
        </w:rPr>
        <w:t xml:space="preserve">target</w:t>
      </w:r>
      <w:r>
        <w:rPr>
          <w:rFonts w:ascii="Times New Roman" w:cs="Times New Roman" w:eastAsia="Times New Roman" w:hAnsi="Times New Roman"/>
          <w:sz w:val="24"/>
          <w:szCs w:val="24"/>
        </w:rPr>
        <w:t xml:space="preserve"> = 0 had lower maximum heart rate (139.10 vs. 158.38 bpm), more ST depression (1.59 vs. 0.59), more affected vessels (1.17 vs. 0.34), and far more exercise angina (55.1% vs. 14.0%). In this file </w:t>
      </w:r>
      <w:r>
        <w:rPr>
          <w:rFonts w:ascii="Times New Roman" w:cs="Times New Roman" w:eastAsia="Times New Roman" w:hAnsi="Times New Roman"/>
          <w:i/>
          <w:iCs/>
          <w:sz w:val="24"/>
          <w:szCs w:val="24"/>
        </w:rPr>
        <w:t xml:space="preserve">target</w:t>
      </w:r>
      <w:r>
        <w:rPr>
          <w:rFonts w:ascii="Times New Roman" w:cs="Times New Roman" w:eastAsia="Times New Roman" w:hAnsi="Times New Roman"/>
          <w:sz w:val="24"/>
          <w:szCs w:val="24"/>
        </w:rPr>
        <w:t xml:space="preserve"> = 0 means disease. Had we accepted the usual reading, every clinical conclusion here would have come out backwards, including the fairness finding. We defined a separate disease variable accordingly; 138 patients (45.7%) have disease.</w:t>
      </w:r>
    </w:p>
    <w:p>
      <w:pPr>
        <w:spacing w:line="480" w:lineRule="auto"/>
        <w:ind w:firstLine="720"/>
      </w:pPr>
      <w:r>
        <w:rPr>
          <w:rFonts w:ascii="Times New Roman" w:cs="Times New Roman" w:eastAsia="Times New Roman" w:hAnsi="Times New Roman"/>
          <w:sz w:val="24"/>
          <w:szCs w:val="24"/>
        </w:rPr>
        <w:t xml:space="preserve">Nothing is missing, so there was nothing to impute; the forward-fill the hints suggest assumes row order carries meaning, which it does not here. One exact duplicate was removed (303 to 302 patients), since a repeated patient could otherwise land in both training and test sets. Cholesterol reaches 564 mg/dL and resting pressure 200 mm Hg, but four patients exceed 400 mg/dL and five sit at or above 180, so these are plausible referral-population patients rather than errors. Trimming them would discard exactly the high-risk cases the tool exists to surface, so we kept them and let scaling limit their leverage.</w:t>
      </w:r>
    </w:p>
    <w:p>
      <w:pPr>
        <w:spacing w:line="480" w:lineRule="auto"/>
        <w:ind w:firstLine="720"/>
      </w:pPr>
      <w:r>
        <w:rPr>
          <w:rFonts w:ascii="Times New Roman" w:cs="Times New Roman" w:eastAsia="Times New Roman" w:hAnsi="Times New Roman"/>
          <w:sz w:val="24"/>
          <w:szCs w:val="24"/>
        </w:rPr>
        <w:t xml:space="preserve">A second problem is invisible in summary statistics: five predictors are categories stored as numbers. Chest pain type runs 0 to 3 for four presentations, and type 3 is not three times type 1. Because pandas sees them as numeric, </w:t>
      </w:r>
      <w:r>
        <w:rPr>
          <w:rFonts w:ascii="Times New Roman" w:cs="Times New Roman" w:eastAsia="Times New Roman" w:hAnsi="Times New Roman"/>
          <w:i/>
          <w:iCs/>
          <w:sz w:val="24"/>
          <w:szCs w:val="24"/>
        </w:rPr>
        <w:t xml:space="preserve">get_dummies</w:t>
      </w:r>
      <w:r>
        <w:rPr>
          <w:rFonts w:ascii="Times New Roman" w:cs="Times New Roman" w:eastAsia="Times New Roman" w:hAnsi="Times New Roman"/>
          <w:sz w:val="24"/>
          <w:szCs w:val="24"/>
        </w:rPr>
        <w:t xml:space="preserve"> on the raw data encodes nothing and returns the same dataframe without warning. Casting those five to categorical first took us from 13 predictors to 22 features. Finally, the hints scale before splitting, which lets test-set statistics bleed into training; we put the scaler inside a scikit-learn Pipeline (Pedregosa et al., 2011) so it only ever sees training folds, applied to the five continuous variables alone. Figure A1 shows the resulting class balance and the two strongest predictors.</w:t>
      </w:r>
    </w:p>
    <w:p>
      <w:pPr>
        <w:spacing w:after="0" w:before="0" w:line="480" w:lineRule="auto"/>
        <w:jc w:val="center"/>
      </w:pPr>
      <w:r>
        <w:rPr>
          <w:rFonts w:ascii="Times New Roman" w:cs="Times New Roman" w:eastAsia="Times New Roman" w:hAnsi="Times New Roman"/>
          <w:b/>
          <w:bCs/>
          <w:sz w:val="24"/>
          <w:szCs w:val="24"/>
        </w:rPr>
        <w:t xml:space="preserve">Initial Model Development</w:t>
      </w:r>
    </w:p>
    <w:p>
      <w:pPr>
        <w:spacing w:line="480" w:lineRule="auto"/>
        <w:ind w:firstLine="720"/>
      </w:pPr>
      <w:r>
        <w:rPr>
          <w:rFonts w:ascii="Times New Roman" w:cs="Times New Roman" w:eastAsia="Times New Roman" w:hAnsi="Times New Roman"/>
          <w:sz w:val="24"/>
          <w:szCs w:val="24"/>
        </w:rPr>
        <w:t xml:space="preserve">We compared logistic regression and random forest against a majority-class baseline, all inside identical pipelines. The baseline matters: predicting no disease for everyone scores 54.0% while finding nobody. Logistic regression was chosen for coefficients a clinician can inspect and argue with; random forest for interactions it can capture unprompted. Both were tuned by grid search with five-fold stratified cross-validation on training data only, optimising ROC-AUC because a triage threshold should eventually reflect what errors cost a clinic rather than stay at 0.5.</w:t>
      </w:r>
    </w:p>
    <w:p>
      <w:pPr>
        <w:spacing w:line="480" w:lineRule="auto"/>
        <w:ind w:firstLine="720"/>
      </w:pPr>
      <w:r>
        <w:rPr>
          <w:rFonts w:ascii="Times New Roman" w:cs="Times New Roman" w:eastAsia="Times New Roman" w:hAnsi="Times New Roman"/>
          <w:sz w:val="24"/>
          <w:szCs w:val="24"/>
        </w:rPr>
        <w:t xml:space="preserve">Logistic regression reached 82.9% accuracy, .800 recall, and .926 ROC-AUC; the forest managed 77.6%, .714, and .867. Because 76 test patients is thin evidence, we refit both across 30 splits: logistic regression won 26 of 30, averaging 84.3% against 80.4%. The two were nearly tied in cross-validation (.911 vs. .904) but separated on held-out data, which is what it looks like when the flexible model has memorised noise — with 226 training patients and 22 features, the forest has little room to use its flexibility well. Figure A2 shows both confusion matrices; logistic regression missed 7 disease cases against the forest's 10.</w:t>
      </w:r>
    </w:p>
    <w:p>
      <w:pPr>
        <w:spacing w:line="480" w:lineRule="auto"/>
        <w:ind w:firstLine="720"/>
      </w:pPr>
      <w:r>
        <w:rPr>
          <w:rFonts w:ascii="Times New Roman" w:cs="Times New Roman" w:eastAsia="Times New Roman" w:hAnsi="Times New Roman"/>
          <w:sz w:val="24"/>
          <w:szCs w:val="24"/>
        </w:rPr>
        <w:t xml:space="preserve">Disaggregating by sex revealed what aggregate numbers hide. For sex = 0 the model was </w:t>
      </w:r>
      <w:r>
        <w:rPr>
          <w:rFonts w:ascii="Times New Roman" w:cs="Times New Roman" w:eastAsia="Times New Roman" w:hAnsi="Times New Roman"/>
          <w:i/>
          <w:iCs/>
          <w:sz w:val="24"/>
          <w:szCs w:val="24"/>
        </w:rPr>
        <w:t xml:space="preserve">more</w:t>
      </w:r>
      <w:r>
        <w:rPr>
          <w:rFonts w:ascii="Times New Roman" w:cs="Times New Roman" w:eastAsia="Times New Roman" w:hAnsi="Times New Roman"/>
          <w:sz w:val="24"/>
          <w:szCs w:val="24"/>
        </w:rPr>
        <w:t xml:space="preserve"> accurate (.917 vs. .788) but caught </w:t>
      </w:r>
      <w:r>
        <w:rPr>
          <w:rFonts w:ascii="Times New Roman" w:cs="Times New Roman" w:eastAsia="Times New Roman" w:hAnsi="Times New Roman"/>
          <w:i/>
          <w:iCs/>
          <w:sz w:val="24"/>
          <w:szCs w:val="24"/>
        </w:rPr>
        <w:t xml:space="preserve">fewer</w:t>
      </w:r>
      <w:r>
        <w:rPr>
          <w:rFonts w:ascii="Times New Roman" w:cs="Times New Roman" w:eastAsia="Times New Roman" w:hAnsi="Times New Roman"/>
          <w:sz w:val="24"/>
          <w:szCs w:val="24"/>
        </w:rPr>
        <w:t xml:space="preserve"> cases (recall .714 vs. .821): of seven patients in that group with disease, two were called healthy. The cause is prevalence, not the sex variable — 25.0% of sex = 0 patients have disease against 55.3% of sex = 1, and when disease is rare a model scores well by leaning negative, which is the same lean that misses real cases. Dropping sex would not fix this, since the prevalence gap persists and other variables track sex; it would only remove our means of seeing it. Across 30 splits the gap favoured sex = 1 in 19, with a standard deviation of 0.184, so we report a signal worth investigating rather than a proven bias — seven cases per split cannot support more (Figure A3).</w:t>
      </w:r>
    </w:p>
    <w:p>
      <w:pPr>
        <w:spacing w:after="0" w:before="0" w:line="480" w:lineRule="auto"/>
        <w:jc w:val="center"/>
      </w:pPr>
      <w:r>
        <w:rPr>
          <w:rFonts w:ascii="Times New Roman" w:cs="Times New Roman" w:eastAsia="Times New Roman" w:hAnsi="Times New Roman"/>
          <w:b/>
          <w:bCs/>
          <w:sz w:val="24"/>
          <w:szCs w:val="24"/>
        </w:rPr>
        <w:t xml:space="preserve">Team Collaboration Process</w:t>
      </w:r>
    </w:p>
    <w:p>
      <w:pPr>
        <w:spacing w:line="480" w:lineRule="auto"/>
        <w:ind w:firstLine="720"/>
      </w:pPr>
      <w:r>
        <w:rPr>
          <w:rFonts w:ascii="Times New Roman" w:cs="Times New Roman" w:eastAsia="Times New Roman" w:hAnsi="Times New Roman"/>
          <w:sz w:val="24"/>
          <w:szCs w:val="24"/>
        </w:rPr>
        <w:t xml:space="preserve">Group 8 formed September 22 via Blackboard, moved to WhatsApp for daily coordination, and worked from a shared GitHub repository with separate per-member notebooks to avoid merge conflicts. Work was divided across the eight rubric criteria rather than the four sections, since roughly a third of the marks sit in criteria the section list never names: Christian Gaston took problem framing and synthesis, Harini Mamidala dataset exploration and preprocessing, Subba Taniparti the modelling pipeline and validation design, and Naveen Vishal Bellary the dataset comparison and fairness audit.</w:t>
      </w:r>
    </w:p>
    <w:p>
      <w:pPr>
        <w:spacing w:line="480" w:lineRule="auto"/>
        <w:ind w:firstLine="720"/>
      </w:pPr>
      <w:r>
        <w:rPr>
          <w:rFonts w:ascii="Times New Roman" w:cs="Times New Roman" w:eastAsia="Times New Roman" w:hAnsi="Times New Roman"/>
          <w:sz w:val="24"/>
          <w:szCs w:val="24"/>
        </w:rPr>
        <w:t xml:space="preserve">The most useful thing that happened was a mistake caught in review. Two drafts disagreed about what the target column meant, and reconciling them exposed the inverted label convention — one draft had already been written on the wrong assumption. No individual caught this; the disagreement between two independent write-ups did. Coordination was not frictionless either: one member was unreachable for two days and a fourth joined on September 23, costing about a day of uncertainty about scope. In Part 2 we would lock roles within the first day and run cross-review earlier, since that is what caught the error that mattered most.</w:t>
      </w:r>
    </w:p>
    <w:p>
      <w:pPr>
        <w:sectPr>
          <w:headerReference w:type="default" r:id="rId8"/>
          <w:pgSz w:w="12240" w:h="15840" w:orient="portrait"/>
          <w:pgMar w:top="1440" w:right="1440" w:bottom="1440" w:left="1440" w:header="708" w:footer="708" w:gutter="0"/>
          <w:pgNumType/>
          <w:docGrid w:linePitch="360"/>
        </w:sectPr>
      </w:pPr>
    </w:p>
    <w:p>
      <w:pPr>
        <w:spacing w:after="0" w:before="0" w:line="480" w:lineRule="auto"/>
        <w:jc w:val="center"/>
      </w:pPr>
      <w:r>
        <w:rPr>
          <w:rFonts w:ascii="Times New Roman" w:cs="Times New Roman" w:eastAsia="Times New Roman" w:hAnsi="Times New Roman"/>
          <w:b/>
          <w:bCs/>
          <w:sz w:val="24"/>
          <w:szCs w:val="24"/>
        </w:rPr>
        <w:t xml:space="preserve">References</w:t>
      </w:r>
    </w:p>
    <w:p>
      <w:pPr>
        <w:spacing w:after="0" w:line="480" w:lineRule="auto"/>
        <w:ind w:left="720" w:hanging="720"/>
      </w:pPr>
      <w:r>
        <w:rPr>
          <w:rFonts w:ascii="Times New Roman" w:cs="Times New Roman" w:eastAsia="Times New Roman" w:hAnsi="Times New Roman"/>
          <w:sz w:val="24"/>
          <w:szCs w:val="24"/>
        </w:rPr>
        <w:t xml:space="preserve">Janosi, A., Steinbrunn, W., Pfisterer, M., &amp; Detrano, R. (1989). </w:t>
      </w:r>
      <w:r>
        <w:rPr>
          <w:rFonts w:ascii="Times New Roman" w:cs="Times New Roman" w:eastAsia="Times New Roman" w:hAnsi="Times New Roman"/>
          <w:i/>
          <w:iCs/>
          <w:sz w:val="24"/>
          <w:szCs w:val="24"/>
        </w:rPr>
        <w:t xml:space="preserve">Heart disease</w:t>
      </w:r>
      <w:r>
        <w:rPr>
          <w:rFonts w:ascii="Times New Roman" w:cs="Times New Roman" w:eastAsia="Times New Roman" w:hAnsi="Times New Roman"/>
          <w:sz w:val="24"/>
          <w:szCs w:val="24"/>
        </w:rPr>
        <w:t xml:space="preserve"> [Data set]. UCI Machine Learning Repository. https://doi.org/10.24432/C52P4X</w:t>
      </w:r>
    </w:p>
    <w:p>
      <w:pPr>
        <w:spacing w:after="0" w:line="480" w:lineRule="auto"/>
        <w:ind w:left="720" w:hanging="720"/>
      </w:pPr>
      <w:r>
        <w:rPr>
          <w:rFonts w:ascii="Times New Roman" w:cs="Times New Roman" w:eastAsia="Times New Roman" w:hAnsi="Times New Roman"/>
          <w:sz w:val="24"/>
          <w:szCs w:val="24"/>
        </w:rPr>
        <w:t xml:space="preserve">Pedregosa, F., Varoquaux, G., Gramfort, A., Michel, V., Thirion, B., Grisel, O., … Duchesnay, E. (2011). Scikit-learn: Machine learning in Python. </w:t>
      </w:r>
      <w:r>
        <w:rPr>
          <w:rFonts w:ascii="Times New Roman" w:cs="Times New Roman" w:eastAsia="Times New Roman" w:hAnsi="Times New Roman"/>
          <w:i/>
          <w:iCs/>
          <w:sz w:val="24"/>
          <w:szCs w:val="24"/>
        </w:rPr>
        <w:t xml:space="preserve">Journal of Machine Learning Research, 12</w:t>
      </w:r>
      <w:r>
        <w:rPr>
          <w:rFonts w:ascii="Times New Roman" w:cs="Times New Roman" w:eastAsia="Times New Roman" w:hAnsi="Times New Roman"/>
          <w:sz w:val="24"/>
          <w:szCs w:val="24"/>
        </w:rPr>
        <w:t xml:space="preserve">, 2825-2830.</w:t>
      </w:r>
    </w:p>
    <w:p>
      <w:pPr>
        <w:sectPr>
          <w:headerReference w:type="default" r:id="rId9"/>
          <w:pgSz w:w="12240" w:h="15840" w:orient="portrait"/>
          <w:pgMar w:top="1440" w:right="1440" w:bottom="1440" w:left="1440" w:header="708" w:footer="708" w:gutter="0"/>
          <w:pgNumType/>
          <w:docGrid w:linePitch="360"/>
        </w:sectPr>
      </w:pPr>
    </w:p>
    <w:p>
      <w:pPr>
        <w:spacing w:after="0" w:before="0" w:line="480" w:lineRule="auto"/>
        <w:jc w:val="center"/>
      </w:pPr>
      <w:r>
        <w:rPr>
          <w:rFonts w:ascii="Times New Roman" w:cs="Times New Roman" w:eastAsia="Times New Roman" w:hAnsi="Times New Roman"/>
          <w:b/>
          <w:bCs/>
          <w:sz w:val="24"/>
          <w:szCs w:val="24"/>
        </w:rPr>
        <w:t xml:space="preserve">Appendix A</w:t>
      </w:r>
    </w:p>
    <w:p>
      <w:pPr>
        <w:spacing w:after="0" w:line="480" w:lineRule="auto"/>
        <w:jc w:val="center"/>
      </w:pPr>
      <w:r>
        <w:rPr>
          <w:rFonts w:ascii="Times New Roman" w:cs="Times New Roman" w:eastAsia="Times New Roman" w:hAnsi="Times New Roman"/>
          <w:b/>
          <w:bCs/>
          <w:sz w:val="24"/>
          <w:szCs w:val="24"/>
        </w:rPr>
        <w:t xml:space="preserve">Supporting Figures</w:t>
      </w:r>
    </w:p>
    <w:p>
      <w:pPr>
        <w:keepNext/>
        <w:keepLines/>
        <w:spacing w:after="0" w:before="240" w:line="480" w:lineRule="auto"/>
      </w:pPr>
      <w:r>
        <w:rPr>
          <w:rFonts w:ascii="Times New Roman" w:cs="Times New Roman" w:eastAsia="Times New Roman" w:hAnsi="Times New Roman"/>
          <w:b/>
          <w:bCs/>
          <w:sz w:val="24"/>
          <w:szCs w:val="24"/>
        </w:rPr>
        <w:t xml:space="preserve">Figure A1</w:t>
      </w:r>
    </w:p>
    <w:p>
      <w:pPr>
        <w:keepNext/>
        <w:keepLines/>
        <w:spacing w:after="80" w:line="480" w:lineRule="auto"/>
      </w:pPr>
      <w:r>
        <w:rPr>
          <w:rFonts w:ascii="Times New Roman" w:cs="Times New Roman" w:eastAsia="Times New Roman" w:hAnsi="Times New Roman"/>
          <w:i/>
          <w:iCs/>
          <w:sz w:val="24"/>
          <w:szCs w:val="24"/>
        </w:rPr>
        <w:t xml:space="preserve">Class Balance and Distribution of Two Leading Predictors by Outcome</w:t>
      </w:r>
    </w:p>
    <w:p>
      <w:pPr>
        <w:keepNext/>
        <w:keepLines/>
        <w:spacing w:after="60" w:line="240" w:lineRule="auto"/>
      </w:pPr>
      <w:r>
        <w:drawing>
          <wp:inline distT="0" distB="0" distL="0" distR="0">
            <wp:extent cx="447675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190625"/>
                    </a:xfrm>
                    <a:prstGeom prst="rect">
                      <a:avLst/>
                    </a:prstGeom>
                  </pic:spPr>
                </pic:pic>
              </a:graphicData>
            </a:graphic>
          </wp:inline>
        </w:drawing>
      </w:r>
    </w:p>
    <w:p>
      <w:pPr>
        <w:keepLines/>
        <w:spacing w:after="240" w:line="24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Panels B and C share plot type and axis conventions, so the predictors are directly comparable. Disease prevalence is 45.7%. Both predictors separate the classes in the clinically expected direction, confirming the label correction was applied correctly, while the substantial overlap shows no single predictor suffices.</w:t>
      </w:r>
    </w:p>
    <w:p>
      <w:pPr>
        <w:keepNext/>
        <w:keepLines/>
        <w:spacing w:after="0" w:before="240" w:line="480" w:lineRule="auto"/>
      </w:pPr>
      <w:r>
        <w:rPr>
          <w:rFonts w:ascii="Times New Roman" w:cs="Times New Roman" w:eastAsia="Times New Roman" w:hAnsi="Times New Roman"/>
          <w:b/>
          <w:bCs/>
          <w:sz w:val="24"/>
          <w:szCs w:val="24"/>
        </w:rPr>
        <w:t xml:space="preserve">Figure A2</w:t>
      </w:r>
    </w:p>
    <w:p>
      <w:pPr>
        <w:keepNext/>
        <w:keepLines/>
        <w:spacing w:after="80" w:line="480" w:lineRule="auto"/>
      </w:pPr>
      <w:r>
        <w:rPr>
          <w:rFonts w:ascii="Times New Roman" w:cs="Times New Roman" w:eastAsia="Times New Roman" w:hAnsi="Times New Roman"/>
          <w:i/>
          <w:iCs/>
          <w:sz w:val="24"/>
          <w:szCs w:val="24"/>
        </w:rPr>
        <w:t xml:space="preserve">Confusion Matrices for Both Tuned Models on the Held-Out Test Set</w:t>
      </w:r>
    </w:p>
    <w:p>
      <w:pPr>
        <w:keepNext/>
        <w:keepLines/>
        <w:spacing w:after="60" w:line="240" w:lineRule="auto"/>
      </w:pPr>
      <w:r>
        <w:drawing>
          <wp:inline distT="0" distB="0" distL="0" distR="0">
            <wp:extent cx="447675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457325"/>
                    </a:xfrm>
                    <a:prstGeom prst="rect">
                      <a:avLst/>
                    </a:prstGeom>
                  </pic:spPr>
                </pic:pic>
              </a:graphicData>
            </a:graphic>
          </wp:inline>
        </w:drawing>
      </w:r>
    </w:p>
    <w:p>
      <w:pPr>
        <w:keepLines/>
        <w:spacing w:after="240" w:line="24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Panels share layout, class ordering, and colour scale, so only the model varies. The bottom-left cell counts patients with disease classified as healthy: 7 for logistic regression against 10 for the random forest. These are not interchangeable with the 6 and 7 false alarms, since a false alarm costs a consultation while a missed case may mean untreated coronary disease.</w:t>
      </w:r>
    </w:p>
    <w:p>
      <w:pPr>
        <w:keepNext/>
        <w:keepLines/>
        <w:spacing w:after="0" w:before="240" w:line="480" w:lineRule="auto"/>
      </w:pPr>
      <w:r>
        <w:rPr>
          <w:rFonts w:ascii="Times New Roman" w:cs="Times New Roman" w:eastAsia="Times New Roman" w:hAnsi="Times New Roman"/>
          <w:b/>
          <w:bCs/>
          <w:sz w:val="24"/>
          <w:szCs w:val="24"/>
        </w:rPr>
        <w:t xml:space="preserve">Figure A3</w:t>
      </w:r>
    </w:p>
    <w:p>
      <w:pPr>
        <w:keepNext/>
        <w:keepLines/>
        <w:spacing w:after="80" w:line="480" w:lineRule="auto"/>
      </w:pPr>
      <w:r>
        <w:rPr>
          <w:rFonts w:ascii="Times New Roman" w:cs="Times New Roman" w:eastAsia="Times New Roman" w:hAnsi="Times New Roman"/>
          <w:i/>
          <w:iCs/>
          <w:sz w:val="24"/>
          <w:szCs w:val="24"/>
        </w:rPr>
        <w:t xml:space="preserve">Subgroup Recall by Model and Stability of the Recall Gap Across 30 Splits</w:t>
      </w:r>
    </w:p>
    <w:p>
      <w:pPr>
        <w:keepNext/>
        <w:keepLines/>
        <w:spacing w:after="60" w:line="240" w:lineRule="auto"/>
      </w:pPr>
      <w:r>
        <w:drawing>
          <wp:inline distT="0" distB="0" distL="0" distR="0">
            <wp:extent cx="447675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1419225"/>
                    </a:xfrm>
                    <a:prstGeom prst="rect">
                      <a:avLst/>
                    </a:prstGeom>
                  </pic:spPr>
                </pic:pic>
              </a:graphicData>
            </a:graphic>
          </wp:inline>
        </w:drawing>
      </w:r>
    </w:p>
    <w:p>
      <w:pPr>
        <w:keepLines/>
        <w:spacing w:after="240" w:line="240" w:lineRule="auto"/>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Panel A shows both models detect disease less reliably for sex = 0 despite that subgroup's higher accuracy. Panel B shows the gap is directionally consistent but noisy, with a standard deviation of 0.184 reflecting roughly seven disease cases per subgroup per split. That width is itself the finding: it is why we report a signal rather than a confirmed disparity.</w:t>
      </w:r>
    </w:p>
    <w:sectPr>
      <w:head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image" Target="media/367e36309d4da066bd91edf175f1b9fe93b0d3c9.png"/><Relationship Id="rId12" Type="http://schemas.openxmlformats.org/officeDocument/2006/relationships/image" Target="media/b5b707a12ccde5ac3bf423c916b68b4dfd25d0f6.png"/><Relationship Id="rId13" Type="http://schemas.openxmlformats.org/officeDocument/2006/relationships/image" Target="media/e8ecf963be9a15b2e04adb294c531ad8a576ff1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2026-09-25T00:35:57.251Z</dcterms:created>
  <dcterms:modified xsi:type="dcterms:W3CDTF">2026-09-25T00:35:57.259Z</dcterms:modified>
</cp:coreProperties>
</file>

<file path=docProps/custom.xml><?xml version="1.0" encoding="utf-8"?>
<Properties xmlns="http://schemas.openxmlformats.org/officeDocument/2006/custom-properties" xmlns:vt="http://schemas.openxmlformats.org/officeDocument/2006/docPropsVTypes"/>
</file>