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Predicting Heart Disease Risk: Model Optimization, Real-World Impact, and Ethical Evaluation</w:t>
      </w:r>
    </w:p>
    <w:p>
      <w:pPr>
        <w:ind w:firstLine="0"/>
        <w:jc w:val="center"/>
      </w:pPr>
      <w:r>
        <w:t>Group 8: Subba Taniparti, Harini Mamidala, Christian Gaston, and Bellary Naveen Vishal</w:t>
      </w:r>
    </w:p>
    <w:p>
      <w:pPr>
        <w:ind w:firstLine="0"/>
        <w:jc w:val="center"/>
      </w:pPr>
      <w:r>
        <w:t>Department of Computer and Information Sciences, University of the Cumberlands</w:t>
      </w:r>
    </w:p>
    <w:p>
      <w:pPr>
        <w:ind w:firstLine="0"/>
        <w:jc w:val="center"/>
      </w:pPr>
      <w:r>
        <w:t>PhDAI 733-A02: Python Application for Data Analytics in AI</w:t>
      </w:r>
    </w:p>
    <w:p>
      <w:pPr>
        <w:ind w:firstLine="0"/>
        <w:jc w:val="center"/>
      </w:pPr>
      <w:r>
        <w:t>Dr. Karriem Perry</w:t>
      </w:r>
    </w:p>
    <w:p>
      <w:pPr>
        <w:ind w:firstLine="0"/>
        <w:jc w:val="center"/>
      </w:pPr>
      <w:r>
        <w:t>Group Project Part 2</w:t>
      </w:r>
    </w:p>
    <w:p>
      <w:pPr>
        <w:ind w:firstLine="0"/>
        <w:jc w:val="center"/>
      </w:pPr>
      <w:r>
        <w:t>October 16, 2026</w:t>
      </w:r>
    </w:p>
    <w:p>
      <w:r>
        <w:br w:type="page"/>
      </w:r>
    </w:p>
    <w:p>
      <w:pPr>
        <w:ind w:firstLine="0"/>
        <w:jc w:val="center"/>
      </w:pPr>
      <w:r>
        <w:rPr>
          <w:b/>
        </w:rPr>
        <w:t>Hyperparameter Tuning</w:t>
      </w:r>
    </w:p>
    <w:p>
      <w:r>
        <w:t>Part 2 extends the heart-disease prototype developed in Part 1. The supplied notebook retains 302 unique patients, 22 encoded features, and the corrected outcome, where 1 indicates disease; the source CSV uses the inverse convention, with target = 0 indicating disease. Modeling used scikit-learn (Pedregosa et al., 2011). Five-fold inner cross-validation selected hyperparameters, while five outer folds evaluated the selection procedure. Logistic regression searched five C values; random forest searched 18 combinations of tree count, depth, and minimum leaf size. Nested evaluation separates parameter selection from performance estimation (scikit-learn developers, n.d.-b).</w:t>
      </w:r>
    </w:p>
    <w:p>
      <w:r>
        <w:t>Stored outputs show mean nested ROC-AUC of .9102 (SD = .0431) for logistic regression and .8858 (SD = .0388) for random forest. Corresponding non-nested scores were .9169 and .9008. These differences are consistent with selection optimism, but one comparison cannot establish that search-space size caused the larger forest gap. The final training-set search selected C = 1. Because nested analysis used the full dataset, including the original test patients, the later test-set result is not fully independent of the overall model-selection process.</w:t>
      </w:r>
    </w:p>
    <w:p>
      <w:pPr>
        <w:ind w:firstLine="0"/>
        <w:jc w:val="center"/>
      </w:pPr>
      <w:r>
        <w:rPr>
          <w:b/>
        </w:rPr>
        <w:t>Final Model Evaluation</w:t>
      </w:r>
    </w:p>
    <w:p>
      <w:r>
        <w:t>The fitted logistic model used 226 training patients and was evaluated on the original 76-patient test partition, containing 35 disease cases and 41 patients without disease. At the prespecified .50 threshold, ROC-AUC was .9261, accuracy .829, precision .824, recall .800, and F1 .812. The confusion matrix contained 28 true positives, 35 true negatives, seven false negatives, and six false positives. These results support useful discrimination within this sample, while the missed cases show why accuracy alone is insufficient for a review-prioritization application.</w:t>
      </w:r>
    </w:p>
    <w:p>
      <w:r>
        <w:t>The Brier score was .1105. The five-bin calibration plot showed predicted probabilities and observed frequencies differing by approximately .036 to .085. Each bin contained only about 15 patients, so these results provide preliminary evidence rather than proof of reliable individual risk estimates. A prevalence-based constant predictor provides a more relevant Brier comparison than treating .25 as a universal baseline. Using the test prevalence of 35/76 gives an illustrative constant-prediction score of approximately .2484; this is a descriptive benchmark, not a fitted comparator.</w:t>
      </w:r>
    </w:p>
    <w:p>
      <w:r>
        <w:t>The notebook also explored thresholds by minimizing weighted false-negative and false-positive counts. At equal costs, .57 produced seven missed cases and three false alarms. With assumed missed-case costs two or more times the false-alarm cost, the searched grid selected .16. At .16, accuracy was .789, precision .686, recall 1.000, and F1 .814, with zero missed cases and 16 false alarms. Thus, ten additional false alarms accompanied detection of seven additional disease cases, while F1 barely changed.</w:t>
      </w:r>
    </w:p>
    <w:p>
      <w:r>
        <w:t>These lower-threshold results are exploratory because test outcomes were used both to select and evaluate the threshold. Zero observed misses among 35 cases does not guarantee zero future misses. Threshold tuning should use training-set cross-validation or a separate validation sample, followed by evaluation on untouched data (scikit-learn developers, n.d.-c). ROC-AUC remains unchanged when only the classification threshold changes.</w:t>
      </w:r>
    </w:p>
    <w:p>
      <w:pPr>
        <w:ind w:firstLine="0"/>
        <w:jc w:val="center"/>
      </w:pPr>
      <w:r>
        <w:rPr>
          <w:b/>
        </w:rPr>
        <w:t>Ethical Considerations</w:t>
      </w:r>
    </w:p>
    <w:p>
      <w:r>
        <w:t>At the default .50 threshold, the model detected disease less reliably for the sex = 0 subgroup, which coding and prevalence indicate is female (recall .714 vs. .821). We tested the obvious remedy, a lower decision threshold for that subgroup. On the test split, lowering the sex = 0 threshold to .30 raised recall to .857 at the cost of one additional false alarm. Across 30 resampled splits, however, the threshold needed to equalize recall averaged .336 (</w:t>
      </w:r>
      <w:r>
        <w:rPr>
          <w:i/>
        </w:rPr>
        <w:t>SD</w:t>
      </w:r>
      <w:r>
        <w:t xml:space="preserve"> = .157) and ranged from .05 to .50 (Figure 2). Each split left a mean of 5.7 disease cases in the subgroup, so one patient moved subgroup recall by about 18 percentage points. Reporting the single split alone would have claimed a closed fairness gap on the strength of one patient.</w:t>
      </w:r>
    </w:p>
    <w:p>
      <w:r>
        <w:t>The remedy itself is established practice in cardiology. The fourth universal definition of myocardial infarction recommends sex-specific troponin limits (Thygesen et al., 2018). On one widely used assay these are 16 ng/L for women and 34 ng/L for men, and adopting them doubled myocardial infarction diagnoses in women, from 11% to 22%, with little change in men (Shah et al., 2015). When those thresholds were implemented across 10 hospitals, five times as many additional women as men were identified, yet women still received roughly half the treatment and outcomes did not improve (Lee et al., 2019). Two lessons transfer to our tool. A group-specific threshold needs far more outcome data than we hold, and a threshold changes only who is flagged, not what happens next.</w:t>
      </w:r>
    </w:p>
    <w:p>
      <w:r>
        <w:t>We therefore apply no fairness correction to the prototype. Sex is retained for auditing, since removing it would hide the disparity without closing it (Rajkomar et al., 2018). Any deployment should report subgroup recall, false-positive rates, case counts, and uncertainty. It should estimate any subgroup threshold on development data large enough to support it, and it should monitor whether flagged patients in each group actually receive follow-up (Chen et al., 2019). The cohort is 302 patients from a 1989 referral population who did not consent to training a deployed system. Its records may also encode the long-documented under-recognition of coronary disease in women (Mosca et al., 2011).</w:t>
      </w:r>
    </w:p>
    <w:p>
      <w:pPr>
        <w:keepNext/>
        <w:ind w:firstLine="0"/>
      </w:pPr>
      <w:r>
        <w:rPr>
          <w:b/>
        </w:rPr>
        <w:t>Figure 2</w:t>
      </w:r>
    </w:p>
    <w:p>
      <w:pPr>
        <w:keepNext/>
        <w:ind w:firstLine="0"/>
      </w:pPr>
      <w:r>
        <w:rPr>
          <w:i/>
        </w:rPr>
        <w:t>Threshold Required to Equalize Subgroup Recall Across 30 Resampled Splits</w:t>
      </w:r>
    </w:p>
    <w:p>
      <w:pPr>
        <w:keepNext/>
        <w:ind w:firstLine="0"/>
        <w:jc w:val="center"/>
      </w:pPr>
      <w:r>
        <w:drawing>
          <wp:inline xmlns:a="http://schemas.openxmlformats.org/drawingml/2006/main" xmlns:pic="http://schemas.openxmlformats.org/drawingml/2006/picture">
            <wp:extent cx="5943600" cy="2046006"/>
            <wp:docPr id="1" name="Picture 1"/>
            <wp:cNvGraphicFramePr>
              <a:graphicFrameLocks noChangeAspect="1"/>
            </wp:cNvGraphicFramePr>
            <a:graphic>
              <a:graphicData uri="http://schemas.openxmlformats.org/drawingml/2006/picture">
                <pic:pic>
                  <pic:nvPicPr>
                    <pic:cNvPr id="0" name="fig2_threshold_stability.png"/>
                    <pic:cNvPicPr/>
                  </pic:nvPicPr>
                  <pic:blipFill>
                    <a:blip r:embed="rId9"/>
                    <a:stretch>
                      <a:fillRect/>
                    </a:stretch>
                  </pic:blipFill>
                  <pic:spPr>
                    <a:xfrm>
                      <a:off x="0" y="0"/>
                      <a:ext cx="5943600" cy="2046006"/>
                    </a:xfrm>
                    <a:prstGeom prst="rect"/>
                  </pic:spPr>
                </pic:pic>
              </a:graphicData>
            </a:graphic>
          </wp:inline>
        </w:drawing>
      </w:r>
    </w:p>
    <w:p>
      <w:pPr>
        <w:ind w:firstLine="0"/>
      </w:pPr>
      <w:r>
        <w:rPr>
          <w:i/>
        </w:rPr>
        <w:t>Note.</w:t>
      </w:r>
      <w:r>
        <w:t xml:space="preserve"> Panel A shows that the sex = 0 threshold needed to match sex = 1 recall ranges from .05 to .50 (</w:t>
      </w:r>
      <w:r>
        <w:rPr>
          <w:i/>
        </w:rPr>
        <w:t>M</w:t>
      </w:r>
      <w:r>
        <w:t xml:space="preserve"> = .336, </w:t>
      </w:r>
      <w:r>
        <w:rPr>
          <w:i/>
        </w:rPr>
        <w:t>SD</w:t>
      </w:r>
      <w:r>
        <w:t xml:space="preserve"> = .157), almost the full usable range. Panel B shows why: each split leaves 2 to 11 disease cases in the subgroup, so one patient shifts recall by about 18 percentage points. The remedy cannot be calibrated reliably on this dataset.</w:t>
      </w:r>
    </w:p>
    <w:p>
      <w:pPr>
        <w:ind w:firstLine="0"/>
        <w:jc w:val="center"/>
      </w:pPr>
      <w:r>
        <w:rPr>
          <w:b/>
        </w:rPr>
        <w:t>Real-World Application</w:t>
      </w:r>
    </w:p>
    <w:p>
      <w:r>
        <w:t>The proposed use is a clinician-reviewed worklist after a cardiac investigation. Vessel-count and thallium-test variables are available after specialized testing, so this model cannot support an earlier screening workflow without a separate design and evaluation. A hospital could use its score to prioritize review of completed investigations, while preserving ordinary care pathways and clinician authority. The tool should communicate uncertainty and the measurements used, rather than present its output as a diagnosis.</w:t>
      </w:r>
    </w:p>
    <w:p>
      <w:r>
        <w:t>The threshold analysis illustrates a practical resource trade-off. In this sample, lowering the threshold from .50 to .16 increased flagged patients from 34 to 51. The additional workload could matter when review capacity is limited. Before selecting an operating threshold, clinicians and service managers would need to define the consequences of delayed review, unnecessary review, and capacity constraints. The assumed cost ratios in the notebook are scenarios, not measured clinical preferences. No evidence here establishes improved patient outcomes, reduced costs, or faster treatment.</w:t>
      </w:r>
    </w:p>
    <w:p>
      <w:r>
        <w:t>Implementation should begin with validation on a larger, current local cohort. Preprocessing, hyperparameter selection, calibration assessment, and threshold selection should remain within development data. After those choices are locked, an independent test cohort should assess discrimination, calibration, subgroup performance, and review volume. A subsequent silent evaluation could compare proposed priorities with existing workflows before scores influence care. Any later pilot would require institutional approval, appropriate data governance, clinician training, and a documented escalation process.</w:t>
      </w:r>
    </w:p>
    <w:p>
      <w:r>
        <w:t>Explanations also require technical verification. The supplied notebook associates coefficients with original dataframe columns, although ColumnTransformer places scaled continuous variables before passthrough variables. Consequently, its maximum-heart-rate sign-reversal claim is unsupported. Feature labels must come from the fitted transformer’s get_feature_names_out method before coefficients are interpreted (scikit-learn developers, n.d.-a). Even correctly labeled coefficients describe conditional associations, not causal effects. Monitoring should then track calibration, missed cases, false alarms, subgroup errors, and changes in the patient population.</w:t>
      </w:r>
    </w:p>
    <w:p>
      <w:pPr>
        <w:ind w:firstLine="0"/>
        <w:jc w:val="center"/>
      </w:pPr>
      <w:r>
        <w:rPr>
          <w:b/>
        </w:rPr>
        <w:t>Final Thoughts and Conclusion</w:t>
      </w:r>
    </w:p>
    <w:p>
      <w:r>
        <w:t>Logistic regression remained the stronger candidate in the stored nested cross-validation results. The threshold experiments showed that similar F1 scores can conceal very different error patterns: seven missed cases at .50 versus none observed at the retrospectively selected .16 threshold. The subgroup experiments also showed how few disease cases can produce unstable fairness adjustments. Together, these findings favor reporting error counts and uncertainty alongside aggregate metrics.</w:t>
      </w:r>
    </w:p>
    <w:p>
      <w:r>
        <w:t>The project supports continued development of a research prototype, rather than clinical deployment. Its main limitations are the small historical cohort, reuse of test outcomes for threshold selection, full-cohort nested model comparison, and unreliable coefficient labeling. Next steps are to correct feature labels, select thresholds exclusively within development data, and validate the locked workflow on an independent contemporary cohort. The practical contribution is a clearer account of model-selection uncertainty, review workload, and the evidence still needed before patient care could depend on the system.</w:t>
      </w:r>
    </w:p>
    <w:p>
      <w:pPr>
        <w:ind w:firstLine="0"/>
        <w:jc w:val="center"/>
      </w:pPr>
      <w:r>
        <w:rPr>
          <w:b/>
        </w:rPr>
        <w:t>Teamwork and Documentation</w:t>
      </w:r>
    </w:p>
    <w:p>
      <w:r>
        <w:t>Group 8 coordinated daily through WhatsApp and carried out the analysis in a single shared Google Colab notebook, which one member synchronized to the team's GitHub repository; the repository decision log, rather than the commit history, records individual contributions. Roles were agreed on 5 October. The brief for this deliverable names five sections, but the grading rubric retains all eight criteria, and the four it does not name carry 55% of the marks. Work was therefore divided against the rubric rather than the brief: Christian Gaston took the problem and dataset recap, Real-World Application, and final assembly; Subba Taniparti, hyperparameter tuning and evaluation metrics; Harini Mamidala, the evaluation figures and conclusion, since her earlier area of data exploration has no section here; and Bellary Naveen Vishal, ethical considerations and team documentation.</w:t>
      </w:r>
    </w:p>
    <w:p>
      <w:r>
        <w:t>The decision that mattered most was committing one fully executed notebook before anyone began writing, so that every section would cite the same numbers. A single shared source also made its weaknesses visible to the whole team at once. Within a day the team had logged two: nested cross-validation had drawn on the full dataset, including the held-out test patients, and the cost-based thresholds had been chosen using test outcomes. Drafting then exposed a third, coefficient labels that did not follow the column order of the preprocessing pipeline, which undermined an interpretive claim about maximum heart rate. With the deadline falling in the same week as an examination and a discussion assignment, rerunning the analysis was not feasible, so all three were recorded in the decision log and are reported in this paper as limitations rather than omitted. The same constraint is why drafts were due a full week before submission.</w:t>
      </w:r>
    </w:p>
    <w:p>
      <w:r>
        <w:br w:type="page"/>
      </w:r>
    </w:p>
    <w:p>
      <w:pPr>
        <w:ind w:firstLine="0"/>
        <w:jc w:val="center"/>
      </w:pPr>
      <w:r>
        <w:rPr>
          <w:b/>
        </w:rPr>
        <w:t>References</w:t>
      </w:r>
    </w:p>
    <w:p>
      <w:pPr>
        <w:ind w:hanging="720" w:left="720"/>
      </w:pPr>
      <w:r>
        <w:t xml:space="preserve">Chen, I. Y., Szolovits, P., &amp; Ghassemi, M. (2019). Can AI help reduce disparities in general medical and mental health care? </w:t>
      </w:r>
      <w:r>
        <w:rPr>
          <w:i/>
        </w:rPr>
        <w:t>AMA Journal of Ethics, 21</w:t>
      </w:r>
      <w:r>
        <w:t>(2), E167–E179. https://doi.org/10.1001/amajethics.2019.167</w:t>
      </w:r>
    </w:p>
    <w:p>
      <w:pPr>
        <w:ind w:hanging="720" w:left="720"/>
      </w:pPr>
      <w:r>
        <w:t xml:space="preserve">Lee, K. K., Ferry, A. V., Anand, A., Strachan, F. E., Chapman, A. R., Kimenai, D. M., Meex, S. J. R., Berry, C., Findlay, I., Reid, A., Cruickshank, A., Gray, A., Collinson, P. O., Apple, F. S., McAllister, D. A., Maguire, D., Fox, K. A. A., Newby, D. E., Tuck, C., . . . Mills, N. L. (2019). Sex-specific thresholds of high-sensitivity troponin in patients with suspected acute coronary syndrome. </w:t>
      </w:r>
      <w:r>
        <w:rPr>
          <w:i/>
        </w:rPr>
        <w:t>Journal of the American College of Cardiology, 74</w:t>
      </w:r>
      <w:r>
        <w:t>(16), 2032–2043. https://doi.org/10.1016/j.jacc.2019.07.082</w:t>
      </w:r>
    </w:p>
    <w:p>
      <w:pPr>
        <w:ind w:hanging="720" w:left="720"/>
      </w:pPr>
      <w:r>
        <w:t xml:space="preserve">Mosca, L., Barrett-Connor, E., &amp; Wenger, N. K. (2011). Sex/gender differences in cardiovascular disease prevention: What a difference a decade makes. </w:t>
      </w:r>
      <w:r>
        <w:rPr>
          <w:i/>
        </w:rPr>
        <w:t>Circulation, 124</w:t>
      </w:r>
      <w:r>
        <w:t>(19), 2145–2154. https://doi.org/10.1161/CIRCULATIONAHA.110.968792</w:t>
      </w:r>
    </w:p>
    <w:p>
      <w:pPr>
        <w:ind w:hanging="720" w:left="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pPr>
        <w:ind w:hanging="720" w:left="720"/>
      </w:pPr>
      <w:r>
        <w:t xml:space="preserve">Rajkomar, A., Hardt, M., Howell, M. D., Corrado, G., &amp; Chin, M. H. (2018). Ensuring fairness in machine learning to advance health equity. </w:t>
      </w:r>
      <w:r>
        <w:rPr>
          <w:i/>
        </w:rPr>
        <w:t>Annals of Internal Medicine, 169</w:t>
      </w:r>
      <w:r>
        <w:t>(12), 866–872. https://doi.org/10.7326/M18-1990</w:t>
      </w:r>
    </w:p>
    <w:p>
      <w:pPr>
        <w:ind w:hanging="720" w:left="720"/>
      </w:pPr>
      <w:r>
        <w:t>scikit-learn developers. (n.d.-a). ColumnTransformer. scikit-learn. https://scikit-learn.org/stable/modules/generated/sklearn.compose.ColumnTransformer.html</w:t>
      </w:r>
    </w:p>
    <w:p>
      <w:pPr>
        <w:ind w:hanging="720" w:left="720"/>
      </w:pPr>
      <w:r>
        <w:t>scikit-learn developers. (n.d.-b). Nested versus non-nested cross-validation. scikit-learn. https://scikit-learn.org/stable/auto_examples/model_selection/plot_nested_cross_validation_iris.html</w:t>
      </w:r>
    </w:p>
    <w:p>
      <w:pPr>
        <w:ind w:hanging="720" w:left="720"/>
      </w:pPr>
      <w:r>
        <w:t>scikit-learn developers. (n.d.-c). Tuning the decision threshold for class prediction. scikit-learn. https://scikit-learn.org/stable/modules/classification_threshold.html</w:t>
      </w:r>
    </w:p>
    <w:p>
      <w:pPr>
        <w:ind w:hanging="720" w:left="720"/>
      </w:pPr>
      <w:r>
        <w:t xml:space="preserve">Shah, A. S. V., Griffiths, M., Lee, K. K., McAllister, D. A., Hunter, A. L., Ferry, A. V., Cruikshank, A., Reid, A., Stoddart, M., Strachan, F., Walker, S., Collinson, P. O., Apple, F. S., Gray, A. J., Fox, K. A. A., Newby, D. E., &amp; Mills, N. L. (2015). High sensitivity cardiac troponin and the under-diagnosis of myocardial infarction in women: Prospective cohort study. </w:t>
      </w:r>
      <w:r>
        <w:rPr>
          <w:i/>
        </w:rPr>
        <w:t>BMJ, 350</w:t>
      </w:r>
      <w:r>
        <w:t>, Article g7873. https://doi.org/10.1136/bmj.g7873</w:t>
      </w:r>
    </w:p>
    <w:p>
      <w:pPr>
        <w:ind w:hanging="720" w:left="720"/>
      </w:pPr>
      <w:r>
        <w:t xml:space="preserve">Thygesen, K., Alpert, J. S., Jaffe, A. S., Chaitman, B. R., Bax, J. J., Morrow, D. A., &amp; White, H. D. (2018). Fourth universal definition of myocardial infarction (2018). </w:t>
      </w:r>
      <w:r>
        <w:rPr>
          <w:i/>
        </w:rPr>
        <w:t>Journal of the American College of Cardiology, 72</w:t>
      </w:r>
      <w:r>
        <w:t>(18), 2231–2264. https://doi.org/10.1016/j.jacc.2018.08.1038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