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rPr>
        <w:t>Final Model Evaluation</w:t>
      </w:r>
    </w:p>
    <w:p>
      <w:r>
        <w:t>Logistic regression remained the preferred model, with nested ROC-AUC of .9102 compared with .8858 for random forest. Nested cross-validation separates hyperparameter selection from performance assessment (scikit-learn developers, n.d.-a). The 76-patient test split produced ROC-AUC of .926; this describes a different evaluation procedure from the nested estimate.</w:t>
      </w:r>
    </w:p>
    <w:p>
      <w:r>
        <w:t>Figure 1 compares predicted probabilities with observed disease frequencies. The five calibration bins broadly followed the ideal diagonal, with a Brier score of 0.1105. Calibration measures probability agreement, while Brier score also reflects discrimination and outcome uncertainty (scikit-learn developers, n.d.-b). The small test sample provides preliminary evidence rather than establishing reliable clinical risk estimates.</w:t>
      </w:r>
    </w:p>
    <w:p>
      <w:r>
        <w:t>Figure 3 illustrates the sensitivity–precision trade-off. At threshold 0.50, seven disease cases were missed and six false alarms occurred. At 0.16, all 35 disease cases were detected, but false alarms increased to 16. Recall rose from .800 to 1.000, while precision fell from .824 to .686 and accuracy from .829 to .789. F1 changed only slightly, from .812 to .814. The confusion matrices show the practical consequences that a summary score can obscure.</w:t>
      </w:r>
    </w:p>
    <w:p>
      <w:r>
        <w:t>Threshold choice should reflect the consequences of prediction errors (scikit-learn developers, n.d.-c). However, 0.16 was selected using test outcomes, making its apparent benefit exploratory. Selection on training validation folds and evaluation on untouched patients are needed before claiming reproducible improvement. The nested analysis also included the later test patients, limiting independence between overall model selection and test evaluation.</w:t>
      </w:r>
    </w:p>
    <w:p>
      <w:r/>
    </w:p>
    <w:p>
      <w:pPr>
        <w:ind w:firstLine="0"/>
        <w:jc w:val="center"/>
      </w:pPr>
      <w:r>
        <w:rPr>
          <w:b/>
        </w:rPr>
        <w:t>Final Thoughts and Conclusion</w:t>
      </w:r>
    </w:p>
    <w:p>
      <w:r>
        <w:t>Logistic regression retained the stronger nested ROC-AUC and remains the preferred model for further investigation. Lowering its threshold detected all disease cases in the evaluated sample, but increased false alarms and reduced precision. Because test outcomes guided threshold selection, this finding demonstrates an exploratory trade-off rather than a validated improvement.</w:t>
      </w:r>
    </w:p>
    <w:p>
      <w:r>
        <w:t>Subgroup threshold adjustments also improved recall on one split, but varied substantially across repeated splits. The small number of disease cases in the smaller subgroup prevents a stable fairness conclusion.</w:t>
      </w:r>
    </w:p>
    <w:p>
      <w:r>
        <w:t>Further work requires larger, more representative datasets, threshold selection within training validation procedures, and independent evaluation. Calibration, referral burden, and subgroup recall should be assessed together. The system should remain a research prototype until external validation and clinical oversight support practical use.</w:t>
      </w:r>
    </w:p>
    <w:p>
      <w:r/>
    </w:p>
    <w:p>
      <w:pPr>
        <w:ind w:firstLine="0"/>
      </w:pPr>
      <w:r>
        <w:rPr>
          <w:b/>
        </w:rPr>
        <w:t>Figure 1</w:t>
      </w:r>
    </w:p>
    <w:p>
      <w:pPr>
        <w:ind w:firstLine="0"/>
      </w:pPr>
      <w:r>
        <w:rPr>
          <w:i/>
        </w:rPr>
        <w:t>Calibration and Predicted Disease Probabilities</w:t>
      </w:r>
    </w:p>
    <w:p>
      <w:pPr>
        <w:ind w:firstLine="0"/>
      </w:pPr>
      <w:r/>
    </w:p>
    <w:p>
      <w:pPr>
        <w:ind w:firstLine="0"/>
      </w:pPr>
      <w:r>
        <w:rPr>
          <w:i/>
        </w:rPr>
        <w:t xml:space="preserve">Note. </w:t>
      </w:r>
      <w:r>
        <w:t>Panel A compares mean predicted probabilities with observed disease frequencies across five quantile bins. The dashed diagonal represents perfect calibration. Brier score = 0.1105. Panel B shows probability distributions by actual outcome and the default threshold of 0.50. Results are based on 76 test patients. The limited sample does not establish clinical calibration. Figures were generated from the Group 8 analysis pipeline.</w:t>
      </w:r>
    </w:p>
    <w:p>
      <w:r/>
    </w:p>
    <w:p>
      <w:pPr>
        <w:ind w:firstLine="0"/>
      </w:pPr>
      <w:r>
        <w:rPr>
          <w:b/>
        </w:rPr>
        <w:t>Figure 3</w:t>
      </w:r>
    </w:p>
    <w:p>
      <w:pPr>
        <w:ind w:firstLine="0"/>
      </w:pPr>
      <w:r>
        <w:rPr>
          <w:i/>
        </w:rPr>
        <w:t>Confusion Matrices at Default and Exploratory Thresholds</w:t>
      </w:r>
    </w:p>
    <w:p>
      <w:pPr>
        <w:ind w:firstLine="0"/>
      </w:pPr>
      <w:r/>
    </w:p>
    <w:p>
      <w:pPr>
        <w:ind w:firstLine="0"/>
      </w:pPr>
      <w:r>
        <w:rPr>
          <w:i/>
        </w:rPr>
        <w:t xml:space="preserve">Note. </w:t>
      </w:r>
      <w:r>
        <w:t>Panel A uses threshold 0.50; Panel B uses threshold 0.16. Rows represent actual outcomes and columns predicted outcomes. Missed disease cases decrease from seven to zero, while false alarms increase from six to 16. Both panels use the same color scale. Threshold 0.16 was selected using test outcomes; these results are exploratory and require independent validation.</w:t>
      </w:r>
    </w:p>
    <w:p>
      <w:r/>
    </w:p>
    <w:p>
      <w:pPr>
        <w:ind w:firstLine="0"/>
        <w:jc w:val="center"/>
      </w:pPr>
      <w:r>
        <w:rPr>
          <w:b/>
        </w:rPr>
        <w:t>References</w:t>
      </w:r>
    </w:p>
    <w:p>
      <w:pPr>
        <w:ind w:left="720" w:hanging="720"/>
      </w:pPr>
      <w:r>
        <w:t xml:space="preserve">scikit-learn developers. (n.d.-a). </w:t>
      </w:r>
      <w:r>
        <w:rPr>
          <w:i/>
        </w:rPr>
        <w:t>Nested versus non-nested cross-validation</w:t>
      </w:r>
      <w:r>
        <w:t>. https://scikit-learn.org/stable/auto_examples/model_selection/plot_nested_cross_validation_iris.html</w:t>
      </w:r>
    </w:p>
    <w:p>
      <w:pPr>
        <w:ind w:left="720" w:hanging="720"/>
      </w:pPr>
      <w:r>
        <w:t xml:space="preserve">scikit-learn developers. (n.d.-b). </w:t>
      </w:r>
      <w:r>
        <w:rPr>
          <w:i/>
        </w:rPr>
        <w:t>Probability calibration</w:t>
      </w:r>
      <w:r>
        <w:t>. https://scikit-learn.org/stable/modules/calibration.html</w:t>
      </w:r>
    </w:p>
    <w:p>
      <w:pPr>
        <w:ind w:left="720" w:hanging="720"/>
      </w:pPr>
      <w:r>
        <w:t xml:space="preserve">scikit-learn developers. (n.d.-c). </w:t>
      </w:r>
      <w:r>
        <w:rPr>
          <w:i/>
        </w:rPr>
        <w:t>Tuning the decision threshold for class prediction</w:t>
      </w:r>
      <w:r>
        <w:t>. https://scikit-learn.org/stable/modules/classification_threshold.html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ind w:firstLine="0"/>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Mamidala</dc:creator>
  <cp:keywords/>
  <dc:description>generated by python-docx</dc:description>
  <cp:lastModifiedBy/>
  <cp:revision>1</cp:revision>
  <dcterms:created xsi:type="dcterms:W3CDTF">2013-12-23T23:15:00Z</dcterms:created>
  <dcterms:modified xsi:type="dcterms:W3CDTF">2013-12-23T23:15:00Z</dcterms:modified>
  <cp:category/>
</cp:coreProperties>
</file>