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7CA1E" w14:textId="77777777" w:rsidR="00D708D3" w:rsidRPr="000876BF" w:rsidRDefault="00D708D3" w:rsidP="00D708D3">
      <w:pPr>
        <w:spacing w:line="276" w:lineRule="auto"/>
        <w:jc w:val="center"/>
        <w:rPr>
          <w:b/>
          <w:bCs/>
          <w:szCs w:val="26"/>
        </w:rPr>
      </w:pPr>
      <w:r w:rsidRPr="000876BF">
        <w:rPr>
          <w:b/>
          <w:bCs/>
          <w:szCs w:val="26"/>
        </w:rPr>
        <w:t>INTEGRATING FLOOD HAZARD MAPPING WITH AHP AND MACHINE LEARNING FOR EVALUATING LAND USE PLANNING EFFECTIVENESS: A CASE STUDY IN HA TINH, VIETNAM</w:t>
      </w:r>
    </w:p>
    <w:p w14:paraId="148A7A18" w14:textId="3A9DDF9E" w:rsidR="00C926EB" w:rsidRPr="000876BF" w:rsidRDefault="00C926EB" w:rsidP="0033331C">
      <w:pPr>
        <w:spacing w:line="276" w:lineRule="auto"/>
        <w:jc w:val="center"/>
        <w:rPr>
          <w:b/>
          <w:bCs/>
          <w:szCs w:val="26"/>
        </w:rPr>
      </w:pPr>
      <w:r w:rsidRPr="000876BF">
        <w:rPr>
          <w:b/>
          <w:bCs/>
          <w:szCs w:val="26"/>
        </w:rPr>
        <w:t>Tran Trong Phuong</w:t>
      </w:r>
      <w:r w:rsidRPr="000876BF">
        <w:rPr>
          <w:b/>
          <w:bCs/>
          <w:szCs w:val="26"/>
          <w:vertAlign w:val="superscript"/>
        </w:rPr>
        <w:t>1</w:t>
      </w:r>
      <w:r w:rsidR="0033331C" w:rsidRPr="000876BF">
        <w:rPr>
          <w:b/>
          <w:bCs/>
          <w:szCs w:val="26"/>
        </w:rPr>
        <w:t xml:space="preserve">, </w:t>
      </w:r>
      <w:r w:rsidR="00E0196D" w:rsidRPr="000876BF">
        <w:rPr>
          <w:b/>
          <w:bCs/>
          <w:szCs w:val="26"/>
        </w:rPr>
        <w:t>Le Thi Lan</w:t>
      </w:r>
      <w:r w:rsidR="00E0196D" w:rsidRPr="000876BF">
        <w:rPr>
          <w:b/>
          <w:bCs/>
          <w:szCs w:val="26"/>
          <w:vertAlign w:val="superscript"/>
        </w:rPr>
        <w:t>2</w:t>
      </w:r>
    </w:p>
    <w:p w14:paraId="558FAD9B" w14:textId="49CE955F" w:rsidR="00C926EB" w:rsidRPr="000876BF" w:rsidRDefault="00C926EB" w:rsidP="00AD69E9">
      <w:pPr>
        <w:spacing w:line="276" w:lineRule="auto"/>
        <w:jc w:val="center"/>
        <w:rPr>
          <w:i/>
          <w:iCs/>
          <w:szCs w:val="26"/>
        </w:rPr>
      </w:pPr>
      <w:r w:rsidRPr="000876BF">
        <w:rPr>
          <w:i/>
          <w:iCs/>
          <w:szCs w:val="26"/>
          <w:vertAlign w:val="superscript"/>
        </w:rPr>
        <w:t>1</w:t>
      </w:r>
      <w:r w:rsidRPr="000876BF">
        <w:rPr>
          <w:i/>
          <w:iCs/>
          <w:szCs w:val="26"/>
        </w:rPr>
        <w:t>Faculty of Natural Resources and Environment, Vietnam National University of Agriculture, Ha Noi, Vietnam</w:t>
      </w:r>
    </w:p>
    <w:p w14:paraId="2F1E6922" w14:textId="68D2D142" w:rsidR="0033331C" w:rsidRPr="000876BF" w:rsidRDefault="0033331C" w:rsidP="0033331C">
      <w:pPr>
        <w:pStyle w:val="Addresses"/>
        <w:spacing w:after="0"/>
        <w:ind w:left="0"/>
        <w:rPr>
          <w:i/>
          <w:iCs/>
          <w:sz w:val="26"/>
          <w:szCs w:val="26"/>
        </w:rPr>
      </w:pPr>
      <w:proofErr w:type="gramStart"/>
      <w:r w:rsidRPr="000876BF">
        <w:rPr>
          <w:i/>
          <w:iCs/>
          <w:sz w:val="26"/>
          <w:szCs w:val="26"/>
          <w:vertAlign w:val="superscript"/>
        </w:rPr>
        <w:t xml:space="preserve">2  </w:t>
      </w:r>
      <w:r w:rsidRPr="000876BF">
        <w:rPr>
          <w:i/>
          <w:iCs/>
          <w:sz w:val="26"/>
          <w:szCs w:val="26"/>
        </w:rPr>
        <w:t>Faculty</w:t>
      </w:r>
      <w:proofErr w:type="gramEnd"/>
      <w:r w:rsidRPr="000876BF">
        <w:rPr>
          <w:i/>
          <w:iCs/>
          <w:sz w:val="26"/>
          <w:szCs w:val="26"/>
        </w:rPr>
        <w:t xml:space="preserve"> of Land Managem</w:t>
      </w:r>
      <w:r w:rsidR="00024F86" w:rsidRPr="000876BF">
        <w:rPr>
          <w:i/>
          <w:iCs/>
          <w:sz w:val="26"/>
          <w:szCs w:val="26"/>
        </w:rPr>
        <w:t>en</w:t>
      </w:r>
      <w:r w:rsidRPr="000876BF">
        <w:rPr>
          <w:i/>
          <w:iCs/>
          <w:sz w:val="26"/>
          <w:szCs w:val="26"/>
        </w:rPr>
        <w:t>t, Hanoi University of Natural Resources and Environment, Ha Noi, Viet Nam</w:t>
      </w:r>
    </w:p>
    <w:p w14:paraId="27D2A3C7" w14:textId="681CA5E2" w:rsidR="00C926EB" w:rsidRPr="000876BF" w:rsidRDefault="00C926EB" w:rsidP="00AD69E9">
      <w:pPr>
        <w:spacing w:line="276" w:lineRule="auto"/>
        <w:jc w:val="center"/>
        <w:rPr>
          <w:i/>
          <w:iCs/>
          <w:szCs w:val="26"/>
        </w:rPr>
      </w:pPr>
      <w:r w:rsidRPr="000876BF">
        <w:rPr>
          <w:i/>
          <w:iCs/>
          <w:szCs w:val="26"/>
        </w:rPr>
        <w:t xml:space="preserve">Email: </w:t>
      </w:r>
      <w:hyperlink r:id="rId5" w:history="1">
        <w:r w:rsidR="00EE7FE3" w:rsidRPr="000876BF">
          <w:rPr>
            <w:rStyle w:val="Hyperlink"/>
            <w:i/>
            <w:iCs/>
            <w:color w:val="auto"/>
            <w:szCs w:val="26"/>
            <w:u w:val="none"/>
          </w:rPr>
          <w:t>ttphuong@vnua.edu.vn</w:t>
        </w:r>
      </w:hyperlink>
    </w:p>
    <w:p w14:paraId="46E0829E" w14:textId="3DBAD93B" w:rsidR="00C926EB" w:rsidRPr="000876BF" w:rsidRDefault="00C926EB" w:rsidP="00AD69E9">
      <w:pPr>
        <w:spacing w:line="276" w:lineRule="auto"/>
        <w:rPr>
          <w:b/>
          <w:bCs/>
          <w:szCs w:val="26"/>
        </w:rPr>
      </w:pPr>
      <w:r w:rsidRPr="000876BF">
        <w:rPr>
          <w:b/>
          <w:bCs/>
          <w:szCs w:val="26"/>
        </w:rPr>
        <w:t>ABSTRACT:</w:t>
      </w:r>
    </w:p>
    <w:p w14:paraId="7AA6A2EB" w14:textId="7AD07FA0" w:rsidR="00C926EB" w:rsidRPr="000876BF" w:rsidRDefault="005B14E3" w:rsidP="00100B6F">
      <w:pPr>
        <w:spacing w:before="120" w:after="120" w:line="276" w:lineRule="auto"/>
        <w:rPr>
          <w:rFonts w:cs="Times New Roman"/>
          <w:szCs w:val="26"/>
        </w:rPr>
      </w:pPr>
      <w:r w:rsidRPr="000876BF">
        <w:rPr>
          <w:szCs w:val="26"/>
        </w:rPr>
        <w:tab/>
        <w:t>Flooding is among the most destructive natural hazards in Vietnam, frequently causing widespread damage to livelihoods, infrastructure, and ecosystems. This study proposes an integrated framework that combines the Analytic Hierarchy Process (AHP) with machine learning to improve flood hazard mapping and evaluate the effectiveness of land use planning in Ha Tinh province. Six indicators in cluding proximity to stream, slope, elevation, aspect, land use/land cover, and precipitation were selected and weighted using AHP.</w:t>
      </w:r>
      <w:r w:rsidR="00100B6F" w:rsidRPr="000876BF">
        <w:rPr>
          <w:szCs w:val="26"/>
        </w:rPr>
        <w:t xml:space="preserve"> </w:t>
      </w:r>
      <w:r w:rsidRPr="000876BF">
        <w:rPr>
          <w:szCs w:val="26"/>
        </w:rPr>
        <w:t xml:space="preserve">To enhance objectivity, </w:t>
      </w:r>
      <w:r w:rsidR="00100B6F" w:rsidRPr="000876BF">
        <w:rPr>
          <w:szCs w:val="26"/>
        </w:rPr>
        <w:t xml:space="preserve">the </w:t>
      </w:r>
      <w:r w:rsidRPr="000876BF">
        <w:rPr>
          <w:szCs w:val="26"/>
        </w:rPr>
        <w:t>Support Vector Machine (SVM) model was trained using stratified random samples yielding probability-based susceptibility maps with improved predictive accuracy. The</w:t>
      </w:r>
      <w:r w:rsidR="00100B6F" w:rsidRPr="000876BF">
        <w:rPr>
          <w:szCs w:val="26"/>
        </w:rPr>
        <w:t xml:space="preserve"> </w:t>
      </w:r>
      <w:r w:rsidRPr="000876BF">
        <w:rPr>
          <w:szCs w:val="26"/>
        </w:rPr>
        <w:t>flood risk map indicated that nearly two-thirds of the province is classified as high or very high flood risk, with the “very high risk” zone alone covering 3,011.27 km² (47.66%) and the “high risk” zone 1,089.38 km² (17.24%)</w:t>
      </w:r>
      <w:r w:rsidR="00100B6F" w:rsidRPr="000876BF">
        <w:rPr>
          <w:szCs w:val="26"/>
        </w:rPr>
        <w:t xml:space="preserve">. </w:t>
      </w:r>
      <w:r w:rsidRPr="000876BF">
        <w:rPr>
          <w:szCs w:val="26"/>
        </w:rPr>
        <w:t xml:space="preserve">Overlay analysis with the 2030 land use planning map revealed that </w:t>
      </w:r>
      <w:r w:rsidR="00100B6F" w:rsidRPr="000876BF">
        <w:rPr>
          <w:szCs w:val="26"/>
        </w:rPr>
        <w:t>4,100.65</w:t>
      </w:r>
      <w:r w:rsidRPr="000876BF">
        <w:rPr>
          <w:szCs w:val="26"/>
        </w:rPr>
        <w:t xml:space="preserve"> km² of planned land lies within high flood risk zones, including </w:t>
      </w:r>
      <w:r w:rsidR="00100B6F" w:rsidRPr="000876BF">
        <w:rPr>
          <w:rFonts w:cs="Times New Roman"/>
          <w:color w:val="000000"/>
          <w:szCs w:val="26"/>
        </w:rPr>
        <w:t>2412.12</w:t>
      </w:r>
      <w:r w:rsidR="00100B6F" w:rsidRPr="000876BF">
        <w:rPr>
          <w:szCs w:val="26"/>
        </w:rPr>
        <w:t xml:space="preserve"> </w:t>
      </w:r>
      <w:r w:rsidRPr="000876BF">
        <w:rPr>
          <w:szCs w:val="26"/>
        </w:rPr>
        <w:t>km² of forest land, 622.83 km² of paddy land, and 613.77 km² of residential land. These results highlight critical conflicts between future land use development and flood hazard exposure. The findings underline the urgent need to incorporate disaster risk reduction and climate change adaptation into land use planning, while also demonstrating the potential of the AHP</w:t>
      </w:r>
      <w:r w:rsidR="002F225B" w:rsidRPr="000876BF">
        <w:rPr>
          <w:szCs w:val="26"/>
        </w:rPr>
        <w:t xml:space="preserve"> and </w:t>
      </w:r>
      <w:r w:rsidRPr="000876BF">
        <w:rPr>
          <w:szCs w:val="26"/>
        </w:rPr>
        <w:t>machine learning framework as a transferable tool for flood-prone regions.</w:t>
      </w:r>
    </w:p>
    <w:p w14:paraId="7556915B" w14:textId="77777777" w:rsidR="0080537E" w:rsidRPr="000876BF" w:rsidRDefault="00C926EB" w:rsidP="0080537E">
      <w:pPr>
        <w:spacing w:line="276" w:lineRule="auto"/>
        <w:rPr>
          <w:i/>
          <w:iCs/>
          <w:szCs w:val="26"/>
        </w:rPr>
      </w:pPr>
      <w:r w:rsidRPr="000876BF">
        <w:rPr>
          <w:b/>
          <w:bCs/>
          <w:i/>
          <w:iCs/>
          <w:szCs w:val="26"/>
        </w:rPr>
        <w:t>Keywords:</w:t>
      </w:r>
      <w:r w:rsidR="002F225B" w:rsidRPr="000876BF">
        <w:rPr>
          <w:b/>
          <w:bCs/>
          <w:i/>
          <w:iCs/>
          <w:szCs w:val="26"/>
        </w:rPr>
        <w:t xml:space="preserve"> </w:t>
      </w:r>
      <w:r w:rsidR="002F225B" w:rsidRPr="000876BF">
        <w:rPr>
          <w:i/>
          <w:iCs/>
          <w:szCs w:val="26"/>
        </w:rPr>
        <w:t xml:space="preserve">Flood </w:t>
      </w:r>
      <w:r w:rsidR="0080537E" w:rsidRPr="000876BF">
        <w:rPr>
          <w:i/>
          <w:iCs/>
          <w:szCs w:val="26"/>
        </w:rPr>
        <w:t>risk mapping</w:t>
      </w:r>
      <w:r w:rsidR="002F225B" w:rsidRPr="000876BF">
        <w:rPr>
          <w:i/>
          <w:iCs/>
          <w:szCs w:val="26"/>
        </w:rPr>
        <w:t xml:space="preserve">, </w:t>
      </w:r>
      <w:r w:rsidR="0080537E" w:rsidRPr="000876BF">
        <w:rPr>
          <w:i/>
          <w:iCs/>
          <w:szCs w:val="26"/>
        </w:rPr>
        <w:t>Analytic Hierarchy Process (AHP); Machine learning; Support Vector Machine (SVM); Ha Tinh Province; Spatial planning; Sustainable land management.</w:t>
      </w:r>
      <w:r w:rsidR="0080537E" w:rsidRPr="000876BF">
        <w:rPr>
          <w:i/>
          <w:iCs/>
          <w:szCs w:val="26"/>
        </w:rPr>
        <w:t xml:space="preserve"> </w:t>
      </w:r>
    </w:p>
    <w:p w14:paraId="676BC6F4" w14:textId="6B63F90E" w:rsidR="00C926EB" w:rsidRPr="000876BF" w:rsidRDefault="00C926EB" w:rsidP="0080537E">
      <w:pPr>
        <w:spacing w:line="276" w:lineRule="auto"/>
        <w:rPr>
          <w:b/>
          <w:bCs/>
          <w:szCs w:val="26"/>
        </w:rPr>
      </w:pPr>
      <w:r w:rsidRPr="000876BF">
        <w:rPr>
          <w:b/>
          <w:bCs/>
          <w:szCs w:val="26"/>
        </w:rPr>
        <w:t>1. INTRODUCTION</w:t>
      </w:r>
    </w:p>
    <w:p w14:paraId="1CD10A7F" w14:textId="26A26101" w:rsidR="00547C4D" w:rsidRPr="000876BF" w:rsidRDefault="00797EC5" w:rsidP="007B1A57">
      <w:pPr>
        <w:spacing w:after="0" w:line="276" w:lineRule="auto"/>
        <w:ind w:firstLine="720"/>
        <w:rPr>
          <w:szCs w:val="26"/>
        </w:rPr>
      </w:pPr>
      <w:r w:rsidRPr="000876BF">
        <w:rPr>
          <w:szCs w:val="26"/>
        </w:rPr>
        <w:t>Flooding is widely recognized as one of the most destructive natural hazards globally, posing significant threats to human life, property, agriculture, and ecosystems</w:t>
      </w:r>
      <w:r w:rsidR="00917B0E" w:rsidRPr="000876BF">
        <w:rPr>
          <w:szCs w:val="26"/>
        </w:rPr>
        <w:t xml:space="preserve"> (</w:t>
      </w:r>
      <w:r w:rsidR="00917B0E" w:rsidRPr="000876BF">
        <w:rPr>
          <w:color w:val="0070C0"/>
          <w:szCs w:val="26"/>
        </w:rPr>
        <w:t xml:space="preserve">Jonkman, 2005; </w:t>
      </w:r>
      <w:r w:rsidR="00CE38A8" w:rsidRPr="000876BF">
        <w:rPr>
          <w:rFonts w:eastAsia="Times New Roman" w:cs="Times New Roman"/>
          <w:color w:val="0070C0"/>
          <w:kern w:val="0"/>
          <w:szCs w:val="26"/>
          <w14:ligatures w14:val="none"/>
        </w:rPr>
        <w:t>Kundzewicz</w:t>
      </w:r>
      <w:r w:rsidR="00CE38A8" w:rsidRPr="000876BF">
        <w:rPr>
          <w:color w:val="0070C0"/>
          <w:szCs w:val="26"/>
        </w:rPr>
        <w:t xml:space="preserve"> et al., 2013; </w:t>
      </w:r>
      <w:r w:rsidR="00917B0E" w:rsidRPr="000876BF">
        <w:rPr>
          <w:color w:val="0070C0"/>
          <w:szCs w:val="26"/>
        </w:rPr>
        <w:t>Glago, 2021</w:t>
      </w:r>
      <w:r w:rsidR="00917B0E" w:rsidRPr="000876BF">
        <w:rPr>
          <w:szCs w:val="26"/>
        </w:rPr>
        <w:t>)</w:t>
      </w:r>
      <w:r w:rsidRPr="000876BF">
        <w:rPr>
          <w:szCs w:val="26"/>
        </w:rPr>
        <w:t>. According to international disaster reports, floods account for a large proportion of natural disaster</w:t>
      </w:r>
      <w:r w:rsidR="00547C4D" w:rsidRPr="000876BF">
        <w:rPr>
          <w:szCs w:val="26"/>
        </w:rPr>
        <w:t xml:space="preserve"> </w:t>
      </w:r>
      <w:r w:rsidRPr="000876BF">
        <w:rPr>
          <w:szCs w:val="26"/>
        </w:rPr>
        <w:t>related damages each year, not only in terms of economic losses but also in terms of social disruption and environmental degradation</w:t>
      </w:r>
      <w:r w:rsidR="00CE38A8" w:rsidRPr="000876BF">
        <w:rPr>
          <w:szCs w:val="26"/>
        </w:rPr>
        <w:t xml:space="preserve"> (</w:t>
      </w:r>
      <w:r w:rsidR="00CE38A8" w:rsidRPr="000876BF">
        <w:rPr>
          <w:color w:val="0070C0"/>
          <w:szCs w:val="26"/>
        </w:rPr>
        <w:t>Svetlana et al., 2015; Istomina &amp; Dobrovoski, 2016</w:t>
      </w:r>
      <w:r w:rsidR="00CE38A8" w:rsidRPr="000876BF">
        <w:rPr>
          <w:szCs w:val="26"/>
        </w:rPr>
        <w:t>)</w:t>
      </w:r>
      <w:r w:rsidRPr="000876BF">
        <w:rPr>
          <w:szCs w:val="26"/>
        </w:rPr>
        <w:t xml:space="preserve">. In </w:t>
      </w:r>
      <w:r w:rsidRPr="000876BF">
        <w:rPr>
          <w:szCs w:val="26"/>
        </w:rPr>
        <w:lastRenderedPageBreak/>
        <w:t>developing countries, the consequences are often more severe due to limited infrastructure, insufficient early-warning systems, and rapid population growth in flood-prone areas</w:t>
      </w:r>
      <w:r w:rsidR="0013666D" w:rsidRPr="000876BF">
        <w:rPr>
          <w:szCs w:val="26"/>
        </w:rPr>
        <w:t xml:space="preserve"> (</w:t>
      </w:r>
      <w:r w:rsidR="0013666D" w:rsidRPr="000876BF">
        <w:rPr>
          <w:rFonts w:eastAsia="Times New Roman" w:cs="Times New Roman"/>
          <w:color w:val="0070C0"/>
          <w:kern w:val="0"/>
          <w:szCs w:val="26"/>
          <w14:ligatures w14:val="none"/>
        </w:rPr>
        <w:t>Perera</w:t>
      </w:r>
      <w:r w:rsidR="0013666D" w:rsidRPr="000876BF">
        <w:rPr>
          <w:color w:val="0070C0"/>
          <w:szCs w:val="26"/>
        </w:rPr>
        <w:t xml:space="preserve"> et al., 2020, Kiptum et al., 2025; </w:t>
      </w:r>
      <w:r w:rsidR="0013666D" w:rsidRPr="000876BF">
        <w:rPr>
          <w:rFonts w:eastAsia="Times New Roman" w:cs="Times New Roman"/>
          <w:color w:val="0070C0"/>
          <w:kern w:val="0"/>
          <w:szCs w:val="26"/>
          <w14:ligatures w14:val="none"/>
        </w:rPr>
        <w:t>Ringo et al., 2025</w:t>
      </w:r>
      <w:r w:rsidR="0013666D" w:rsidRPr="000876BF">
        <w:rPr>
          <w:rFonts w:eastAsia="Times New Roman" w:cs="Times New Roman"/>
          <w:kern w:val="0"/>
          <w:szCs w:val="26"/>
          <w14:ligatures w14:val="none"/>
        </w:rPr>
        <w:t>)</w:t>
      </w:r>
      <w:r w:rsidRPr="000876BF">
        <w:rPr>
          <w:szCs w:val="26"/>
        </w:rPr>
        <w:t>.</w:t>
      </w:r>
    </w:p>
    <w:p w14:paraId="7DB97FAF" w14:textId="639EE370" w:rsidR="00797EC5" w:rsidRPr="000876BF" w:rsidRDefault="00797EC5" w:rsidP="007B1A57">
      <w:pPr>
        <w:spacing w:after="0" w:line="276" w:lineRule="auto"/>
        <w:ind w:firstLine="720"/>
        <w:rPr>
          <w:szCs w:val="26"/>
        </w:rPr>
      </w:pPr>
      <w:r w:rsidRPr="000876BF">
        <w:rPr>
          <w:szCs w:val="26"/>
        </w:rPr>
        <w:t>Vietnam, located in a tropical monsoon climate zone, is highly vulnerable to hydro-meteorological hazards, particularly floods</w:t>
      </w:r>
      <w:r w:rsidR="00794523" w:rsidRPr="000876BF">
        <w:rPr>
          <w:szCs w:val="26"/>
        </w:rPr>
        <w:t xml:space="preserve"> (</w:t>
      </w:r>
      <w:r w:rsidR="002C0BE8" w:rsidRPr="000876BF">
        <w:rPr>
          <w:color w:val="0070C0"/>
          <w:szCs w:val="26"/>
        </w:rPr>
        <w:t>Hoang</w:t>
      </w:r>
      <w:r w:rsidR="002C0BE8" w:rsidRPr="000876BF">
        <w:rPr>
          <w:rFonts w:eastAsia="Times New Roman" w:cs="Times New Roman"/>
          <w:color w:val="0070C0"/>
          <w:kern w:val="0"/>
          <w:szCs w:val="26"/>
          <w14:ligatures w14:val="none"/>
        </w:rPr>
        <w:t xml:space="preserve"> et al., 2019; </w:t>
      </w:r>
      <w:r w:rsidR="00794523" w:rsidRPr="000876BF">
        <w:rPr>
          <w:rFonts w:eastAsia="Times New Roman" w:cs="Times New Roman"/>
          <w:color w:val="0070C0"/>
          <w:kern w:val="0"/>
          <w:szCs w:val="26"/>
          <w14:ligatures w14:val="none"/>
        </w:rPr>
        <w:t>Nguyen et al., 2021</w:t>
      </w:r>
      <w:r w:rsidR="00794523" w:rsidRPr="000876BF">
        <w:rPr>
          <w:rFonts w:eastAsia="Times New Roman" w:cs="Times New Roman"/>
          <w:kern w:val="0"/>
          <w:szCs w:val="26"/>
          <w14:ligatures w14:val="none"/>
        </w:rPr>
        <w:t>)</w:t>
      </w:r>
      <w:r w:rsidRPr="000876BF">
        <w:rPr>
          <w:szCs w:val="26"/>
        </w:rPr>
        <w:t>. The North Central Coast, where H</w:t>
      </w:r>
      <w:r w:rsidR="00281394" w:rsidRPr="000876BF">
        <w:rPr>
          <w:szCs w:val="26"/>
        </w:rPr>
        <w:t>a</w:t>
      </w:r>
      <w:r w:rsidRPr="000876BF">
        <w:rPr>
          <w:szCs w:val="26"/>
        </w:rPr>
        <w:t xml:space="preserve"> T</w:t>
      </w:r>
      <w:r w:rsidR="00281394" w:rsidRPr="000876BF">
        <w:rPr>
          <w:szCs w:val="26"/>
        </w:rPr>
        <w:t>i</w:t>
      </w:r>
      <w:r w:rsidRPr="000876BF">
        <w:rPr>
          <w:szCs w:val="26"/>
        </w:rPr>
        <w:t xml:space="preserve">nh </w:t>
      </w:r>
      <w:r w:rsidR="00281394" w:rsidRPr="000876BF">
        <w:rPr>
          <w:szCs w:val="26"/>
        </w:rPr>
        <w:t>p</w:t>
      </w:r>
      <w:r w:rsidRPr="000876BF">
        <w:rPr>
          <w:szCs w:val="26"/>
        </w:rPr>
        <w:t>rovince is situated, experiences heavy seasonal rainfall, frequent typhoons, and complex river systems that make the region prone to recurrent flooding</w:t>
      </w:r>
      <w:r w:rsidR="00794523" w:rsidRPr="000876BF">
        <w:rPr>
          <w:szCs w:val="26"/>
        </w:rPr>
        <w:t xml:space="preserve"> (</w:t>
      </w:r>
      <w:proofErr w:type="gramStart"/>
      <w:r w:rsidR="002C0BE8" w:rsidRPr="000876BF">
        <w:rPr>
          <w:rFonts w:eastAsia="Times New Roman" w:cs="Times New Roman"/>
          <w:color w:val="0070C0"/>
          <w:kern w:val="0"/>
          <w:szCs w:val="26"/>
          <w14:ligatures w14:val="none"/>
        </w:rPr>
        <w:t>Pham  et al.</w:t>
      </w:r>
      <w:proofErr w:type="gramEnd"/>
      <w:r w:rsidR="002C0BE8" w:rsidRPr="000876BF">
        <w:rPr>
          <w:rFonts w:eastAsia="Times New Roman" w:cs="Times New Roman"/>
          <w:color w:val="0070C0"/>
          <w:kern w:val="0"/>
          <w:szCs w:val="26"/>
          <w14:ligatures w14:val="none"/>
        </w:rPr>
        <w:t xml:space="preserve">, 2018; </w:t>
      </w:r>
      <w:r w:rsidR="00794523" w:rsidRPr="000876BF">
        <w:rPr>
          <w:rFonts w:eastAsia="Times New Roman" w:cs="Times New Roman"/>
          <w:color w:val="0070C0"/>
          <w:kern w:val="0"/>
          <w:szCs w:val="26"/>
          <w14:ligatures w14:val="none"/>
        </w:rPr>
        <w:t>Ortiz-Vargas &amp; Sebesvari, 2021</w:t>
      </w:r>
      <w:r w:rsidR="00794523" w:rsidRPr="000876BF">
        <w:rPr>
          <w:rFonts w:eastAsia="Times New Roman" w:cs="Times New Roman"/>
          <w:kern w:val="0"/>
          <w:szCs w:val="26"/>
          <w14:ligatures w14:val="none"/>
        </w:rPr>
        <w:t>)</w:t>
      </w:r>
      <w:r w:rsidRPr="000876BF">
        <w:rPr>
          <w:szCs w:val="26"/>
        </w:rPr>
        <w:t>. Historical records indicate that H</w:t>
      </w:r>
      <w:r w:rsidR="00281394" w:rsidRPr="000876BF">
        <w:rPr>
          <w:szCs w:val="26"/>
        </w:rPr>
        <w:t>a</w:t>
      </w:r>
      <w:r w:rsidRPr="000876BF">
        <w:rPr>
          <w:szCs w:val="26"/>
        </w:rPr>
        <w:t xml:space="preserve"> T</w:t>
      </w:r>
      <w:r w:rsidR="00281394" w:rsidRPr="000876BF">
        <w:rPr>
          <w:szCs w:val="26"/>
        </w:rPr>
        <w:t>i</w:t>
      </w:r>
      <w:r w:rsidRPr="000876BF">
        <w:rPr>
          <w:szCs w:val="26"/>
        </w:rPr>
        <w:t>nh has suffered multiple large-scale flood events over recent decades, causing substantial damage to infrastructure, agriculture, and local livelihoods. The province’s geographical characteristics, including mountainous areas in the west and low-lying plains along the coast, further increase its exposure to flood hazards</w:t>
      </w:r>
      <w:r w:rsidR="00C14321" w:rsidRPr="000876BF">
        <w:rPr>
          <w:szCs w:val="26"/>
        </w:rPr>
        <w:t xml:space="preserve"> (</w:t>
      </w:r>
      <w:r w:rsidR="007867E6" w:rsidRPr="000876BF">
        <w:rPr>
          <w:color w:val="0070C0"/>
          <w:szCs w:val="26"/>
        </w:rPr>
        <w:t xml:space="preserve">Le et al., 2023; </w:t>
      </w:r>
      <w:r w:rsidR="00C14321" w:rsidRPr="000876BF">
        <w:rPr>
          <w:rFonts w:eastAsia="Times New Roman" w:cs="Times New Roman"/>
          <w:color w:val="0070C0"/>
          <w:kern w:val="0"/>
          <w:szCs w:val="26"/>
          <w14:ligatures w14:val="none"/>
        </w:rPr>
        <w:t>Nguyen et al., 2023</w:t>
      </w:r>
      <w:r w:rsidR="00C14321" w:rsidRPr="000876BF">
        <w:rPr>
          <w:rFonts w:eastAsia="Times New Roman" w:cs="Times New Roman"/>
          <w:kern w:val="0"/>
          <w:szCs w:val="26"/>
          <w14:ligatures w14:val="none"/>
        </w:rPr>
        <w:t>)</w:t>
      </w:r>
      <w:r w:rsidRPr="000876BF">
        <w:rPr>
          <w:szCs w:val="26"/>
        </w:rPr>
        <w:t>.</w:t>
      </w:r>
    </w:p>
    <w:p w14:paraId="3B252155" w14:textId="2BA76296" w:rsidR="00D2142E" w:rsidRPr="000876BF" w:rsidRDefault="00797EC5" w:rsidP="007B1A57">
      <w:pPr>
        <w:spacing w:after="0" w:line="276" w:lineRule="auto"/>
        <w:ind w:firstLine="720"/>
        <w:rPr>
          <w:szCs w:val="26"/>
        </w:rPr>
      </w:pPr>
      <w:r w:rsidRPr="000876BF">
        <w:rPr>
          <w:szCs w:val="26"/>
        </w:rPr>
        <w:t>Rapid socio-economic development has also contributed to the intensification of flood risks</w:t>
      </w:r>
      <w:r w:rsidR="00D2142E" w:rsidRPr="000876BF">
        <w:rPr>
          <w:szCs w:val="26"/>
        </w:rPr>
        <w:t xml:space="preserve"> (</w:t>
      </w:r>
      <w:r w:rsidR="00D2142E" w:rsidRPr="000876BF">
        <w:rPr>
          <w:color w:val="0070C0"/>
          <w:szCs w:val="26"/>
        </w:rPr>
        <w:t>Gu et al., 2020; Yin et al., 2021; Ullah et al., 2025</w:t>
      </w:r>
      <w:r w:rsidR="00D2142E" w:rsidRPr="000876BF">
        <w:rPr>
          <w:szCs w:val="26"/>
        </w:rPr>
        <w:t>)</w:t>
      </w:r>
      <w:r w:rsidRPr="000876BF">
        <w:rPr>
          <w:szCs w:val="26"/>
        </w:rPr>
        <w:t>. The expansion of industrial zones, infrastructure projects, and urban areas has led to significant land-use changes, reducing natural water retention capacity and increasing surface runoff</w:t>
      </w:r>
      <w:r w:rsidR="0075330F" w:rsidRPr="000876BF">
        <w:rPr>
          <w:szCs w:val="26"/>
        </w:rPr>
        <w:t xml:space="preserve"> (</w:t>
      </w:r>
      <w:r w:rsidR="0075330F" w:rsidRPr="000876BF">
        <w:rPr>
          <w:color w:val="0070C0"/>
          <w:szCs w:val="26"/>
        </w:rPr>
        <w:t>Xu et al., 2020; Bojer et al., 2025</w:t>
      </w:r>
      <w:r w:rsidR="0075330F" w:rsidRPr="000876BF">
        <w:rPr>
          <w:szCs w:val="26"/>
        </w:rPr>
        <w:t>)</w:t>
      </w:r>
      <w:r w:rsidRPr="000876BF">
        <w:rPr>
          <w:szCs w:val="26"/>
        </w:rPr>
        <w:t>. At the same time, climate change is projected to intensify rainfall extremes and sea-level rise, which are likely to exacerbate flood frequency and severity in the coming decades</w:t>
      </w:r>
      <w:r w:rsidR="00C2769E" w:rsidRPr="000876BF">
        <w:rPr>
          <w:szCs w:val="26"/>
        </w:rPr>
        <w:t xml:space="preserve"> (</w:t>
      </w:r>
      <w:proofErr w:type="gramStart"/>
      <w:r w:rsidR="00197678" w:rsidRPr="000876BF">
        <w:rPr>
          <w:color w:val="0070C0"/>
          <w:szCs w:val="26"/>
        </w:rPr>
        <w:t>Kirshen  et al.</w:t>
      </w:r>
      <w:proofErr w:type="gramEnd"/>
      <w:r w:rsidR="00197678" w:rsidRPr="000876BF">
        <w:rPr>
          <w:color w:val="0070C0"/>
          <w:szCs w:val="26"/>
        </w:rPr>
        <w:t xml:space="preserve">, 2008; </w:t>
      </w:r>
      <w:r w:rsidR="00C2769E" w:rsidRPr="000876BF">
        <w:rPr>
          <w:color w:val="0070C0"/>
          <w:szCs w:val="26"/>
        </w:rPr>
        <w:t>Goodess, 2013</w:t>
      </w:r>
      <w:r w:rsidR="00197678" w:rsidRPr="000876BF">
        <w:rPr>
          <w:color w:val="0070C0"/>
          <w:szCs w:val="26"/>
        </w:rPr>
        <w:t xml:space="preserve">; </w:t>
      </w:r>
      <w:r w:rsidR="00197678" w:rsidRPr="000876BF">
        <w:rPr>
          <w:rFonts w:eastAsia="Times New Roman" w:cs="Times New Roman"/>
          <w:color w:val="0070C0"/>
          <w:kern w:val="0"/>
          <w:szCs w:val="26"/>
          <w14:ligatures w14:val="none"/>
        </w:rPr>
        <w:t>Rajkhowa &amp; Sarma, 2021</w:t>
      </w:r>
      <w:r w:rsidR="00C2769E" w:rsidRPr="000876BF">
        <w:rPr>
          <w:szCs w:val="26"/>
        </w:rPr>
        <w:t>)</w:t>
      </w:r>
      <w:r w:rsidRPr="000876BF">
        <w:rPr>
          <w:szCs w:val="26"/>
        </w:rPr>
        <w:t>. These combined natural and anthropogenic pressures underline the urgent need for comprehensive flood risk assessment in the province</w:t>
      </w:r>
      <w:r w:rsidR="00197678" w:rsidRPr="000876BF">
        <w:rPr>
          <w:szCs w:val="26"/>
        </w:rPr>
        <w:t xml:space="preserve"> (</w:t>
      </w:r>
      <w:r w:rsidR="00197678" w:rsidRPr="000876BF">
        <w:rPr>
          <w:color w:val="0070C0"/>
          <w:szCs w:val="26"/>
        </w:rPr>
        <w:t>Le et al., 2021; Loi et al., 2022</w:t>
      </w:r>
      <w:r w:rsidR="00197678" w:rsidRPr="000876BF">
        <w:rPr>
          <w:szCs w:val="26"/>
        </w:rPr>
        <w:t>)</w:t>
      </w:r>
      <w:r w:rsidRPr="000876BF">
        <w:rPr>
          <w:szCs w:val="26"/>
        </w:rPr>
        <w:t>.</w:t>
      </w:r>
    </w:p>
    <w:p w14:paraId="3467B48D" w14:textId="5D84FA32" w:rsidR="00197678" w:rsidRPr="000876BF" w:rsidRDefault="00797EC5" w:rsidP="007B1A57">
      <w:pPr>
        <w:spacing w:after="0" w:line="276" w:lineRule="auto"/>
        <w:ind w:firstLine="720"/>
        <w:rPr>
          <w:szCs w:val="26"/>
        </w:rPr>
      </w:pPr>
      <w:r w:rsidRPr="000876BF">
        <w:rPr>
          <w:szCs w:val="26"/>
        </w:rPr>
        <w:t>In recent years, advances in remote sensing and Geographic Information Systems (GIS) have provided new opportunities for flood risk mapping</w:t>
      </w:r>
      <w:r w:rsidR="003D507B" w:rsidRPr="000876BF">
        <w:rPr>
          <w:szCs w:val="26"/>
        </w:rPr>
        <w:t xml:space="preserve"> (</w:t>
      </w:r>
      <w:r w:rsidR="00603437" w:rsidRPr="000876BF">
        <w:rPr>
          <w:color w:val="0070C0"/>
          <w:szCs w:val="26"/>
        </w:rPr>
        <w:t xml:space="preserve">Dano Umar et al., 2011; </w:t>
      </w:r>
      <w:r w:rsidR="003D507B" w:rsidRPr="000876BF">
        <w:rPr>
          <w:color w:val="0070C0"/>
          <w:szCs w:val="26"/>
        </w:rPr>
        <w:t>Wang &amp; Xie, 2018</w:t>
      </w:r>
      <w:r w:rsidR="00603437" w:rsidRPr="000876BF">
        <w:rPr>
          <w:color w:val="0070C0"/>
          <w:szCs w:val="26"/>
        </w:rPr>
        <w:t>; Amatebelle et al., 2025</w:t>
      </w:r>
      <w:r w:rsidR="00603437" w:rsidRPr="000876BF">
        <w:rPr>
          <w:szCs w:val="26"/>
        </w:rPr>
        <w:t>)</w:t>
      </w:r>
      <w:r w:rsidRPr="000876BF">
        <w:rPr>
          <w:szCs w:val="26"/>
        </w:rPr>
        <w:t>. The Analytic Hierarchy Process (AHP) has been widely applied as a multi-criteria decision-making approach to assign weights to various flood-related indicators, producing expert-driven risk maps</w:t>
      </w:r>
      <w:r w:rsidR="00554B11" w:rsidRPr="000876BF">
        <w:rPr>
          <w:szCs w:val="26"/>
        </w:rPr>
        <w:t xml:space="preserve"> (</w:t>
      </w:r>
      <w:r w:rsidR="00554B11" w:rsidRPr="000876BF">
        <w:rPr>
          <w:color w:val="0070C0"/>
          <w:szCs w:val="26"/>
        </w:rPr>
        <w:t>Ghosh &amp; Kar, 2018; Goumghar</w:t>
      </w:r>
      <w:r w:rsidR="00554B11" w:rsidRPr="000876BF">
        <w:rPr>
          <w:rFonts w:eastAsia="Times New Roman" w:cs="Times New Roman"/>
          <w:color w:val="0070C0"/>
          <w:kern w:val="0"/>
          <w:szCs w:val="26"/>
          <w14:ligatures w14:val="none"/>
        </w:rPr>
        <w:t xml:space="preserve"> et al., 2025; Singha et al., 2025</w:t>
      </w:r>
      <w:r w:rsidR="00554B11" w:rsidRPr="000876BF">
        <w:rPr>
          <w:rFonts w:eastAsia="Times New Roman" w:cs="Times New Roman"/>
          <w:kern w:val="0"/>
          <w:szCs w:val="26"/>
          <w14:ligatures w14:val="none"/>
        </w:rPr>
        <w:t>)</w:t>
      </w:r>
      <w:r w:rsidRPr="000876BF">
        <w:rPr>
          <w:szCs w:val="26"/>
        </w:rPr>
        <w:t>. However, while AHP is transparent and systematic, it is also subjective and may not fully capture complex, nonlinear interactions between indicators</w:t>
      </w:r>
      <w:r w:rsidR="00006673" w:rsidRPr="000876BF">
        <w:rPr>
          <w:szCs w:val="26"/>
        </w:rPr>
        <w:t xml:space="preserve"> (</w:t>
      </w:r>
      <w:r w:rsidR="00006673" w:rsidRPr="000876BF">
        <w:rPr>
          <w:rFonts w:eastAsia="Times New Roman" w:cs="Times New Roman"/>
          <w:color w:val="0070C0"/>
          <w:kern w:val="0"/>
          <w:szCs w:val="26"/>
          <w14:ligatures w14:val="none"/>
        </w:rPr>
        <w:t>Munier &amp; Hontoria, 2021</w:t>
      </w:r>
      <w:r w:rsidR="00006673" w:rsidRPr="000876BF">
        <w:rPr>
          <w:rFonts w:eastAsia="Times New Roman" w:cs="Times New Roman"/>
          <w:kern w:val="0"/>
          <w:szCs w:val="26"/>
          <w14:ligatures w14:val="none"/>
        </w:rPr>
        <w:t>)</w:t>
      </w:r>
      <w:r w:rsidRPr="000876BF">
        <w:rPr>
          <w:szCs w:val="26"/>
        </w:rPr>
        <w:t>. In contrast, machine learning algorithms have demonstrated strong capabilities in classification and prediction, allowing for data-driven modeling of flood susceptibility</w:t>
      </w:r>
      <w:r w:rsidR="00006673" w:rsidRPr="000876BF">
        <w:rPr>
          <w:szCs w:val="26"/>
        </w:rPr>
        <w:t xml:space="preserve"> (</w:t>
      </w:r>
      <w:r w:rsidR="00006673" w:rsidRPr="000876BF">
        <w:rPr>
          <w:color w:val="0070C0"/>
          <w:szCs w:val="26"/>
        </w:rPr>
        <w:t>Zhou et al., 2023; Al-Kindi et al., 2024</w:t>
      </w:r>
      <w:r w:rsidR="00006673" w:rsidRPr="000876BF">
        <w:rPr>
          <w:szCs w:val="26"/>
        </w:rPr>
        <w:t>)</w:t>
      </w:r>
      <w:r w:rsidRPr="000876BF">
        <w:rPr>
          <w:szCs w:val="26"/>
        </w:rPr>
        <w:t>.</w:t>
      </w:r>
    </w:p>
    <w:p w14:paraId="7DBED394" w14:textId="437CAC14" w:rsidR="00C926EB" w:rsidRPr="000876BF" w:rsidRDefault="00797EC5" w:rsidP="007B1A57">
      <w:pPr>
        <w:spacing w:after="0" w:line="276" w:lineRule="auto"/>
        <w:ind w:firstLine="720"/>
        <w:rPr>
          <w:szCs w:val="26"/>
        </w:rPr>
      </w:pPr>
      <w:r w:rsidRPr="000876BF">
        <w:rPr>
          <w:szCs w:val="26"/>
        </w:rPr>
        <w:t>This study proposes an integrated framework that combines AHP with machine learning to produce reliable flood risk maps for H</w:t>
      </w:r>
      <w:r w:rsidR="00006673" w:rsidRPr="000876BF">
        <w:rPr>
          <w:szCs w:val="26"/>
        </w:rPr>
        <w:t>a</w:t>
      </w:r>
      <w:r w:rsidRPr="000876BF">
        <w:rPr>
          <w:szCs w:val="26"/>
        </w:rPr>
        <w:t xml:space="preserve"> T</w:t>
      </w:r>
      <w:r w:rsidR="00006673" w:rsidRPr="000876BF">
        <w:rPr>
          <w:szCs w:val="26"/>
        </w:rPr>
        <w:t>i</w:t>
      </w:r>
      <w:r w:rsidRPr="000876BF">
        <w:rPr>
          <w:szCs w:val="26"/>
        </w:rPr>
        <w:t xml:space="preserve">nh </w:t>
      </w:r>
      <w:r w:rsidR="00006673" w:rsidRPr="000876BF">
        <w:rPr>
          <w:szCs w:val="26"/>
        </w:rPr>
        <w:t>p</w:t>
      </w:r>
      <w:r w:rsidRPr="000876BF">
        <w:rPr>
          <w:szCs w:val="26"/>
        </w:rPr>
        <w:t xml:space="preserve">rovince. The AHP method is first applied to establish a structured hierarchy of indicators and compute their relative importance, generating an initial risk map. Training samples derived from this map are then used to build machine learning models, which output probability-based susceptibility maps. Finally, the results of both approaches are compared and validated to ensure robustness. By adopting this dual methodology, the research aims to enhance the accuracy of flood risk assessment and provide scientific evidence to support disaster </w:t>
      </w:r>
      <w:r w:rsidRPr="000876BF">
        <w:rPr>
          <w:szCs w:val="26"/>
        </w:rPr>
        <w:lastRenderedPageBreak/>
        <w:t>risk management and sustainable land-use planning in H</w:t>
      </w:r>
      <w:r w:rsidR="00006673" w:rsidRPr="000876BF">
        <w:rPr>
          <w:szCs w:val="26"/>
        </w:rPr>
        <w:t>a</w:t>
      </w:r>
      <w:r w:rsidRPr="000876BF">
        <w:rPr>
          <w:szCs w:val="26"/>
        </w:rPr>
        <w:t xml:space="preserve"> T</w:t>
      </w:r>
      <w:r w:rsidR="00006673" w:rsidRPr="000876BF">
        <w:rPr>
          <w:szCs w:val="26"/>
        </w:rPr>
        <w:t>i</w:t>
      </w:r>
      <w:r w:rsidRPr="000876BF">
        <w:rPr>
          <w:szCs w:val="26"/>
        </w:rPr>
        <w:t>nh and similar flood-prone regions of Vietnam.</w:t>
      </w:r>
    </w:p>
    <w:p w14:paraId="62DA03A5" w14:textId="77777777" w:rsidR="00C926EB" w:rsidRPr="000876BF" w:rsidRDefault="00C926EB" w:rsidP="00B07007">
      <w:pPr>
        <w:pStyle w:val="1"/>
        <w:rPr>
          <w:sz w:val="26"/>
          <w:szCs w:val="26"/>
        </w:rPr>
      </w:pPr>
      <w:r w:rsidRPr="000876BF">
        <w:rPr>
          <w:sz w:val="26"/>
          <w:szCs w:val="26"/>
        </w:rPr>
        <w:t>2. MATERIALS AND METHODOLOGY</w:t>
      </w:r>
    </w:p>
    <w:p w14:paraId="38536A80" w14:textId="63B7D0F6" w:rsidR="00C926EB" w:rsidRPr="000876BF" w:rsidRDefault="00C926EB" w:rsidP="00B07007">
      <w:pPr>
        <w:pStyle w:val="11"/>
        <w:rPr>
          <w:sz w:val="26"/>
          <w:szCs w:val="26"/>
        </w:rPr>
      </w:pPr>
      <w:r w:rsidRPr="000876BF">
        <w:rPr>
          <w:sz w:val="26"/>
          <w:szCs w:val="26"/>
        </w:rPr>
        <w:t>2.1. Study area</w:t>
      </w:r>
    </w:p>
    <w:p w14:paraId="0AC685C2" w14:textId="6E84B06E" w:rsidR="00D36A8F" w:rsidRPr="000876BF" w:rsidRDefault="00D36A8F" w:rsidP="00D36A8F">
      <w:pPr>
        <w:spacing w:line="276" w:lineRule="auto"/>
        <w:ind w:firstLine="720"/>
        <w:rPr>
          <w:szCs w:val="26"/>
        </w:rPr>
      </w:pPr>
      <w:r w:rsidRPr="000876BF">
        <w:rPr>
          <w:szCs w:val="26"/>
        </w:rPr>
        <w:t xml:space="preserve">The study was conducted in </w:t>
      </w:r>
      <w:r w:rsidRPr="000876BF">
        <w:rPr>
          <w:rStyle w:val="Strong"/>
          <w:b w:val="0"/>
          <w:bCs w:val="0"/>
          <w:szCs w:val="26"/>
        </w:rPr>
        <w:t>Ha Tinh Province</w:t>
      </w:r>
      <w:r w:rsidRPr="000876BF">
        <w:rPr>
          <w:szCs w:val="26"/>
        </w:rPr>
        <w:t xml:space="preserve">, located in the </w:t>
      </w:r>
      <w:r w:rsidRPr="000876BF">
        <w:rPr>
          <w:rStyle w:val="Strong"/>
          <w:b w:val="0"/>
          <w:bCs w:val="0"/>
          <w:szCs w:val="26"/>
        </w:rPr>
        <w:t>North Central region of Vietnam</w:t>
      </w:r>
      <w:r w:rsidRPr="000876BF">
        <w:rPr>
          <w:szCs w:val="26"/>
        </w:rPr>
        <w:t xml:space="preserve"> (Figure 1). The province covers a</w:t>
      </w:r>
      <w:r w:rsidRPr="000876BF">
        <w:rPr>
          <w:b/>
          <w:bCs/>
          <w:szCs w:val="26"/>
        </w:rPr>
        <w:t xml:space="preserve"> </w:t>
      </w:r>
      <w:r w:rsidRPr="000876BF">
        <w:rPr>
          <w:rStyle w:val="Strong"/>
          <w:b w:val="0"/>
          <w:bCs w:val="0"/>
          <w:szCs w:val="26"/>
        </w:rPr>
        <w:t>natural area of about 6,055 km²</w:t>
      </w:r>
      <w:r w:rsidRPr="000876BF">
        <w:rPr>
          <w:b/>
          <w:bCs/>
          <w:szCs w:val="26"/>
        </w:rPr>
        <w:t>,</w:t>
      </w:r>
      <w:r w:rsidRPr="000876BF">
        <w:rPr>
          <w:szCs w:val="26"/>
        </w:rPr>
        <w:t xml:space="preserve"> bordered by </w:t>
      </w:r>
      <w:r w:rsidRPr="000876BF">
        <w:rPr>
          <w:rStyle w:val="Strong"/>
          <w:b w:val="0"/>
          <w:bCs w:val="0"/>
          <w:szCs w:val="26"/>
        </w:rPr>
        <w:t xml:space="preserve">Nghe </w:t>
      </w:r>
      <w:proofErr w:type="gramStart"/>
      <w:r w:rsidRPr="000876BF">
        <w:rPr>
          <w:rStyle w:val="Strong"/>
          <w:b w:val="0"/>
          <w:bCs w:val="0"/>
          <w:szCs w:val="26"/>
        </w:rPr>
        <w:t>An</w:t>
      </w:r>
      <w:proofErr w:type="gramEnd"/>
      <w:r w:rsidRPr="000876BF">
        <w:rPr>
          <w:rStyle w:val="Strong"/>
          <w:b w:val="0"/>
          <w:bCs w:val="0"/>
          <w:szCs w:val="26"/>
        </w:rPr>
        <w:t xml:space="preserve"> Province</w:t>
      </w:r>
      <w:r w:rsidRPr="000876BF">
        <w:rPr>
          <w:szCs w:val="26"/>
        </w:rPr>
        <w:t xml:space="preserve"> to the north, </w:t>
      </w:r>
      <w:r w:rsidRPr="000876BF">
        <w:rPr>
          <w:rStyle w:val="Strong"/>
          <w:b w:val="0"/>
          <w:bCs w:val="0"/>
          <w:szCs w:val="26"/>
        </w:rPr>
        <w:t>Quang Binh Province</w:t>
      </w:r>
      <w:r w:rsidRPr="000876BF">
        <w:rPr>
          <w:szCs w:val="26"/>
        </w:rPr>
        <w:t xml:space="preserve"> to the south, </w:t>
      </w:r>
      <w:r w:rsidRPr="000876BF">
        <w:rPr>
          <w:rStyle w:val="Strong"/>
          <w:b w:val="0"/>
          <w:bCs w:val="0"/>
          <w:szCs w:val="26"/>
        </w:rPr>
        <w:t>the Lao People’s Democratic Republic</w:t>
      </w:r>
      <w:r w:rsidRPr="000876BF">
        <w:rPr>
          <w:szCs w:val="26"/>
        </w:rPr>
        <w:t xml:space="preserve"> to the west, and </w:t>
      </w:r>
      <w:r w:rsidRPr="000876BF">
        <w:rPr>
          <w:rStyle w:val="Strong"/>
          <w:b w:val="0"/>
          <w:bCs w:val="0"/>
          <w:szCs w:val="26"/>
        </w:rPr>
        <w:t>the East Sea</w:t>
      </w:r>
      <w:r w:rsidRPr="000876BF">
        <w:rPr>
          <w:szCs w:val="26"/>
        </w:rPr>
        <w:t xml:space="preserve"> to the east. Ha Tinh has a population of approximately </w:t>
      </w:r>
      <w:r w:rsidRPr="000876BF">
        <w:rPr>
          <w:rStyle w:val="Strong"/>
          <w:b w:val="0"/>
          <w:bCs w:val="0"/>
          <w:szCs w:val="26"/>
        </w:rPr>
        <w:t>1.3 million</w:t>
      </w:r>
      <w:r w:rsidR="00256B70" w:rsidRPr="000876BF">
        <w:rPr>
          <w:rStyle w:val="Strong"/>
          <w:b w:val="0"/>
          <w:bCs w:val="0"/>
          <w:szCs w:val="26"/>
        </w:rPr>
        <w:t xml:space="preserve"> (</w:t>
      </w:r>
      <w:r w:rsidR="00256B70" w:rsidRPr="000876BF">
        <w:rPr>
          <w:rStyle w:val="Strong"/>
          <w:b w:val="0"/>
          <w:bCs w:val="0"/>
          <w:color w:val="0070C0"/>
          <w:szCs w:val="26"/>
        </w:rPr>
        <w:t>GSO, 2024</w:t>
      </w:r>
      <w:r w:rsidR="00256B70" w:rsidRPr="000876BF">
        <w:rPr>
          <w:rStyle w:val="Strong"/>
          <w:b w:val="0"/>
          <w:bCs w:val="0"/>
          <w:szCs w:val="26"/>
        </w:rPr>
        <w:t>)</w:t>
      </w:r>
      <w:r w:rsidRPr="000876BF">
        <w:rPr>
          <w:szCs w:val="26"/>
        </w:rPr>
        <w:t xml:space="preserve">, with livelihoods primarily dependent on </w:t>
      </w:r>
      <w:r w:rsidRPr="000876BF">
        <w:rPr>
          <w:rStyle w:val="Strong"/>
          <w:b w:val="0"/>
          <w:bCs w:val="0"/>
          <w:szCs w:val="26"/>
        </w:rPr>
        <w:t xml:space="preserve">agriculture, forestry, </w:t>
      </w:r>
      <w:r w:rsidRPr="000876BF">
        <w:rPr>
          <w:szCs w:val="26"/>
        </w:rPr>
        <w:t>aquaculture, and small-scale industries. Following administrative restructuring in 2025, the province comprises 69 communes and wards under a simplified two-tier governance model.</w:t>
      </w:r>
    </w:p>
    <w:p w14:paraId="7D06299B" w14:textId="695D287A" w:rsidR="00D36A8F" w:rsidRPr="000876BF" w:rsidRDefault="00D36A8F" w:rsidP="007B1A57">
      <w:pPr>
        <w:spacing w:after="0" w:line="276" w:lineRule="auto"/>
        <w:ind w:firstLine="720"/>
        <w:rPr>
          <w:szCs w:val="26"/>
        </w:rPr>
      </w:pPr>
      <w:r w:rsidRPr="000876BF">
        <w:rPr>
          <w:szCs w:val="26"/>
        </w:rPr>
        <w:t>Topographically, Ha Tinh displays a distinct west–east gradient, ranging from mountainous headwater areas in the west (e.g., Son Kim, Vu Quang, Huong Khe) to low-lying plains and coastal zones in the east (Thach Khe, Cam Binh, Ky Anh). The province has a dense river network, with major systems such as the La, Ngan Sau, and Ngan Pho Rivers draining toward the East Sea. This diverse terrain, combined with a tropical monsoon climate and high annual rainfall exceeding 2,000 mm, contributes to frequent flooding and other water-related disasters (</w:t>
      </w:r>
      <w:r w:rsidRPr="000876BF">
        <w:rPr>
          <w:color w:val="0070C0"/>
          <w:szCs w:val="26"/>
        </w:rPr>
        <w:t>Le et al., 2021</w:t>
      </w:r>
      <w:r w:rsidRPr="000876BF">
        <w:rPr>
          <w:szCs w:val="26"/>
        </w:rPr>
        <w:t>). Moreover, rapid socio-economic development—including the expansion of industrial zones, transportation networks, and the Vung Ang deep-sea port—has intensified land-use pressures and altered flood susceptibility patterns across the province (</w:t>
      </w:r>
      <w:r w:rsidRPr="000876BF">
        <w:rPr>
          <w:color w:val="0070C0"/>
          <w:szCs w:val="26"/>
        </w:rPr>
        <w:t>Loi et al., 2022</w:t>
      </w:r>
      <w:r w:rsidRPr="000876BF">
        <w:rPr>
          <w:szCs w:val="26"/>
        </w:rPr>
        <w:t>).</w:t>
      </w:r>
    </w:p>
    <w:p w14:paraId="7077201C" w14:textId="77777777" w:rsidR="00D36A8F" w:rsidRPr="000876BF" w:rsidRDefault="00D36A8F" w:rsidP="007B1A57">
      <w:pPr>
        <w:spacing w:after="0" w:line="276" w:lineRule="auto"/>
        <w:ind w:firstLine="720"/>
        <w:rPr>
          <w:szCs w:val="26"/>
        </w:rPr>
      </w:pPr>
      <w:r w:rsidRPr="000876BF">
        <w:rPr>
          <w:szCs w:val="26"/>
        </w:rPr>
        <w:t>Overall, Ha Tinh serves as a representative case study for flood risk assessment in Vietnam’s central region, where natural conditions and human activities interact dynamically to shape flood exposure and vulnerability.</w:t>
      </w:r>
    </w:p>
    <w:p w14:paraId="7B9CEEE7" w14:textId="77777777" w:rsidR="001E58BF" w:rsidRPr="000876BF" w:rsidRDefault="001E58BF" w:rsidP="001E58BF">
      <w:pPr>
        <w:spacing w:line="276" w:lineRule="auto"/>
        <w:jc w:val="center"/>
        <w:rPr>
          <w:b/>
          <w:bCs/>
          <w:szCs w:val="26"/>
        </w:rPr>
      </w:pPr>
      <w:r w:rsidRPr="000876BF">
        <w:rPr>
          <w:noProof/>
          <w:szCs w:val="26"/>
        </w:rPr>
        <w:drawing>
          <wp:inline distT="0" distB="0" distL="0" distR="0" wp14:anchorId="340E14AD" wp14:editId="489EBD13">
            <wp:extent cx="4905954" cy="2850466"/>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713" t="6381" r="2785" b="5625"/>
                    <a:stretch/>
                  </pic:blipFill>
                  <pic:spPr bwMode="auto">
                    <a:xfrm>
                      <a:off x="0" y="0"/>
                      <a:ext cx="4906889" cy="2851009"/>
                    </a:xfrm>
                    <a:prstGeom prst="rect">
                      <a:avLst/>
                    </a:prstGeom>
                    <a:ln>
                      <a:noFill/>
                    </a:ln>
                    <a:extLst>
                      <a:ext uri="{53640926-AAD7-44D8-BBD7-CCE9431645EC}">
                        <a14:shadowObscured xmlns:a14="http://schemas.microsoft.com/office/drawing/2010/main"/>
                      </a:ext>
                    </a:extLst>
                  </pic:spPr>
                </pic:pic>
              </a:graphicData>
            </a:graphic>
          </wp:inline>
        </w:drawing>
      </w:r>
    </w:p>
    <w:p w14:paraId="2B406540" w14:textId="50E42120" w:rsidR="00712EF2" w:rsidRPr="000876BF" w:rsidRDefault="00712EF2" w:rsidP="007B1A57">
      <w:pPr>
        <w:pStyle w:val="Figure"/>
        <w:spacing w:after="0"/>
        <w:rPr>
          <w:b/>
          <w:iCs/>
          <w:sz w:val="26"/>
          <w:szCs w:val="26"/>
        </w:rPr>
      </w:pPr>
      <w:r w:rsidRPr="000876BF">
        <w:rPr>
          <w:b/>
          <w:sz w:val="26"/>
          <w:szCs w:val="26"/>
        </w:rPr>
        <w:t xml:space="preserve">Figure </w:t>
      </w:r>
      <w:r w:rsidRPr="000876BF">
        <w:rPr>
          <w:b/>
          <w:iCs/>
          <w:sz w:val="26"/>
          <w:szCs w:val="26"/>
        </w:rPr>
        <w:fldChar w:fldCharType="begin"/>
      </w:r>
      <w:r w:rsidRPr="000876BF">
        <w:rPr>
          <w:b/>
          <w:sz w:val="26"/>
          <w:szCs w:val="26"/>
        </w:rPr>
        <w:instrText xml:space="preserve"> SEQ Figure \* ARABIC </w:instrText>
      </w:r>
      <w:r w:rsidRPr="000876BF">
        <w:rPr>
          <w:b/>
          <w:iCs/>
          <w:sz w:val="26"/>
          <w:szCs w:val="26"/>
        </w:rPr>
        <w:fldChar w:fldCharType="separate"/>
      </w:r>
      <w:r w:rsidR="001D4056">
        <w:rPr>
          <w:b/>
          <w:noProof/>
          <w:sz w:val="26"/>
          <w:szCs w:val="26"/>
        </w:rPr>
        <w:t>1</w:t>
      </w:r>
      <w:r w:rsidRPr="000876BF">
        <w:rPr>
          <w:b/>
          <w:iCs/>
          <w:sz w:val="26"/>
          <w:szCs w:val="26"/>
        </w:rPr>
        <w:fldChar w:fldCharType="end"/>
      </w:r>
      <w:r w:rsidRPr="000876BF">
        <w:rPr>
          <w:b/>
          <w:sz w:val="26"/>
          <w:szCs w:val="26"/>
        </w:rPr>
        <w:t>: Location of the study area</w:t>
      </w:r>
    </w:p>
    <w:p w14:paraId="4D0FE247" w14:textId="7B5807FF" w:rsidR="00C926EB" w:rsidRPr="000876BF" w:rsidRDefault="00C926EB" w:rsidP="00B07007">
      <w:pPr>
        <w:pStyle w:val="11"/>
        <w:rPr>
          <w:sz w:val="26"/>
          <w:szCs w:val="26"/>
        </w:rPr>
      </w:pPr>
      <w:r w:rsidRPr="000876BF">
        <w:rPr>
          <w:sz w:val="26"/>
          <w:szCs w:val="26"/>
        </w:rPr>
        <w:t>2.2. Data sources</w:t>
      </w:r>
    </w:p>
    <w:p w14:paraId="1CF2D860" w14:textId="77777777" w:rsidR="00D77540" w:rsidRPr="000876BF" w:rsidRDefault="00D302A5" w:rsidP="007B1A57">
      <w:pPr>
        <w:spacing w:after="0" w:line="276" w:lineRule="auto"/>
        <w:ind w:firstLine="720"/>
        <w:rPr>
          <w:szCs w:val="26"/>
        </w:rPr>
      </w:pPr>
      <w:r w:rsidRPr="000876BF">
        <w:rPr>
          <w:szCs w:val="26"/>
        </w:rPr>
        <w:lastRenderedPageBreak/>
        <w:t>This study employed a combination of remote sensing products and ancillary datasets to derive the indicators used for flood risk assessment. Six primary data sources were collected, each corresponding to one of the selected indicators:</w:t>
      </w:r>
    </w:p>
    <w:p w14:paraId="11264A7C" w14:textId="630DD8B9" w:rsidR="00D77540" w:rsidRPr="000876BF" w:rsidRDefault="002A5D5E" w:rsidP="007B1A57">
      <w:pPr>
        <w:spacing w:after="0" w:line="276" w:lineRule="auto"/>
        <w:ind w:firstLine="720"/>
        <w:rPr>
          <w:szCs w:val="26"/>
        </w:rPr>
      </w:pPr>
      <w:r w:rsidRPr="000876BF">
        <w:rPr>
          <w:szCs w:val="26"/>
        </w:rPr>
        <w:t xml:space="preserve">- </w:t>
      </w:r>
      <w:r w:rsidR="00B20193" w:rsidRPr="000876BF">
        <w:rPr>
          <w:szCs w:val="26"/>
        </w:rPr>
        <w:t>Hydrological data: The river network is taken from</w:t>
      </w:r>
      <w:r w:rsidR="00065DFE" w:rsidRPr="000876BF">
        <w:rPr>
          <w:szCs w:val="26"/>
        </w:rPr>
        <w:t xml:space="preserve"> the</w:t>
      </w:r>
      <w:r w:rsidR="00B20193" w:rsidRPr="000876BF">
        <w:rPr>
          <w:szCs w:val="26"/>
        </w:rPr>
        <w:t xml:space="preserve"> </w:t>
      </w:r>
      <w:r w:rsidR="00065DFE" w:rsidRPr="000876BF">
        <w:rPr>
          <w:szCs w:val="26"/>
        </w:rPr>
        <w:t>Ministry of Agriculture and Environment</w:t>
      </w:r>
      <w:r w:rsidR="00B20193" w:rsidRPr="000876BF">
        <w:rPr>
          <w:szCs w:val="26"/>
        </w:rPr>
        <w:t xml:space="preserve"> data source, providing vector river layers used to generate distance rasters from near to the river.</w:t>
      </w:r>
    </w:p>
    <w:p w14:paraId="0898B7BB" w14:textId="77777777" w:rsidR="00256B70" w:rsidRPr="000876BF" w:rsidRDefault="002A5D5E" w:rsidP="007B1A57">
      <w:pPr>
        <w:spacing w:after="0" w:line="276" w:lineRule="auto"/>
        <w:ind w:firstLine="720"/>
        <w:rPr>
          <w:szCs w:val="26"/>
        </w:rPr>
      </w:pPr>
      <w:r w:rsidRPr="000876BF">
        <w:rPr>
          <w:szCs w:val="26"/>
        </w:rPr>
        <w:t xml:space="preserve">- </w:t>
      </w:r>
      <w:r w:rsidR="00D302A5" w:rsidRPr="000876BF">
        <w:rPr>
          <w:szCs w:val="26"/>
        </w:rPr>
        <w:t xml:space="preserve">Topographic data: </w:t>
      </w:r>
      <w:r w:rsidR="003207C0" w:rsidRPr="000876BF">
        <w:rPr>
          <w:szCs w:val="26"/>
        </w:rPr>
        <w:t>The topographic data were obtained from the ALOS World 3D DEM (AW3D30, 12.5 m) provided by</w:t>
      </w:r>
      <w:r w:rsidR="003207C0" w:rsidRPr="000876BF">
        <w:rPr>
          <w:szCs w:val="26"/>
        </w:rPr>
        <w:t xml:space="preserve"> </w:t>
      </w:r>
      <w:r w:rsidR="003207C0" w:rsidRPr="000876BF">
        <w:rPr>
          <w:szCs w:val="26"/>
        </w:rPr>
        <w:t xml:space="preserve">Japan Aerospace Exploration Agency </w:t>
      </w:r>
      <w:r w:rsidR="003207C0" w:rsidRPr="000876BF">
        <w:rPr>
          <w:szCs w:val="26"/>
        </w:rPr>
        <w:t>(</w:t>
      </w:r>
      <w:r w:rsidR="003207C0" w:rsidRPr="000876BF">
        <w:rPr>
          <w:szCs w:val="26"/>
        </w:rPr>
        <w:t>JAXA</w:t>
      </w:r>
      <w:r w:rsidR="003207C0" w:rsidRPr="000876BF">
        <w:rPr>
          <w:szCs w:val="26"/>
        </w:rPr>
        <w:t>)</w:t>
      </w:r>
      <w:r w:rsidR="003207C0" w:rsidRPr="000876BF">
        <w:rPr>
          <w:szCs w:val="26"/>
        </w:rPr>
        <w:t>, accessed through the Google Earth Engine using the command</w:t>
      </w:r>
      <w:r w:rsidR="003207C0" w:rsidRPr="000876BF">
        <w:rPr>
          <w:szCs w:val="26"/>
        </w:rPr>
        <w:t>:</w:t>
      </w:r>
    </w:p>
    <w:p w14:paraId="5E8D9BBA" w14:textId="65CD46C4" w:rsidR="00D77540" w:rsidRPr="000876BF" w:rsidRDefault="003207C0" w:rsidP="007B1A57">
      <w:pPr>
        <w:spacing w:after="0" w:line="276" w:lineRule="auto"/>
        <w:ind w:firstLine="720"/>
        <w:jc w:val="center"/>
        <w:rPr>
          <w:szCs w:val="26"/>
        </w:rPr>
      </w:pPr>
      <w:r w:rsidRPr="000876BF">
        <w:rPr>
          <w:i/>
          <w:iCs/>
          <w:szCs w:val="26"/>
        </w:rPr>
        <w:t>(</w:t>
      </w:r>
      <w:proofErr w:type="gramStart"/>
      <w:r w:rsidRPr="000876BF">
        <w:rPr>
          <w:i/>
          <w:iCs/>
          <w:szCs w:val="26"/>
        </w:rPr>
        <w:t>ee.Image</w:t>
      </w:r>
      <w:proofErr w:type="gramEnd"/>
      <w:r w:rsidRPr="000876BF">
        <w:rPr>
          <w:i/>
          <w:iCs/>
          <w:szCs w:val="26"/>
        </w:rPr>
        <w:t>("JAXA/ALOS/AW3D30/V3_2")</w:t>
      </w:r>
      <w:r w:rsidRPr="000876BF">
        <w:rPr>
          <w:i/>
          <w:iCs/>
          <w:szCs w:val="26"/>
        </w:rPr>
        <w:t>).</w:t>
      </w:r>
    </w:p>
    <w:p w14:paraId="73A9437C" w14:textId="06234DD9" w:rsidR="00D77540" w:rsidRPr="000876BF" w:rsidRDefault="004425C4" w:rsidP="007B1A57">
      <w:pPr>
        <w:spacing w:after="0" w:line="276" w:lineRule="auto"/>
        <w:ind w:firstLine="720"/>
        <w:rPr>
          <w:szCs w:val="26"/>
        </w:rPr>
      </w:pPr>
      <w:r w:rsidRPr="000876BF">
        <w:rPr>
          <w:szCs w:val="26"/>
        </w:rPr>
        <w:t xml:space="preserve">- </w:t>
      </w:r>
      <w:r w:rsidR="00D302A5" w:rsidRPr="000876BF">
        <w:rPr>
          <w:szCs w:val="26"/>
        </w:rPr>
        <w:t xml:space="preserve">Land use/land cover (LULC): </w:t>
      </w:r>
      <w:r w:rsidRPr="000876BF">
        <w:rPr>
          <w:szCs w:val="26"/>
        </w:rPr>
        <w:t>Land cover information was obtained from a Sentinel-2 satellite image land cover classification map collected on April 2, 2025, providing detailed land cover classes across the study area.</w:t>
      </w:r>
    </w:p>
    <w:p w14:paraId="4B6B4B9D" w14:textId="36EA4393" w:rsidR="00D77540" w:rsidRPr="000876BF" w:rsidRDefault="004425C4" w:rsidP="007B1A57">
      <w:pPr>
        <w:spacing w:after="0" w:line="276" w:lineRule="auto"/>
        <w:ind w:firstLine="720"/>
        <w:rPr>
          <w:szCs w:val="26"/>
        </w:rPr>
      </w:pPr>
      <w:r w:rsidRPr="000876BF">
        <w:rPr>
          <w:szCs w:val="26"/>
        </w:rPr>
        <w:t xml:space="preserve">- </w:t>
      </w:r>
      <w:r w:rsidR="00D302A5" w:rsidRPr="000876BF">
        <w:rPr>
          <w:szCs w:val="26"/>
        </w:rPr>
        <w:t xml:space="preserve">Precipitation: </w:t>
      </w:r>
      <w:r w:rsidRPr="000876BF">
        <w:rPr>
          <w:szCs w:val="26"/>
        </w:rPr>
        <w:t>Annual rainfall data were compiled from the Climate Hazards Group InfraRed Precipitation with Station data, aggregated from daily observations at ~5 km resolution (</w:t>
      </w:r>
      <w:r w:rsidRPr="000876BF">
        <w:rPr>
          <w:color w:val="0070C0"/>
          <w:szCs w:val="26"/>
        </w:rPr>
        <w:t>Funk et al., 2015</w:t>
      </w:r>
      <w:r w:rsidRPr="000876BF">
        <w:rPr>
          <w:szCs w:val="26"/>
        </w:rPr>
        <w:t>)</w:t>
      </w:r>
      <w:r w:rsidR="00D302A5" w:rsidRPr="000876BF">
        <w:rPr>
          <w:szCs w:val="26"/>
        </w:rPr>
        <w:t>.</w:t>
      </w:r>
    </w:p>
    <w:p w14:paraId="0794C9D9" w14:textId="3F8E1B9D" w:rsidR="00D77540" w:rsidRPr="000876BF" w:rsidRDefault="00E9496E" w:rsidP="007B1A57">
      <w:pPr>
        <w:spacing w:after="0" w:line="276" w:lineRule="auto"/>
        <w:ind w:firstLine="720"/>
        <w:rPr>
          <w:szCs w:val="26"/>
        </w:rPr>
      </w:pPr>
      <w:r w:rsidRPr="000876BF">
        <w:rPr>
          <w:szCs w:val="26"/>
        </w:rPr>
        <w:t xml:space="preserve">- </w:t>
      </w:r>
      <w:r w:rsidR="00D817BC" w:rsidRPr="000876BF">
        <w:rPr>
          <w:szCs w:val="26"/>
        </w:rPr>
        <w:t xml:space="preserve">Administrative boundary: Vector boundary of Ha Tinh province is taken from the database of the </w:t>
      </w:r>
      <w:r w:rsidR="00F33602" w:rsidRPr="000876BF">
        <w:rPr>
          <w:szCs w:val="26"/>
        </w:rPr>
        <w:t xml:space="preserve">Ministry of Agriculture and Environment </w:t>
      </w:r>
      <w:r w:rsidR="00D817BC" w:rsidRPr="000876BF">
        <w:rPr>
          <w:szCs w:val="26"/>
        </w:rPr>
        <w:t>for convenient cutting and displaying results.</w:t>
      </w:r>
    </w:p>
    <w:p w14:paraId="09F5BFE3" w14:textId="232E95D1" w:rsidR="00E9496E" w:rsidRPr="000876BF" w:rsidRDefault="00E9496E" w:rsidP="007B1A57">
      <w:pPr>
        <w:spacing w:after="0" w:line="276" w:lineRule="auto"/>
        <w:ind w:firstLine="720"/>
        <w:rPr>
          <w:szCs w:val="26"/>
        </w:rPr>
      </w:pPr>
      <w:r w:rsidRPr="000876BF">
        <w:rPr>
          <w:szCs w:val="26"/>
        </w:rPr>
        <w:t xml:space="preserve">- Infrastructure data: Land use planning maps were collected from the Department of </w:t>
      </w:r>
      <w:r w:rsidR="009F7B27" w:rsidRPr="000876BF">
        <w:rPr>
          <w:szCs w:val="26"/>
        </w:rPr>
        <w:t xml:space="preserve">Agriculture and Environment </w:t>
      </w:r>
      <w:r w:rsidRPr="000876BF">
        <w:rPr>
          <w:szCs w:val="26"/>
        </w:rPr>
        <w:t>for contextual analysis</w:t>
      </w:r>
      <w:r w:rsidR="00D302A5" w:rsidRPr="000876BF">
        <w:rPr>
          <w:szCs w:val="26"/>
        </w:rPr>
        <w:t>.</w:t>
      </w:r>
    </w:p>
    <w:p w14:paraId="258CE16C" w14:textId="2F452052" w:rsidR="00C926EB" w:rsidRPr="000876BF" w:rsidRDefault="00D302A5" w:rsidP="007B1A57">
      <w:pPr>
        <w:spacing w:after="0" w:line="276" w:lineRule="auto"/>
        <w:ind w:firstLine="720"/>
        <w:rPr>
          <w:szCs w:val="26"/>
        </w:rPr>
      </w:pPr>
      <w:r w:rsidRPr="000876BF">
        <w:rPr>
          <w:szCs w:val="26"/>
        </w:rPr>
        <w:t>All datasets were projected to a common coordinate system (EPSG:4326) and resampled to consistent spatial resolution prior to analysis. The integration of multi-source datasets from global repositories and national agencies ensured both spatial detail and thematic accuracy for constructing flood risk indicators.</w:t>
      </w:r>
    </w:p>
    <w:p w14:paraId="1EB76F14" w14:textId="4A1F74B2" w:rsidR="00C926EB" w:rsidRPr="000876BF" w:rsidRDefault="00C926EB" w:rsidP="00B07007">
      <w:pPr>
        <w:pStyle w:val="11"/>
        <w:rPr>
          <w:sz w:val="26"/>
          <w:szCs w:val="26"/>
        </w:rPr>
      </w:pPr>
      <w:r w:rsidRPr="000876BF">
        <w:rPr>
          <w:sz w:val="26"/>
          <w:szCs w:val="26"/>
        </w:rPr>
        <w:t>2.3. Methodology</w:t>
      </w:r>
    </w:p>
    <w:p w14:paraId="34D2FA57" w14:textId="0291D3B4" w:rsidR="00AD69E9" w:rsidRPr="000876BF" w:rsidRDefault="00AD69E9" w:rsidP="00AD69E9">
      <w:pPr>
        <w:spacing w:line="276" w:lineRule="auto"/>
        <w:ind w:firstLine="720"/>
        <w:rPr>
          <w:noProof/>
          <w:szCs w:val="26"/>
        </w:rPr>
      </w:pPr>
      <w:r w:rsidRPr="000876BF">
        <w:rPr>
          <w:noProof/>
          <w:szCs w:val="26"/>
        </w:rPr>
        <w:t>The research process is designed to combine the Analytic Hierarchy Process (AHP) method with machine learning algorithms to build a flood risk map systematically and objectively. The entire data processing steps are shown in Figure 2, including the following main stages:</w:t>
      </w:r>
    </w:p>
    <w:p w14:paraId="17F6EC61" w14:textId="1DAA9997" w:rsidR="00C926EB" w:rsidRPr="000876BF" w:rsidRDefault="00C926EB" w:rsidP="00AD69E9">
      <w:pPr>
        <w:spacing w:line="276" w:lineRule="auto"/>
        <w:jc w:val="center"/>
        <w:rPr>
          <w:b/>
          <w:bCs/>
          <w:szCs w:val="26"/>
        </w:rPr>
      </w:pPr>
      <w:r w:rsidRPr="000876BF">
        <w:rPr>
          <w:noProof/>
          <w:szCs w:val="26"/>
        </w:rPr>
        <w:lastRenderedPageBreak/>
        <w:drawing>
          <wp:inline distT="0" distB="0" distL="0" distR="0" wp14:anchorId="6453E628" wp14:editId="317F2A1D">
            <wp:extent cx="3274139" cy="3600000"/>
            <wp:effectExtent l="0" t="0" r="2540" b="635"/>
            <wp:docPr id="129963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74139" cy="3600000"/>
                    </a:xfrm>
                    <a:prstGeom prst="rect">
                      <a:avLst/>
                    </a:prstGeom>
                    <a:noFill/>
                    <a:ln>
                      <a:noFill/>
                    </a:ln>
                  </pic:spPr>
                </pic:pic>
              </a:graphicData>
            </a:graphic>
          </wp:inline>
        </w:drawing>
      </w:r>
    </w:p>
    <w:p w14:paraId="49E60525" w14:textId="208328D9" w:rsidR="00712EF2" w:rsidRPr="000876BF" w:rsidRDefault="00712EF2" w:rsidP="00336834">
      <w:pPr>
        <w:pStyle w:val="Figure"/>
        <w:rPr>
          <w:sz w:val="26"/>
          <w:szCs w:val="26"/>
        </w:rPr>
      </w:pPr>
      <w:r w:rsidRPr="000876BF">
        <w:rPr>
          <w:sz w:val="26"/>
          <w:szCs w:val="26"/>
        </w:rPr>
        <w:t xml:space="preserve">Figure </w:t>
      </w:r>
      <w:r w:rsidRPr="000876BF">
        <w:rPr>
          <w:sz w:val="26"/>
          <w:szCs w:val="26"/>
        </w:rPr>
        <w:fldChar w:fldCharType="begin"/>
      </w:r>
      <w:r w:rsidRPr="000876BF">
        <w:rPr>
          <w:sz w:val="26"/>
          <w:szCs w:val="26"/>
        </w:rPr>
        <w:instrText xml:space="preserve"> SEQ Figure \* ARABIC </w:instrText>
      </w:r>
      <w:r w:rsidRPr="000876BF">
        <w:rPr>
          <w:sz w:val="26"/>
          <w:szCs w:val="26"/>
        </w:rPr>
        <w:fldChar w:fldCharType="separate"/>
      </w:r>
      <w:r w:rsidR="001D4056">
        <w:rPr>
          <w:noProof/>
          <w:sz w:val="26"/>
          <w:szCs w:val="26"/>
        </w:rPr>
        <w:t>2</w:t>
      </w:r>
      <w:r w:rsidRPr="000876BF">
        <w:rPr>
          <w:sz w:val="26"/>
          <w:szCs w:val="26"/>
        </w:rPr>
        <w:fldChar w:fldCharType="end"/>
      </w:r>
      <w:r w:rsidRPr="000876BF">
        <w:rPr>
          <w:sz w:val="26"/>
          <w:szCs w:val="26"/>
        </w:rPr>
        <w:t>: Flowchart of data processing in this study</w:t>
      </w:r>
    </w:p>
    <w:p w14:paraId="69B3CF7C" w14:textId="316EC624" w:rsidR="00AD69E9" w:rsidRPr="000876BF" w:rsidRDefault="00AD69E9" w:rsidP="002F212A">
      <w:pPr>
        <w:pStyle w:val="111"/>
      </w:pPr>
      <w:r w:rsidRPr="000876BF">
        <w:t xml:space="preserve">2.3.1. Indicator </w:t>
      </w:r>
      <w:r w:rsidR="00AA5EEE" w:rsidRPr="000876BF">
        <w:t>s</w:t>
      </w:r>
      <w:r w:rsidRPr="000876BF">
        <w:t>election</w:t>
      </w:r>
    </w:p>
    <w:p w14:paraId="3E805A8C" w14:textId="77777777" w:rsidR="007A43A8" w:rsidRPr="000876BF" w:rsidRDefault="00AD69E9" w:rsidP="007B1A57">
      <w:pPr>
        <w:spacing w:after="0" w:line="276" w:lineRule="auto"/>
        <w:ind w:firstLine="720"/>
        <w:rPr>
          <w:szCs w:val="26"/>
        </w:rPr>
      </w:pPr>
      <w:r w:rsidRPr="000876BF">
        <w:rPr>
          <w:szCs w:val="26"/>
        </w:rPr>
        <w:t>In the development of a flood risk map, the initial and fundamental step is the selection of indicators that can effectively represent the key factors influencing flood hazards. This selection is based on theoretical foundations regarding the impacts of natural, anthropogenic, and hydro-meteorological conditions on flood occurrence, supported by previous research findings and the availability of reliable datasets</w:t>
      </w:r>
      <w:r w:rsidR="00E90912" w:rsidRPr="000876BF">
        <w:rPr>
          <w:szCs w:val="26"/>
        </w:rPr>
        <w:t xml:space="preserve"> (</w:t>
      </w:r>
      <w:r w:rsidR="00E90912" w:rsidRPr="000876BF">
        <w:rPr>
          <w:color w:val="0070C0"/>
          <w:szCs w:val="26"/>
        </w:rPr>
        <w:t>Kılıç &amp; Bektaş Balçık, 2025</w:t>
      </w:r>
      <w:r w:rsidR="00E90912" w:rsidRPr="000876BF">
        <w:rPr>
          <w:szCs w:val="26"/>
        </w:rPr>
        <w:t>)</w:t>
      </w:r>
      <w:r w:rsidRPr="000876BF">
        <w:rPr>
          <w:szCs w:val="26"/>
        </w:rPr>
        <w:t xml:space="preserve">. Six major indicators were identified for this study: </w:t>
      </w:r>
    </w:p>
    <w:p w14:paraId="786FC3B2" w14:textId="0C2AA914" w:rsidR="007A43A8" w:rsidRPr="000876BF" w:rsidRDefault="00AD69E9" w:rsidP="007B1A57">
      <w:pPr>
        <w:spacing w:after="0" w:line="276" w:lineRule="auto"/>
        <w:ind w:firstLine="720"/>
        <w:rPr>
          <w:szCs w:val="26"/>
        </w:rPr>
      </w:pPr>
      <w:r w:rsidRPr="000876BF">
        <w:rPr>
          <w:szCs w:val="26"/>
        </w:rPr>
        <w:t xml:space="preserve">(i) </w:t>
      </w:r>
      <w:r w:rsidR="00637DFC" w:rsidRPr="000876BF">
        <w:rPr>
          <w:szCs w:val="26"/>
        </w:rPr>
        <w:t>P</w:t>
      </w:r>
      <w:r w:rsidRPr="000876BF">
        <w:rPr>
          <w:szCs w:val="26"/>
        </w:rPr>
        <w:t xml:space="preserve">roximity to stream, which reflects the higher flood susceptibility of areas located close to river networks; </w:t>
      </w:r>
    </w:p>
    <w:p w14:paraId="2161CE70" w14:textId="66C64E9E" w:rsidR="007A43A8" w:rsidRPr="000876BF" w:rsidRDefault="00AD69E9" w:rsidP="007B1A57">
      <w:pPr>
        <w:spacing w:after="0" w:line="276" w:lineRule="auto"/>
        <w:ind w:firstLine="720"/>
        <w:rPr>
          <w:szCs w:val="26"/>
        </w:rPr>
      </w:pPr>
      <w:r w:rsidRPr="000876BF">
        <w:rPr>
          <w:szCs w:val="26"/>
        </w:rPr>
        <w:t xml:space="preserve">(ii) </w:t>
      </w:r>
      <w:r w:rsidR="00637DFC" w:rsidRPr="000876BF">
        <w:rPr>
          <w:szCs w:val="26"/>
        </w:rPr>
        <w:t>S</w:t>
      </w:r>
      <w:r w:rsidRPr="000876BF">
        <w:rPr>
          <w:szCs w:val="26"/>
        </w:rPr>
        <w:t xml:space="preserve">lope, a crucial factor determining surface runoff velocity and water accumulation capacity; </w:t>
      </w:r>
    </w:p>
    <w:p w14:paraId="726DE2CA" w14:textId="30FB8452" w:rsidR="007A43A8" w:rsidRPr="000876BF" w:rsidRDefault="00AD69E9" w:rsidP="007B1A57">
      <w:pPr>
        <w:spacing w:after="0" w:line="276" w:lineRule="auto"/>
        <w:ind w:firstLine="720"/>
        <w:rPr>
          <w:szCs w:val="26"/>
        </w:rPr>
      </w:pPr>
      <w:r w:rsidRPr="000876BF">
        <w:rPr>
          <w:szCs w:val="26"/>
        </w:rPr>
        <w:t xml:space="preserve">(iii) </w:t>
      </w:r>
      <w:r w:rsidR="00637DFC" w:rsidRPr="000876BF">
        <w:rPr>
          <w:szCs w:val="26"/>
        </w:rPr>
        <w:t>E</w:t>
      </w:r>
      <w:r w:rsidRPr="000876BF">
        <w:rPr>
          <w:szCs w:val="26"/>
        </w:rPr>
        <w:t xml:space="preserve">levation, which indicates the vulnerability of low-lying areas to inundation compared to flood water levels; </w:t>
      </w:r>
    </w:p>
    <w:p w14:paraId="79A4ACFB" w14:textId="50366F5C" w:rsidR="007A43A8" w:rsidRPr="000876BF" w:rsidRDefault="00AD69E9" w:rsidP="007B1A57">
      <w:pPr>
        <w:spacing w:after="0" w:line="276" w:lineRule="auto"/>
        <w:ind w:firstLine="720"/>
        <w:rPr>
          <w:szCs w:val="26"/>
        </w:rPr>
      </w:pPr>
      <w:r w:rsidRPr="000876BF">
        <w:rPr>
          <w:szCs w:val="26"/>
        </w:rPr>
        <w:t xml:space="preserve">(iv) </w:t>
      </w:r>
      <w:r w:rsidR="00637DFC" w:rsidRPr="000876BF">
        <w:rPr>
          <w:szCs w:val="26"/>
        </w:rPr>
        <w:t>A</w:t>
      </w:r>
      <w:r w:rsidRPr="000876BF">
        <w:rPr>
          <w:szCs w:val="26"/>
        </w:rPr>
        <w:t xml:space="preserve">spect, related to wind direction and rainfall distribution, thereby indirectly affecting surface flow concentration; </w:t>
      </w:r>
    </w:p>
    <w:p w14:paraId="686184BA" w14:textId="6295264C" w:rsidR="007A43A8" w:rsidRPr="000876BF" w:rsidRDefault="00AD69E9" w:rsidP="007B1A57">
      <w:pPr>
        <w:spacing w:after="0" w:line="276" w:lineRule="auto"/>
        <w:ind w:firstLine="720"/>
        <w:rPr>
          <w:szCs w:val="26"/>
        </w:rPr>
      </w:pPr>
      <w:r w:rsidRPr="000876BF">
        <w:rPr>
          <w:szCs w:val="26"/>
        </w:rPr>
        <w:t xml:space="preserve">(v) </w:t>
      </w:r>
      <w:r w:rsidR="00637DFC" w:rsidRPr="000876BF">
        <w:rPr>
          <w:szCs w:val="26"/>
        </w:rPr>
        <w:t>L</w:t>
      </w:r>
      <w:r w:rsidRPr="000876BF">
        <w:rPr>
          <w:szCs w:val="26"/>
        </w:rPr>
        <w:t xml:space="preserve">and use/land cover (LULC), which distinguishes differences in infiltration and water retention capacity across land cover types, influencing flood dynamics; </w:t>
      </w:r>
    </w:p>
    <w:p w14:paraId="59C7DB36" w14:textId="6B3F9FA5" w:rsidR="007A43A8" w:rsidRPr="000876BF" w:rsidRDefault="00AD69E9" w:rsidP="007B1A57">
      <w:pPr>
        <w:spacing w:after="0" w:line="276" w:lineRule="auto"/>
        <w:ind w:firstLine="720"/>
        <w:rPr>
          <w:szCs w:val="26"/>
        </w:rPr>
      </w:pPr>
      <w:r w:rsidRPr="000876BF">
        <w:rPr>
          <w:szCs w:val="26"/>
        </w:rPr>
        <w:t xml:space="preserve">(vi) </w:t>
      </w:r>
      <w:r w:rsidR="00637DFC" w:rsidRPr="000876BF">
        <w:rPr>
          <w:szCs w:val="26"/>
        </w:rPr>
        <w:t>P</w:t>
      </w:r>
      <w:r w:rsidRPr="000876BF">
        <w:rPr>
          <w:szCs w:val="26"/>
        </w:rPr>
        <w:t>recipitation, a direct meteorological driver of flooding intensity and frequency.</w:t>
      </w:r>
      <w:r w:rsidR="00AD2E69" w:rsidRPr="000876BF">
        <w:rPr>
          <w:szCs w:val="26"/>
        </w:rPr>
        <w:t xml:space="preserve"> </w:t>
      </w:r>
    </w:p>
    <w:p w14:paraId="0AC53099" w14:textId="33F504D9" w:rsidR="00712EF2" w:rsidRPr="000876BF" w:rsidRDefault="00AD69E9" w:rsidP="007B1A57">
      <w:pPr>
        <w:spacing w:after="0" w:line="276" w:lineRule="auto"/>
        <w:ind w:firstLine="720"/>
        <w:rPr>
          <w:b/>
          <w:bCs/>
          <w:szCs w:val="26"/>
        </w:rPr>
      </w:pPr>
      <w:r w:rsidRPr="000876BF">
        <w:rPr>
          <w:szCs w:val="26"/>
        </w:rPr>
        <w:t>The integration of these indicators ensures a comprehensive assessment, simultaneously capturing the natural baseline conditions and human</w:t>
      </w:r>
      <w:r w:rsidR="009C52AC" w:rsidRPr="000876BF">
        <w:rPr>
          <w:szCs w:val="26"/>
        </w:rPr>
        <w:t xml:space="preserve"> </w:t>
      </w:r>
      <w:r w:rsidRPr="000876BF">
        <w:rPr>
          <w:szCs w:val="26"/>
        </w:rPr>
        <w:t>environment interactions, thereby providing a robust scientific foundation for subsequent analytical steps in flood risk evaluation.</w:t>
      </w:r>
    </w:p>
    <w:p w14:paraId="35367052" w14:textId="45315DB2" w:rsidR="0014704C" w:rsidRPr="000876BF" w:rsidRDefault="0014704C" w:rsidP="002F212A">
      <w:pPr>
        <w:pStyle w:val="111"/>
      </w:pPr>
      <w:r w:rsidRPr="000876BF">
        <w:lastRenderedPageBreak/>
        <w:t xml:space="preserve">2.3.2. Data </w:t>
      </w:r>
      <w:r w:rsidR="00443FC1" w:rsidRPr="000876BF">
        <w:t>p</w:t>
      </w:r>
      <w:r w:rsidRPr="000876BF">
        <w:t>reparation</w:t>
      </w:r>
    </w:p>
    <w:p w14:paraId="11B2A02F" w14:textId="2E4D5998" w:rsidR="00972338" w:rsidRPr="000876BF" w:rsidRDefault="001134C2" w:rsidP="001134C2">
      <w:pPr>
        <w:spacing w:line="276" w:lineRule="auto"/>
        <w:ind w:firstLine="720"/>
        <w:rPr>
          <w:szCs w:val="26"/>
        </w:rPr>
      </w:pPr>
      <w:r w:rsidRPr="000876BF">
        <w:rPr>
          <w:szCs w:val="26"/>
        </w:rPr>
        <w:t>In this step, all selected indicators were collected, standardized, and prepared for analysis.</w:t>
      </w:r>
      <w:r w:rsidRPr="000876BF">
        <w:rPr>
          <w:szCs w:val="26"/>
        </w:rPr>
        <w:t xml:space="preserve"> </w:t>
      </w:r>
      <w:r w:rsidRPr="000876BF">
        <w:rPr>
          <w:szCs w:val="26"/>
        </w:rPr>
        <w:t>Proximity to stream was generated by rasterizing the river network and calculating the Euclidean distance to the nearest river.</w:t>
      </w:r>
      <w:r w:rsidRPr="000876BF">
        <w:rPr>
          <w:szCs w:val="26"/>
        </w:rPr>
        <w:t xml:space="preserve"> </w:t>
      </w:r>
      <w:r w:rsidRPr="000876BF">
        <w:rPr>
          <w:szCs w:val="26"/>
        </w:rPr>
        <w:t>Elevation, slope and aspect were derived from the ALOS World 3D DEM provided by JAXA.</w:t>
      </w:r>
      <w:r w:rsidRPr="000876BF">
        <w:rPr>
          <w:szCs w:val="26"/>
        </w:rPr>
        <w:t xml:space="preserve"> </w:t>
      </w:r>
      <w:r w:rsidRPr="000876BF">
        <w:rPr>
          <w:szCs w:val="26"/>
        </w:rPr>
        <w:t>Land use/land cover (LULC) was constructed using Sentinel-2 imagery acquired on April 2, 2025, classified by three machine learning algorithms</w:t>
      </w:r>
      <w:r w:rsidRPr="000876BF">
        <w:rPr>
          <w:szCs w:val="26"/>
        </w:rPr>
        <w:t xml:space="preserve"> (</w:t>
      </w:r>
      <w:r w:rsidRPr="000876BF">
        <w:rPr>
          <w:szCs w:val="26"/>
        </w:rPr>
        <w:t>Support Vector Machine (SVM), Random Forest (RF), and Classification and Regression Tree (CART)</w:t>
      </w:r>
      <w:r w:rsidRPr="000876BF">
        <w:rPr>
          <w:szCs w:val="26"/>
        </w:rPr>
        <w:t>)</w:t>
      </w:r>
      <w:r w:rsidRPr="000876BF">
        <w:rPr>
          <w:szCs w:val="26"/>
        </w:rPr>
        <w:t>.</w:t>
      </w:r>
      <w:r w:rsidRPr="000876BF">
        <w:rPr>
          <w:szCs w:val="26"/>
        </w:rPr>
        <w:t xml:space="preserve"> </w:t>
      </w:r>
      <w:r w:rsidRPr="000876BF">
        <w:rPr>
          <w:szCs w:val="26"/>
        </w:rPr>
        <w:t>Among these models, RF achieved the highest and most reliable classification accuracy, and its results were therefore selected as the LULC input layer for flood susceptibility mapping.</w:t>
      </w:r>
      <w:r w:rsidRPr="000876BF">
        <w:rPr>
          <w:szCs w:val="26"/>
        </w:rPr>
        <w:t xml:space="preserve"> </w:t>
      </w:r>
      <w:r w:rsidRPr="000876BF">
        <w:rPr>
          <w:szCs w:val="26"/>
        </w:rPr>
        <w:t>The mean annual rainfall was calculated from the CHIRPS daily precipitation data averaged over the period from January 2020 to September 2025, representing the multi-year and near-real-time rainfall conditions of the study area.</w:t>
      </w:r>
      <w:r w:rsidRPr="000876BF">
        <w:rPr>
          <w:szCs w:val="26"/>
        </w:rPr>
        <w:t xml:space="preserve"> </w:t>
      </w:r>
      <w:r w:rsidRPr="000876BF">
        <w:rPr>
          <w:szCs w:val="26"/>
        </w:rPr>
        <w:t>All datasets were clipped to the study area, projected to EPSG:4326, and resampled to a uniform spatial resolution of 10 m for subsequent analyses</w:t>
      </w:r>
      <w:r w:rsidR="00AC05F8" w:rsidRPr="000876BF">
        <w:rPr>
          <w:szCs w:val="26"/>
        </w:rPr>
        <w:t>.</w:t>
      </w:r>
    </w:p>
    <w:p w14:paraId="364B6025" w14:textId="563F9F42" w:rsidR="0014704C" w:rsidRPr="000876BF" w:rsidRDefault="0014704C" w:rsidP="00972338">
      <w:pPr>
        <w:spacing w:line="276" w:lineRule="auto"/>
        <w:ind w:firstLine="720"/>
        <w:rPr>
          <w:szCs w:val="26"/>
        </w:rPr>
      </w:pPr>
      <w:r w:rsidRPr="000876BF">
        <w:rPr>
          <w:szCs w:val="26"/>
        </w:rPr>
        <w:t>To make indicators comparable, values are normalized using the min</w:t>
      </w:r>
      <w:r w:rsidR="00972338" w:rsidRPr="000876BF">
        <w:rPr>
          <w:szCs w:val="26"/>
        </w:rPr>
        <w:t xml:space="preserve"> </w:t>
      </w:r>
      <w:r w:rsidRPr="000876BF">
        <w:rPr>
          <w:szCs w:val="26"/>
        </w:rPr>
        <w:t>max method</w:t>
      </w:r>
      <w:r w:rsidR="00F92442" w:rsidRPr="000876BF">
        <w:rPr>
          <w:szCs w:val="26"/>
        </w:rPr>
        <w:t xml:space="preserve"> (</w:t>
      </w:r>
      <w:r w:rsidR="00F92442" w:rsidRPr="000876BF">
        <w:rPr>
          <w:rFonts w:eastAsia="Times New Roman" w:cs="Times New Roman"/>
          <w:color w:val="0070C0"/>
          <w:kern w:val="0"/>
          <w:szCs w:val="26"/>
          <w14:ligatures w14:val="none"/>
        </w:rPr>
        <w:t>Mazziotta &amp; Pareto, 2022</w:t>
      </w:r>
      <w:r w:rsidR="00F92442" w:rsidRPr="000876BF">
        <w:rPr>
          <w:rFonts w:eastAsia="Times New Roman" w:cs="Times New Roman"/>
          <w:kern w:val="0"/>
          <w:szCs w:val="26"/>
          <w14:ligatures w14:val="none"/>
        </w:rPr>
        <w:t>)</w:t>
      </w:r>
      <w:r w:rsidRPr="000876BF">
        <w:rPr>
          <w:szCs w:val="26"/>
        </w:rPr>
        <w:t>:</w:t>
      </w:r>
    </w:p>
    <w:p w14:paraId="3C0950AC" w14:textId="0F2642CF" w:rsidR="0014704C" w:rsidRPr="000876BF" w:rsidRDefault="001D4056" w:rsidP="00972338">
      <w:pPr>
        <w:spacing w:line="276" w:lineRule="auto"/>
        <w:jc w:val="right"/>
        <w:rPr>
          <w:szCs w:val="26"/>
        </w:rPr>
      </w:pPr>
      <m:oMath>
        <m:sSup>
          <m:sSupPr>
            <m:ctrlPr>
              <w:rPr>
                <w:rFonts w:ascii="Cambria Math" w:hAnsi="Cambria Math"/>
                <w:i/>
                <w:szCs w:val="26"/>
              </w:rPr>
            </m:ctrlPr>
          </m:sSupPr>
          <m:e>
            <m:r>
              <w:rPr>
                <w:rFonts w:ascii="Cambria Math"/>
                <w:szCs w:val="26"/>
              </w:rPr>
              <m:t>X</m:t>
            </m:r>
          </m:e>
          <m:sup>
            <m:r>
              <w:rPr>
                <w:rFonts w:ascii="Cambria Math"/>
                <w:szCs w:val="26"/>
              </w:rPr>
              <m:t>'</m:t>
            </m:r>
          </m:sup>
        </m:sSup>
        <m:r>
          <w:rPr>
            <w:rFonts w:ascii="Cambria Math"/>
            <w:szCs w:val="26"/>
          </w:rPr>
          <m:t>=</m:t>
        </m:r>
        <m:f>
          <m:fPr>
            <m:ctrlPr>
              <w:rPr>
                <w:rFonts w:ascii="Cambria Math" w:hAnsi="Cambria Math"/>
                <w:i/>
                <w:szCs w:val="26"/>
              </w:rPr>
            </m:ctrlPr>
          </m:fPr>
          <m:num>
            <m:r>
              <w:rPr>
                <w:rFonts w:ascii="Cambria Math"/>
                <w:szCs w:val="26"/>
              </w:rPr>
              <m:t>X</m:t>
            </m:r>
            <m:r>
              <w:rPr>
                <w:rFonts w:ascii="Cambria Math"/>
                <w:szCs w:val="26"/>
              </w:rPr>
              <m:t>-</m:t>
            </m:r>
            <m:sSub>
              <m:sSubPr>
                <m:ctrlPr>
                  <w:rPr>
                    <w:rFonts w:ascii="Cambria Math" w:hAnsi="Cambria Math"/>
                    <w:i/>
                    <w:szCs w:val="26"/>
                  </w:rPr>
                </m:ctrlPr>
              </m:sSubPr>
              <m:e>
                <m:r>
                  <w:rPr>
                    <w:rFonts w:ascii="Cambria Math"/>
                    <w:szCs w:val="26"/>
                  </w:rPr>
                  <m:t>X</m:t>
                </m:r>
              </m:e>
              <m:sub>
                <m:r>
                  <w:rPr>
                    <w:rFonts w:ascii="Cambria Math"/>
                    <w:szCs w:val="26"/>
                  </w:rPr>
                  <m:t>min</m:t>
                </m:r>
              </m:sub>
            </m:sSub>
          </m:num>
          <m:den>
            <m:sSub>
              <m:sSubPr>
                <m:ctrlPr>
                  <w:rPr>
                    <w:rFonts w:ascii="Cambria Math" w:hAnsi="Cambria Math"/>
                    <w:i/>
                    <w:szCs w:val="26"/>
                  </w:rPr>
                </m:ctrlPr>
              </m:sSubPr>
              <m:e>
                <m:r>
                  <w:rPr>
                    <w:rFonts w:ascii="Cambria Math"/>
                    <w:szCs w:val="26"/>
                  </w:rPr>
                  <m:t>X</m:t>
                </m:r>
              </m:e>
              <m:sub>
                <m:r>
                  <w:rPr>
                    <w:rFonts w:ascii="Cambria Math"/>
                    <w:szCs w:val="26"/>
                  </w:rPr>
                  <m:t>max</m:t>
                </m:r>
              </m:sub>
            </m:sSub>
            <m:r>
              <w:rPr>
                <w:rFonts w:ascii="Cambria Math"/>
                <w:szCs w:val="26"/>
              </w:rPr>
              <m:t>-</m:t>
            </m:r>
            <m:sSub>
              <m:sSubPr>
                <m:ctrlPr>
                  <w:rPr>
                    <w:rFonts w:ascii="Cambria Math" w:hAnsi="Cambria Math"/>
                    <w:i/>
                    <w:szCs w:val="26"/>
                  </w:rPr>
                </m:ctrlPr>
              </m:sSubPr>
              <m:e>
                <m:r>
                  <w:rPr>
                    <w:rFonts w:ascii="Cambria Math"/>
                    <w:szCs w:val="26"/>
                  </w:rPr>
                  <m:t>X</m:t>
                </m:r>
              </m:e>
              <m:sub>
                <m:r>
                  <w:rPr>
                    <w:rFonts w:ascii="Cambria Math"/>
                    <w:szCs w:val="26"/>
                  </w:rPr>
                  <m:t>min</m:t>
                </m:r>
              </m:sub>
            </m:sSub>
          </m:den>
        </m:f>
        <m:r>
          <w:rPr>
            <w:rFonts w:ascii="Cambria Math" w:hAnsi="Cambria Math"/>
            <w:szCs w:val="26"/>
          </w:rPr>
          <m:t xml:space="preserve"> </m:t>
        </m:r>
      </m:oMath>
      <w:r w:rsidR="00972338" w:rsidRPr="000876BF">
        <w:rPr>
          <w:rFonts w:eastAsiaTheme="minorEastAsia"/>
          <w:szCs w:val="26"/>
        </w:rPr>
        <w:t xml:space="preserve">                                                              (1)</w:t>
      </w:r>
    </w:p>
    <w:p w14:paraId="119C3ACC" w14:textId="229262A7" w:rsidR="0014704C" w:rsidRPr="000876BF" w:rsidRDefault="00E64413" w:rsidP="00062799">
      <w:pPr>
        <w:spacing w:line="276" w:lineRule="auto"/>
        <w:ind w:firstLine="720"/>
        <w:rPr>
          <w:szCs w:val="26"/>
        </w:rPr>
      </w:pPr>
      <w:r w:rsidRPr="000876BF">
        <w:rPr>
          <w:szCs w:val="26"/>
        </w:rPr>
        <w:t>w</w:t>
      </w:r>
      <w:r w:rsidR="0014704C" w:rsidRPr="000876BF">
        <w:rPr>
          <w:szCs w:val="26"/>
        </w:rPr>
        <w:t xml:space="preserve">here </w:t>
      </w:r>
      <m:oMath>
        <m:sSup>
          <m:sSupPr>
            <m:ctrlPr>
              <w:rPr>
                <w:rFonts w:ascii="Cambria Math" w:hAnsi="Cambria Math"/>
                <w:i/>
                <w:szCs w:val="26"/>
              </w:rPr>
            </m:ctrlPr>
          </m:sSupPr>
          <m:e>
            <m:r>
              <w:rPr>
                <w:rFonts w:ascii="Cambria Math"/>
                <w:szCs w:val="26"/>
              </w:rPr>
              <m:t>X</m:t>
            </m:r>
          </m:e>
          <m:sup>
            <m:r>
              <w:rPr>
                <w:rFonts w:ascii="Cambria Math"/>
                <w:szCs w:val="26"/>
              </w:rPr>
              <m:t>'</m:t>
            </m:r>
          </m:sup>
        </m:sSup>
      </m:oMath>
      <w:r w:rsidR="0014704C" w:rsidRPr="000876BF">
        <w:rPr>
          <w:szCs w:val="26"/>
        </w:rPr>
        <w:t xml:space="preserve"> is the normalized value, ranging from 0 to </w:t>
      </w:r>
      <w:proofErr w:type="gramStart"/>
      <w:r w:rsidR="0014704C" w:rsidRPr="000876BF">
        <w:rPr>
          <w:szCs w:val="26"/>
        </w:rPr>
        <w:t>1.</w:t>
      </w:r>
      <w:proofErr w:type="gramEnd"/>
      <w:r w:rsidR="0014704C" w:rsidRPr="000876BF">
        <w:rPr>
          <w:szCs w:val="26"/>
        </w:rPr>
        <w:t xml:space="preserve"> This procedure removes unit differences (for example, slope in degrees, elevation in meters, precipitation in millimeters) and ensures equal contribution of each factor. The processed and normalized layers are then exported and validated, forming a consistent dataset for subsequent AHP analysis.</w:t>
      </w:r>
    </w:p>
    <w:p w14:paraId="36F36477" w14:textId="7E01A296" w:rsidR="0014704C" w:rsidRPr="000876BF" w:rsidRDefault="0014704C" w:rsidP="002F212A">
      <w:pPr>
        <w:pStyle w:val="111"/>
      </w:pPr>
      <w:r w:rsidRPr="000876BF">
        <w:t xml:space="preserve">2.3.3. Structured </w:t>
      </w:r>
      <w:r w:rsidR="00443FC1" w:rsidRPr="000876BF">
        <w:t>hierarchy and pairwise comparison</w:t>
      </w:r>
    </w:p>
    <w:p w14:paraId="652E5AFA" w14:textId="1B84964B" w:rsidR="00540080" w:rsidRPr="000876BF" w:rsidRDefault="0014704C" w:rsidP="007B1A57">
      <w:pPr>
        <w:spacing w:after="0" w:line="276" w:lineRule="auto"/>
        <w:ind w:firstLine="720"/>
        <w:rPr>
          <w:szCs w:val="26"/>
        </w:rPr>
      </w:pPr>
      <w:r w:rsidRPr="000876BF">
        <w:rPr>
          <w:szCs w:val="26"/>
        </w:rPr>
        <w:t xml:space="preserve">In this step, the selected indicators are organized into a hierarchical structure that reflects the overall objective, the evaluation criteria, and their respective sub-factors. At the top level, the objective is to assess flood risk, while the second level consists of the six chosen indicators: proximity to </w:t>
      </w:r>
      <w:r w:rsidR="00540080" w:rsidRPr="000876BF">
        <w:rPr>
          <w:szCs w:val="26"/>
        </w:rPr>
        <w:t>stream</w:t>
      </w:r>
      <w:r w:rsidRPr="000876BF">
        <w:rPr>
          <w:szCs w:val="26"/>
        </w:rPr>
        <w:t>, slope, elevation, aspect, land use/land cover, and precipitation. The Analytic Hierarchy Process (AHP) is then applied to quantify the relative importance of each indicator through pairwise comparisons.</w:t>
      </w:r>
    </w:p>
    <w:p w14:paraId="53EFE90E" w14:textId="77777777" w:rsidR="00540080" w:rsidRPr="000876BF" w:rsidRDefault="0014704C" w:rsidP="007B1A57">
      <w:pPr>
        <w:spacing w:after="0" w:line="276" w:lineRule="auto"/>
        <w:ind w:firstLine="720"/>
        <w:rPr>
          <w:szCs w:val="26"/>
        </w:rPr>
      </w:pPr>
      <w:r w:rsidRPr="000876BF">
        <w:rPr>
          <w:szCs w:val="26"/>
        </w:rPr>
        <w:t xml:space="preserve">In the pairwise comparison method, experts or prior studies are used to assign preference values on a scale from 1 to 9, where 1 denotes equal importance and 9 denotes extreme preference of one factor over another. These judgments form a pairwise comparison matrix </w:t>
      </w:r>
      <m:oMath>
        <m:r>
          <w:rPr>
            <w:rFonts w:ascii="Cambria Math"/>
            <w:szCs w:val="26"/>
          </w:rPr>
          <m:t xml:space="preserve">A= </m:t>
        </m:r>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szCs w:val="26"/>
                  </w:rPr>
                  <m:t>a</m:t>
                </m:r>
              </m:e>
              <m:sub>
                <m:r>
                  <w:rPr>
                    <w:rFonts w:ascii="Cambria Math"/>
                    <w:szCs w:val="26"/>
                  </w:rPr>
                  <m:t>ij</m:t>
                </m:r>
              </m:sub>
            </m:sSub>
          </m:e>
        </m:d>
      </m:oMath>
      <w:r w:rsidRPr="000876BF">
        <w:rPr>
          <w:szCs w:val="26"/>
        </w:rPr>
        <w:t xml:space="preserve">, in which each element </w:t>
      </w:r>
      <m:oMath>
        <m:sSub>
          <m:sSubPr>
            <m:ctrlPr>
              <w:rPr>
                <w:rFonts w:ascii="Cambria Math" w:hAnsi="Cambria Math"/>
                <w:i/>
                <w:szCs w:val="26"/>
              </w:rPr>
            </m:ctrlPr>
          </m:sSubPr>
          <m:e>
            <m:r>
              <w:rPr>
                <w:rFonts w:ascii="Cambria Math"/>
                <w:szCs w:val="26"/>
              </w:rPr>
              <m:t>a</m:t>
            </m:r>
          </m:e>
          <m:sub>
            <m:r>
              <w:rPr>
                <w:rFonts w:ascii="Cambria Math"/>
                <w:szCs w:val="26"/>
              </w:rPr>
              <m:t>ij</m:t>
            </m:r>
          </m:sub>
        </m:sSub>
      </m:oMath>
      <w:r w:rsidRPr="000876BF">
        <w:rPr>
          <w:szCs w:val="26"/>
        </w:rPr>
        <w:t xml:space="preserve"> represents the importance of indicator i compared to indicator j, and the reciprocal property </w:t>
      </w:r>
      <m:oMath>
        <m:sSub>
          <m:sSubPr>
            <m:ctrlPr>
              <w:rPr>
                <w:rFonts w:ascii="Cambria Math" w:hAnsi="Cambria Math"/>
                <w:i/>
                <w:szCs w:val="26"/>
              </w:rPr>
            </m:ctrlPr>
          </m:sSubPr>
          <m:e>
            <m:r>
              <w:rPr>
                <w:rFonts w:ascii="Cambria Math"/>
                <w:szCs w:val="26"/>
              </w:rPr>
              <m:t>a</m:t>
            </m:r>
          </m:e>
          <m:sub>
            <m:r>
              <w:rPr>
                <w:rFonts w:ascii="Cambria Math"/>
                <w:szCs w:val="26"/>
              </w:rPr>
              <m:t>ij</m:t>
            </m:r>
          </m:sub>
        </m:sSub>
        <m:r>
          <w:rPr>
            <w:rFonts w:ascii="Cambria Math"/>
            <w:szCs w:val="26"/>
          </w:rPr>
          <m:t xml:space="preserve"> = 1/</m:t>
        </m:r>
        <m:sSub>
          <m:sSubPr>
            <m:ctrlPr>
              <w:rPr>
                <w:rFonts w:ascii="Cambria Math" w:hAnsi="Cambria Math"/>
                <w:i/>
                <w:szCs w:val="26"/>
              </w:rPr>
            </m:ctrlPr>
          </m:sSubPr>
          <m:e>
            <m:r>
              <w:rPr>
                <w:rFonts w:ascii="Cambria Math"/>
                <w:szCs w:val="26"/>
              </w:rPr>
              <m:t>a</m:t>
            </m:r>
          </m:e>
          <m:sub>
            <m:r>
              <w:rPr>
                <w:rFonts w:ascii="Cambria Math"/>
                <w:szCs w:val="26"/>
              </w:rPr>
              <m:t>ji</m:t>
            </m:r>
          </m:sub>
        </m:sSub>
        <m:r>
          <w:rPr>
            <w:rFonts w:ascii="Cambria Math"/>
            <w:szCs w:val="26"/>
          </w:rPr>
          <m:t>​</m:t>
        </m:r>
      </m:oMath>
      <w:r w:rsidRPr="000876BF">
        <w:rPr>
          <w:rFonts w:eastAsiaTheme="minorEastAsia"/>
          <w:szCs w:val="26"/>
        </w:rPr>
        <w:t xml:space="preserve"> </w:t>
      </w:r>
      <w:r w:rsidRPr="000876BF">
        <w:rPr>
          <w:szCs w:val="26"/>
        </w:rPr>
        <w:t>holds</w:t>
      </w:r>
      <w:r w:rsidR="00540080" w:rsidRPr="000876BF">
        <w:rPr>
          <w:szCs w:val="26"/>
        </w:rPr>
        <w:t xml:space="preserve"> (</w:t>
      </w:r>
      <w:r w:rsidR="00540080" w:rsidRPr="000876BF">
        <w:rPr>
          <w:rFonts w:eastAsia="Times New Roman" w:cs="Times New Roman"/>
          <w:color w:val="0070C0"/>
          <w:kern w:val="0"/>
          <w:szCs w:val="26"/>
          <w14:ligatures w14:val="none"/>
        </w:rPr>
        <w:t>Kwiesielewicz &amp; Van Uden, 2004</w:t>
      </w:r>
      <w:r w:rsidR="00540080" w:rsidRPr="000876BF">
        <w:rPr>
          <w:rFonts w:eastAsia="Times New Roman" w:cs="Times New Roman"/>
          <w:kern w:val="0"/>
          <w:szCs w:val="26"/>
          <w14:ligatures w14:val="none"/>
        </w:rPr>
        <w:t>)</w:t>
      </w:r>
      <w:r w:rsidRPr="000876BF">
        <w:rPr>
          <w:szCs w:val="26"/>
        </w:rPr>
        <w:t>.</w:t>
      </w:r>
    </w:p>
    <w:p w14:paraId="1B2476C4" w14:textId="1D0FDB8C" w:rsidR="0014704C" w:rsidRPr="000876BF" w:rsidRDefault="0014704C" w:rsidP="007B1A57">
      <w:pPr>
        <w:spacing w:after="0" w:line="276" w:lineRule="auto"/>
        <w:ind w:firstLine="720"/>
        <w:rPr>
          <w:szCs w:val="26"/>
        </w:rPr>
      </w:pPr>
      <w:r w:rsidRPr="000876BF">
        <w:rPr>
          <w:szCs w:val="26"/>
        </w:rPr>
        <w:t>From this matrix, the normalized principal eigenvector provides the weights of the indicators</w:t>
      </w:r>
      <w:r w:rsidR="00540080" w:rsidRPr="000876BF">
        <w:rPr>
          <w:szCs w:val="26"/>
        </w:rPr>
        <w:t xml:space="preserve"> (</w:t>
      </w:r>
      <w:r w:rsidR="00540080" w:rsidRPr="000876BF">
        <w:rPr>
          <w:rFonts w:eastAsia="Times New Roman" w:cs="Times New Roman"/>
          <w:color w:val="0070C0"/>
          <w:kern w:val="0"/>
          <w:szCs w:val="26"/>
          <w14:ligatures w14:val="none"/>
        </w:rPr>
        <w:t>Sabzi &amp; King, 2015</w:t>
      </w:r>
      <w:r w:rsidR="00540080" w:rsidRPr="000876BF">
        <w:rPr>
          <w:rFonts w:eastAsia="Times New Roman" w:cs="Times New Roman"/>
          <w:kern w:val="0"/>
          <w:szCs w:val="26"/>
          <w14:ligatures w14:val="none"/>
        </w:rPr>
        <w:t>)</w:t>
      </w:r>
      <w:r w:rsidRPr="000876BF">
        <w:rPr>
          <w:szCs w:val="26"/>
        </w:rPr>
        <w:t>:</w:t>
      </w:r>
    </w:p>
    <w:p w14:paraId="16B0C14F" w14:textId="0C957D19" w:rsidR="0014704C" w:rsidRPr="000876BF" w:rsidRDefault="001D4056" w:rsidP="007B1A57">
      <w:pPr>
        <w:spacing w:after="0" w:line="276" w:lineRule="auto"/>
        <w:jc w:val="right"/>
        <w:rPr>
          <w:rFonts w:eastAsiaTheme="minorEastAsia"/>
          <w:szCs w:val="26"/>
        </w:rPr>
      </w:pPr>
      <m:oMath>
        <m:sSub>
          <m:sSubPr>
            <m:ctrlPr>
              <w:rPr>
                <w:rFonts w:ascii="Cambria Math" w:hAnsi="Cambria Math"/>
                <w:i/>
                <w:szCs w:val="26"/>
              </w:rPr>
            </m:ctrlPr>
          </m:sSubPr>
          <m:e>
            <m:r>
              <w:rPr>
                <w:rFonts w:ascii="Cambria Math"/>
                <w:szCs w:val="26"/>
              </w:rPr>
              <m:t>w</m:t>
            </m:r>
          </m:e>
          <m:sub>
            <m:r>
              <w:rPr>
                <w:rFonts w:ascii="Cambria Math"/>
                <w:szCs w:val="26"/>
              </w:rPr>
              <m:t>i</m:t>
            </m:r>
          </m:sub>
        </m:sSub>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λ</m:t>
                </m:r>
              </m:e>
              <m:sub>
                <m:r>
                  <w:rPr>
                    <w:rFonts w:ascii="Cambria Math"/>
                    <w:szCs w:val="26"/>
                  </w:rPr>
                  <m:t>i</m:t>
                </m:r>
              </m:sub>
            </m:sSub>
          </m:num>
          <m:den>
            <m:nary>
              <m:naryPr>
                <m:chr m:val="∑"/>
                <m:ctrlPr>
                  <w:rPr>
                    <w:rFonts w:ascii="Cambria Math" w:hAnsi="Cambria Math"/>
                    <w:i/>
                    <w:szCs w:val="26"/>
                  </w:rPr>
                </m:ctrlPr>
              </m:naryPr>
              <m:sub>
                <m:r>
                  <w:rPr>
                    <w:rFonts w:ascii="Cambria Math"/>
                    <w:szCs w:val="26"/>
                  </w:rPr>
                  <m:t>j=1</m:t>
                </m:r>
              </m:sub>
              <m:sup>
                <m:r>
                  <w:rPr>
                    <w:rFonts w:ascii="Cambria Math"/>
                    <w:szCs w:val="26"/>
                  </w:rPr>
                  <m:t>n</m:t>
                </m:r>
              </m:sup>
              <m:e>
                <m:sSub>
                  <m:sSubPr>
                    <m:ctrlPr>
                      <w:rPr>
                        <w:rFonts w:ascii="Cambria Math" w:hAnsi="Cambria Math"/>
                        <w:i/>
                        <w:szCs w:val="26"/>
                      </w:rPr>
                    </m:ctrlPr>
                  </m:sSubPr>
                  <m:e>
                    <m:r>
                      <w:rPr>
                        <w:rFonts w:ascii="Cambria Math"/>
                        <w:szCs w:val="26"/>
                      </w:rPr>
                      <m:t>λ</m:t>
                    </m:r>
                  </m:e>
                  <m:sub>
                    <m:r>
                      <w:rPr>
                        <w:rFonts w:ascii="Cambria Math"/>
                        <w:szCs w:val="26"/>
                      </w:rPr>
                      <m:t>j</m:t>
                    </m:r>
                  </m:sub>
                </m:sSub>
              </m:e>
            </m:nary>
          </m:den>
        </m:f>
      </m:oMath>
      <w:r w:rsidR="00540080" w:rsidRPr="000876BF">
        <w:rPr>
          <w:rFonts w:eastAsiaTheme="minorEastAsia"/>
          <w:szCs w:val="26"/>
        </w:rPr>
        <w:t xml:space="preserve">                                                                 (2)</w:t>
      </w:r>
    </w:p>
    <w:p w14:paraId="20141C0F" w14:textId="3F41F7E8" w:rsidR="0014704C" w:rsidRPr="000876BF" w:rsidRDefault="0014704C" w:rsidP="007B1A57">
      <w:pPr>
        <w:spacing w:after="0" w:line="276" w:lineRule="auto"/>
        <w:ind w:firstLine="720"/>
        <w:rPr>
          <w:szCs w:val="26"/>
        </w:rPr>
      </w:pPr>
      <w:r w:rsidRPr="000876BF">
        <w:rPr>
          <w:szCs w:val="26"/>
        </w:rPr>
        <w:t xml:space="preserve">where </w:t>
      </w:r>
      <m:oMath>
        <m:sSub>
          <m:sSubPr>
            <m:ctrlPr>
              <w:rPr>
                <w:rFonts w:ascii="Cambria Math" w:hAnsi="Cambria Math"/>
                <w:i/>
                <w:szCs w:val="26"/>
              </w:rPr>
            </m:ctrlPr>
          </m:sSubPr>
          <m:e>
            <m:r>
              <w:rPr>
                <w:rFonts w:ascii="Cambria Math"/>
                <w:szCs w:val="26"/>
              </w:rPr>
              <m:t>w</m:t>
            </m:r>
          </m:e>
          <m:sub>
            <m:r>
              <w:rPr>
                <w:rFonts w:ascii="Cambria Math"/>
                <w:szCs w:val="26"/>
              </w:rPr>
              <m:t>i</m:t>
            </m:r>
          </m:sub>
        </m:sSub>
      </m:oMath>
      <w:r w:rsidRPr="000876BF">
        <w:rPr>
          <w:rFonts w:eastAsiaTheme="minorEastAsia"/>
          <w:szCs w:val="26"/>
        </w:rPr>
        <w:t xml:space="preserve"> </w:t>
      </w:r>
      <w:r w:rsidRPr="000876BF">
        <w:rPr>
          <w:szCs w:val="26"/>
        </w:rPr>
        <w:t xml:space="preserve">is the weight of indicator </w:t>
      </w:r>
      <w:r w:rsidRPr="000876BF">
        <w:rPr>
          <w:i/>
          <w:iCs/>
          <w:szCs w:val="26"/>
        </w:rPr>
        <w:t>i</w:t>
      </w:r>
      <w:r w:rsidRPr="000876BF">
        <w:rPr>
          <w:szCs w:val="26"/>
        </w:rPr>
        <w:t xml:space="preserve"> and </w:t>
      </w:r>
      <m:oMath>
        <m:sSub>
          <m:sSubPr>
            <m:ctrlPr>
              <w:rPr>
                <w:rFonts w:ascii="Cambria Math" w:hAnsi="Cambria Math"/>
                <w:i/>
                <w:szCs w:val="26"/>
              </w:rPr>
            </m:ctrlPr>
          </m:sSubPr>
          <m:e>
            <m:r>
              <w:rPr>
                <w:rFonts w:ascii="Cambria Math"/>
                <w:szCs w:val="26"/>
              </w:rPr>
              <m:t>λ</m:t>
            </m:r>
          </m:e>
          <m:sub>
            <m:r>
              <w:rPr>
                <w:rFonts w:ascii="Cambria Math"/>
                <w:szCs w:val="26"/>
              </w:rPr>
              <m:t>i</m:t>
            </m:r>
          </m:sub>
        </m:sSub>
      </m:oMath>
      <w:r w:rsidRPr="000876BF">
        <w:rPr>
          <w:szCs w:val="26"/>
        </w:rPr>
        <w:t xml:space="preserve"> is the eigenvalue associated with the comparison </w:t>
      </w:r>
      <w:proofErr w:type="gramStart"/>
      <w:r w:rsidRPr="000876BF">
        <w:rPr>
          <w:szCs w:val="26"/>
        </w:rPr>
        <w:t>matrix.</w:t>
      </w:r>
      <w:proofErr w:type="gramEnd"/>
      <w:r w:rsidR="00F43EE7" w:rsidRPr="000876BF">
        <w:rPr>
          <w:szCs w:val="26"/>
        </w:rPr>
        <w:t xml:space="preserve"> </w:t>
      </w:r>
      <w:r w:rsidRPr="000876BF">
        <w:rPr>
          <w:szCs w:val="26"/>
        </w:rPr>
        <w:t>To verify the consistency of expert judgments, the Consistency Index (CI) and Consistency Ratio (CR) are calculated</w:t>
      </w:r>
      <w:r w:rsidR="00F43EE7" w:rsidRPr="000876BF">
        <w:rPr>
          <w:szCs w:val="26"/>
        </w:rPr>
        <w:t xml:space="preserve"> (</w:t>
      </w:r>
      <w:r w:rsidR="00F43EE7" w:rsidRPr="000876BF">
        <w:rPr>
          <w:color w:val="0070C0"/>
          <w:szCs w:val="26"/>
        </w:rPr>
        <w:t>Aguarón &amp; Moreno-Jiménez, 2003</w:t>
      </w:r>
      <w:r w:rsidR="00F43EE7" w:rsidRPr="000876BF">
        <w:rPr>
          <w:szCs w:val="26"/>
        </w:rPr>
        <w:t>)</w:t>
      </w:r>
      <w:r w:rsidRPr="000876BF">
        <w:rPr>
          <w:szCs w:val="26"/>
        </w:rPr>
        <w:t>:</w:t>
      </w:r>
    </w:p>
    <w:p w14:paraId="728C55B8" w14:textId="25B1B138" w:rsidR="0014704C" w:rsidRPr="000876BF" w:rsidRDefault="0014704C" w:rsidP="007B1A57">
      <w:pPr>
        <w:spacing w:after="0" w:line="276" w:lineRule="auto"/>
        <w:jc w:val="right"/>
        <w:rPr>
          <w:szCs w:val="26"/>
        </w:rPr>
      </w:pPr>
      <m:oMath>
        <m:r>
          <w:rPr>
            <w:rFonts w:ascii="Cambria Math"/>
            <w:szCs w:val="26"/>
          </w:rPr>
          <m:t>CI=</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λ</m:t>
                </m:r>
              </m:e>
              <m:sub>
                <m:r>
                  <w:rPr>
                    <w:rFonts w:ascii="Cambria Math"/>
                    <w:szCs w:val="26"/>
                  </w:rPr>
                  <m:t>max</m:t>
                </m:r>
              </m:sub>
            </m:sSub>
          </m:num>
          <m:den>
            <m:r>
              <w:rPr>
                <w:rFonts w:ascii="Cambria Math"/>
                <w:szCs w:val="26"/>
              </w:rPr>
              <m:t>n</m:t>
            </m:r>
            <m:r>
              <w:rPr>
                <w:rFonts w:ascii="Cambria Math"/>
                <w:szCs w:val="26"/>
              </w:rPr>
              <m:t>-</m:t>
            </m:r>
            <m:r>
              <w:rPr>
                <w:rFonts w:ascii="Cambria Math"/>
                <w:szCs w:val="26"/>
              </w:rPr>
              <m:t>1</m:t>
            </m:r>
          </m:den>
        </m:f>
      </m:oMath>
      <w:r w:rsidR="00540080" w:rsidRPr="000876BF">
        <w:rPr>
          <w:rFonts w:eastAsiaTheme="minorEastAsia"/>
          <w:szCs w:val="26"/>
        </w:rPr>
        <w:t xml:space="preserve">                                                               (3)</w:t>
      </w:r>
      <m:oMath>
        <m:r>
          <m:rPr>
            <m:sty m:val="p"/>
          </m:rPr>
          <w:rPr>
            <w:rFonts w:ascii="Cambria Math"/>
            <w:szCs w:val="26"/>
          </w:rPr>
          <w:br/>
        </m:r>
        <m:r>
          <w:rPr>
            <w:rFonts w:ascii="Cambria Math"/>
            <w:szCs w:val="26"/>
          </w:rPr>
          <m:t>CR=</m:t>
        </m:r>
        <m:f>
          <m:fPr>
            <m:ctrlPr>
              <w:rPr>
                <w:rFonts w:ascii="Cambria Math" w:hAnsi="Cambria Math"/>
                <w:i/>
                <w:szCs w:val="26"/>
              </w:rPr>
            </m:ctrlPr>
          </m:fPr>
          <m:num>
            <m:r>
              <w:rPr>
                <w:rFonts w:ascii="Cambria Math"/>
                <w:szCs w:val="26"/>
              </w:rPr>
              <m:t>CI</m:t>
            </m:r>
          </m:num>
          <m:den>
            <m:r>
              <w:rPr>
                <w:rFonts w:ascii="Cambria Math"/>
                <w:szCs w:val="26"/>
              </w:rPr>
              <m:t>RI</m:t>
            </m:r>
          </m:den>
        </m:f>
      </m:oMath>
      <w:r w:rsidR="00540080" w:rsidRPr="000876BF">
        <w:rPr>
          <w:rFonts w:eastAsiaTheme="minorEastAsia"/>
          <w:szCs w:val="26"/>
        </w:rPr>
        <w:t xml:space="preserve">                                                              </w:t>
      </w:r>
      <w:proofErr w:type="gramStart"/>
      <w:r w:rsidR="00540080" w:rsidRPr="000876BF">
        <w:rPr>
          <w:rFonts w:eastAsiaTheme="minorEastAsia"/>
          <w:szCs w:val="26"/>
        </w:rPr>
        <w:t xml:space="preserve">   (</w:t>
      </w:r>
      <w:proofErr w:type="gramEnd"/>
      <w:r w:rsidR="00540080" w:rsidRPr="000876BF">
        <w:rPr>
          <w:rFonts w:eastAsiaTheme="minorEastAsia"/>
          <w:szCs w:val="26"/>
        </w:rPr>
        <w:t>4)</w:t>
      </w:r>
    </w:p>
    <w:p w14:paraId="701FED2C" w14:textId="77777777" w:rsidR="00C90632" w:rsidRPr="00C90632" w:rsidRDefault="0014704C" w:rsidP="00C90632">
      <w:r w:rsidRPr="000876BF">
        <w:t xml:space="preserve">where </w:t>
      </w:r>
      <m:oMath>
        <m:sSub>
          <m:sSubPr>
            <m:ctrlPr>
              <w:rPr>
                <w:rFonts w:ascii="Cambria Math" w:hAnsi="Cambria Math"/>
                <w:i/>
              </w:rPr>
            </m:ctrlPr>
          </m:sSubPr>
          <m:e>
            <m:r>
              <w:rPr>
                <w:rFonts w:ascii="Cambria Math"/>
              </w:rPr>
              <m:t>λ</m:t>
            </m:r>
          </m:e>
          <m:sub>
            <m:r>
              <w:rPr>
                <w:rFonts w:ascii="Cambria Math"/>
              </w:rPr>
              <m:t>max</m:t>
            </m:r>
          </m:sub>
        </m:sSub>
      </m:oMath>
      <w:r w:rsidRPr="000876BF">
        <w:t xml:space="preserve">​ is the maximum eigenvalue of the matrix, </w:t>
      </w:r>
      <w:r w:rsidRPr="000876BF">
        <w:rPr>
          <w:i/>
          <w:iCs/>
        </w:rPr>
        <w:t>n</w:t>
      </w:r>
      <w:r w:rsidRPr="000876BF">
        <w:t xml:space="preserve"> is the number of indicators, and RI is the Random Index based on matrix size. A CR value less than 0.1 indicates acceptable consistency</w:t>
      </w:r>
      <w:r w:rsidR="00F43EE7" w:rsidRPr="000876BF">
        <w:t xml:space="preserve"> (</w:t>
      </w:r>
      <w:r w:rsidR="00F43EE7" w:rsidRPr="000876BF">
        <w:rPr>
          <w:rFonts w:eastAsia="Times New Roman" w:cs="Times New Roman"/>
          <w:color w:val="0070C0"/>
          <w:kern w:val="0"/>
          <w14:ligatures w14:val="none"/>
        </w:rPr>
        <w:t>Sato &amp; Tan, 2023</w:t>
      </w:r>
      <w:r w:rsidR="00F43EE7" w:rsidRPr="000876BF">
        <w:rPr>
          <w:rFonts w:eastAsia="Times New Roman" w:cs="Times New Roman"/>
          <w:kern w:val="0"/>
          <w14:ligatures w14:val="none"/>
        </w:rPr>
        <w:t>)</w:t>
      </w:r>
      <w:r w:rsidR="00F43EE7" w:rsidRPr="000876BF">
        <w:t>.</w:t>
      </w:r>
      <w:r w:rsidR="004C71E7" w:rsidRPr="000876BF">
        <w:rPr>
          <w:rFonts w:eastAsia="Times New Roman" w:cs="Times New Roman"/>
          <w:kern w:val="0"/>
          <w14:ligatures w14:val="none"/>
        </w:rPr>
        <w:t xml:space="preserve"> </w:t>
      </w:r>
      <w:r w:rsidRPr="000876BF">
        <w:t xml:space="preserve">Through this process, the relative weights of the indicators are determined in a systematic and logical manner, ensuring that the </w:t>
      </w:r>
      <w:r w:rsidRPr="00C90632">
        <w:t>subsequent flood risk index reflects both expert knowledge and a mathematically consistent framework.</w:t>
      </w:r>
      <w:r w:rsidR="00C90632" w:rsidRPr="00C90632">
        <w:t xml:space="preserve"> To enhance reliability, the pairwise comparison matrices were developed through consultation with nine experts representing three domains: hydrology and water resources (3 experts), GIS and remote sensing (3 experts), and land-use management and spatial planning (3 experts). Each expert independently evaluated the six indicators using the Saaty 1–9 scale, and individual consistency ratios (CR) were computed. Matrices with CR &gt; 0.1 were discussed and adjusted to achieve acceptable consistency. The geometric mean of the consistent matrices was then used to obtain the final indicator weights, ensuring balanced integration of hydrological, spatial, and planning perspectives.</w:t>
      </w:r>
    </w:p>
    <w:p w14:paraId="13DAABF2" w14:textId="77777777" w:rsidR="00C90632" w:rsidRPr="00C90632" w:rsidRDefault="00C90632" w:rsidP="00C90632">
      <w:r w:rsidRPr="00C90632">
        <w:t>The selected number of experts follows widely accepted methodological recommendations for AHP applications: 3–5 experts for small-scale studies (Saaty, 2008), 7–12 for provincial or regional studies such as Ha Tinh (</w:t>
      </w:r>
      <w:r w:rsidRPr="00C90632">
        <w:rPr>
          <w:color w:val="0070C0"/>
        </w:rPr>
        <w:t>Forman &amp; Gass, 2001; Luu et al., 2020</w:t>
      </w:r>
      <w:r w:rsidRPr="00C90632">
        <w:t>), and 15–20 for national-scale analyses (</w:t>
      </w:r>
      <w:r w:rsidRPr="00C90632">
        <w:rPr>
          <w:color w:val="0070C0"/>
        </w:rPr>
        <w:t>Vargas, 2010; Rahmati et al., 2021</w:t>
      </w:r>
      <w:r w:rsidRPr="00C90632">
        <w:t>). This expert panel structure guarantees both methodological rigor and contextual relevance for the provincial-scale flood assessment.</w:t>
      </w:r>
    </w:p>
    <w:p w14:paraId="3B05C21A" w14:textId="00758593" w:rsidR="0014704C" w:rsidRPr="000876BF" w:rsidRDefault="00D302A5" w:rsidP="002F212A">
      <w:pPr>
        <w:pStyle w:val="111"/>
      </w:pPr>
      <w:r w:rsidRPr="000876BF">
        <w:t>2.3.</w:t>
      </w:r>
      <w:r w:rsidR="0014704C" w:rsidRPr="000876BF">
        <w:t>4</w:t>
      </w:r>
      <w:r w:rsidRPr="000876BF">
        <w:t>.</w:t>
      </w:r>
      <w:r w:rsidR="0014704C" w:rsidRPr="000876BF">
        <w:t xml:space="preserve"> Calculation</w:t>
      </w:r>
      <w:r w:rsidR="006313B4" w:rsidRPr="000876BF">
        <w:t xml:space="preserve"> of weights</w:t>
      </w:r>
    </w:p>
    <w:p w14:paraId="66F44160" w14:textId="5CB4263C" w:rsidR="0014704C" w:rsidRPr="000876BF" w:rsidRDefault="0014704C" w:rsidP="00D302A5">
      <w:pPr>
        <w:spacing w:line="276" w:lineRule="auto"/>
        <w:ind w:firstLine="720"/>
        <w:rPr>
          <w:szCs w:val="26"/>
        </w:rPr>
      </w:pPr>
      <w:r w:rsidRPr="000876BF">
        <w:rPr>
          <w:szCs w:val="26"/>
        </w:rPr>
        <w:t xml:space="preserve">Based on the results of the pairwise comparison matrix and the eigenvector method, the relative weights of the six indicators were derived. These weights represent the degree of influence each factor has on flood risk within the study area. The calculation ensures that all weights sum to 1, thereby enabling a weighted linear combination of the normalized indicators. In this study, the final weights obtained were as follows: proximity to </w:t>
      </w:r>
      <w:r w:rsidR="00743A59" w:rsidRPr="000876BF">
        <w:rPr>
          <w:szCs w:val="26"/>
        </w:rPr>
        <w:t>stream</w:t>
      </w:r>
      <w:r w:rsidRPr="000876BF">
        <w:rPr>
          <w:szCs w:val="26"/>
        </w:rPr>
        <w:t xml:space="preserve"> (0.5</w:t>
      </w:r>
      <w:r w:rsidR="00743A59" w:rsidRPr="000876BF">
        <w:rPr>
          <w:szCs w:val="26"/>
        </w:rPr>
        <w:t>23</w:t>
      </w:r>
      <w:r w:rsidRPr="000876BF">
        <w:rPr>
          <w:szCs w:val="26"/>
        </w:rPr>
        <w:t>), slope (0.19</w:t>
      </w:r>
      <w:r w:rsidR="00743A59" w:rsidRPr="000876BF">
        <w:rPr>
          <w:szCs w:val="26"/>
        </w:rPr>
        <w:t>3</w:t>
      </w:r>
      <w:r w:rsidRPr="000876BF">
        <w:rPr>
          <w:szCs w:val="26"/>
        </w:rPr>
        <w:t>), land use/land cover (0.1</w:t>
      </w:r>
      <w:r w:rsidR="00743A59" w:rsidRPr="000876BF">
        <w:rPr>
          <w:szCs w:val="26"/>
        </w:rPr>
        <w:t>52</w:t>
      </w:r>
      <w:r w:rsidRPr="000876BF">
        <w:rPr>
          <w:szCs w:val="26"/>
        </w:rPr>
        <w:t>), elevation (0.0</w:t>
      </w:r>
      <w:r w:rsidR="00743A59" w:rsidRPr="000876BF">
        <w:rPr>
          <w:szCs w:val="26"/>
        </w:rPr>
        <w:t>54</w:t>
      </w:r>
      <w:r w:rsidRPr="000876BF">
        <w:rPr>
          <w:szCs w:val="26"/>
        </w:rPr>
        <w:t>), aspect (0.03</w:t>
      </w:r>
      <w:r w:rsidR="00743A59" w:rsidRPr="000876BF">
        <w:rPr>
          <w:szCs w:val="26"/>
        </w:rPr>
        <w:t>7</w:t>
      </w:r>
      <w:r w:rsidRPr="000876BF">
        <w:rPr>
          <w:szCs w:val="26"/>
        </w:rPr>
        <w:t>), and precipitation (0.04</w:t>
      </w:r>
      <w:r w:rsidR="00743A59" w:rsidRPr="000876BF">
        <w:rPr>
          <w:szCs w:val="26"/>
        </w:rPr>
        <w:t>0</w:t>
      </w:r>
      <w:r w:rsidRPr="000876BF">
        <w:rPr>
          <w:szCs w:val="26"/>
        </w:rPr>
        <w:t>)</w:t>
      </w:r>
      <w:r w:rsidR="00743A59" w:rsidRPr="000876BF">
        <w:rPr>
          <w:szCs w:val="26"/>
        </w:rPr>
        <w:t xml:space="preserve"> (Table 1)</w:t>
      </w:r>
      <w:r w:rsidRPr="000876BF">
        <w:rPr>
          <w:szCs w:val="26"/>
        </w:rPr>
        <w:t>.</w:t>
      </w:r>
    </w:p>
    <w:p w14:paraId="623E4E25" w14:textId="6CAEA877" w:rsidR="0014704C" w:rsidRPr="000876BF" w:rsidRDefault="0014704C" w:rsidP="007B1A57">
      <w:pPr>
        <w:spacing w:after="0" w:line="276" w:lineRule="auto"/>
        <w:ind w:firstLine="720"/>
        <w:rPr>
          <w:szCs w:val="26"/>
        </w:rPr>
      </w:pPr>
      <w:r w:rsidRPr="000876BF">
        <w:rPr>
          <w:szCs w:val="26"/>
        </w:rPr>
        <w:lastRenderedPageBreak/>
        <w:t xml:space="preserve">These values indicate that proximity to </w:t>
      </w:r>
      <w:r w:rsidR="0037659C" w:rsidRPr="000876BF">
        <w:rPr>
          <w:szCs w:val="26"/>
        </w:rPr>
        <w:t>stream</w:t>
      </w:r>
      <w:r w:rsidRPr="000876BF">
        <w:rPr>
          <w:szCs w:val="26"/>
        </w:rPr>
        <w:t xml:space="preserve"> is the most influential factor, reflecting the high vulnerability of areas located near major waterways. Slope and </w:t>
      </w:r>
      <w:r w:rsidR="003D7514" w:rsidRPr="000876BF">
        <w:rPr>
          <w:szCs w:val="26"/>
        </w:rPr>
        <w:t>land use/land cover</w:t>
      </w:r>
      <w:r w:rsidRPr="000876BF">
        <w:rPr>
          <w:szCs w:val="26"/>
        </w:rPr>
        <w:t xml:space="preserve"> follow as important determinants, capturing the role of surface runoff dynamics and human modifications of the landscape. By contrast, elevation, aspect, and precipitation contribute less but remain essential in providing a comprehensive assessment of flood susceptibility</w:t>
      </w:r>
      <w:r w:rsidR="00C04936" w:rsidRPr="000876BF">
        <w:rPr>
          <w:szCs w:val="26"/>
        </w:rPr>
        <w:t xml:space="preserve"> ((</w:t>
      </w:r>
      <w:r w:rsidR="00C04936" w:rsidRPr="000876BF">
        <w:rPr>
          <w:color w:val="0070C0"/>
          <w:szCs w:val="26"/>
        </w:rPr>
        <w:t>Kılıç &amp; Bektaş Balçık, 2025</w:t>
      </w:r>
      <w:r w:rsidR="00C04936" w:rsidRPr="000876BF">
        <w:rPr>
          <w:szCs w:val="26"/>
        </w:rPr>
        <w:t>)</w:t>
      </w:r>
      <w:r w:rsidRPr="000876BF">
        <w:rPr>
          <w:szCs w:val="26"/>
        </w:rPr>
        <w:t>.</w:t>
      </w:r>
      <w:r w:rsidR="003D7514" w:rsidRPr="000876BF">
        <w:rPr>
          <w:szCs w:val="26"/>
        </w:rPr>
        <w:t xml:space="preserve"> </w:t>
      </w:r>
      <w:r w:rsidRPr="000876BF">
        <w:rPr>
          <w:szCs w:val="26"/>
        </w:rPr>
        <w:t xml:space="preserve">These weights serve as critical inputs for constructing the </w:t>
      </w:r>
      <w:r w:rsidR="004E5A98" w:rsidRPr="000876BF">
        <w:rPr>
          <w:szCs w:val="26"/>
        </w:rPr>
        <w:t xml:space="preserve">Flood Risk Index </w:t>
      </w:r>
      <w:r w:rsidR="003D7514" w:rsidRPr="000876BF">
        <w:rPr>
          <w:szCs w:val="26"/>
        </w:rPr>
        <w:t>in the following step, ensuring that each indicator contributes proportion</w:t>
      </w:r>
      <w:r w:rsidRPr="000876BF">
        <w:rPr>
          <w:szCs w:val="26"/>
        </w:rPr>
        <w:t>ally to its relative importance.</w:t>
      </w:r>
    </w:p>
    <w:p w14:paraId="57DDD127" w14:textId="77777777" w:rsidR="008A4B54" w:rsidRPr="000876BF" w:rsidRDefault="008A4B54" w:rsidP="008A4B54">
      <w:pPr>
        <w:spacing w:line="276" w:lineRule="auto"/>
        <w:jc w:val="center"/>
        <w:rPr>
          <w:szCs w:val="26"/>
        </w:rPr>
      </w:pPr>
      <w:r w:rsidRPr="000876BF">
        <w:rPr>
          <w:szCs w:val="26"/>
        </w:rPr>
        <w:t>Table 1. The weights of the indicators</w:t>
      </w:r>
    </w:p>
    <w:tbl>
      <w:tblPr>
        <w:tblStyle w:val="TableGrid"/>
        <w:tblW w:w="0" w:type="auto"/>
        <w:tblLook w:val="04A0" w:firstRow="1" w:lastRow="0" w:firstColumn="1" w:lastColumn="0" w:noHBand="0" w:noVBand="1"/>
      </w:tblPr>
      <w:tblGrid>
        <w:gridCol w:w="1569"/>
        <w:gridCol w:w="1238"/>
        <w:gridCol w:w="777"/>
        <w:gridCol w:w="883"/>
        <w:gridCol w:w="1190"/>
        <w:gridCol w:w="910"/>
        <w:gridCol w:w="1545"/>
        <w:gridCol w:w="950"/>
      </w:tblGrid>
      <w:tr w:rsidR="008A4B54" w:rsidRPr="000F5D82" w14:paraId="6515BF71" w14:textId="77777777" w:rsidTr="00B01A44">
        <w:tc>
          <w:tcPr>
            <w:tcW w:w="1920" w:type="dxa"/>
            <w:vAlign w:val="center"/>
          </w:tcPr>
          <w:p w14:paraId="73ADB8C8" w14:textId="77777777" w:rsidR="008A4B54" w:rsidRPr="000F5D82" w:rsidRDefault="008A4B54" w:rsidP="00AE2372">
            <w:pPr>
              <w:spacing w:line="240" w:lineRule="auto"/>
              <w:jc w:val="center"/>
              <w:rPr>
                <w:b/>
                <w:bCs/>
                <w:sz w:val="24"/>
                <w:szCs w:val="24"/>
              </w:rPr>
            </w:pPr>
            <w:r w:rsidRPr="000F5D82">
              <w:rPr>
                <w:b/>
                <w:bCs/>
                <w:sz w:val="24"/>
                <w:szCs w:val="24"/>
              </w:rPr>
              <w:t>Indicators</w:t>
            </w:r>
          </w:p>
        </w:tc>
        <w:tc>
          <w:tcPr>
            <w:tcW w:w="1180" w:type="dxa"/>
            <w:vAlign w:val="center"/>
          </w:tcPr>
          <w:p w14:paraId="6A96B4E8" w14:textId="77777777" w:rsidR="008A4B54" w:rsidRPr="000F5D82" w:rsidRDefault="008A4B54" w:rsidP="00AE2372">
            <w:pPr>
              <w:spacing w:line="240" w:lineRule="auto"/>
              <w:jc w:val="center"/>
              <w:rPr>
                <w:b/>
                <w:bCs/>
                <w:sz w:val="24"/>
                <w:szCs w:val="24"/>
              </w:rPr>
            </w:pPr>
            <w:r w:rsidRPr="000F5D82">
              <w:rPr>
                <w:b/>
                <w:bCs/>
                <w:sz w:val="24"/>
                <w:szCs w:val="24"/>
              </w:rPr>
              <w:t>Proximity to stream</w:t>
            </w:r>
          </w:p>
        </w:tc>
        <w:tc>
          <w:tcPr>
            <w:tcW w:w="763" w:type="dxa"/>
            <w:vAlign w:val="center"/>
          </w:tcPr>
          <w:p w14:paraId="32A729FC" w14:textId="77777777" w:rsidR="008A4B54" w:rsidRPr="000F5D82" w:rsidRDefault="008A4B54" w:rsidP="00AE2372">
            <w:pPr>
              <w:spacing w:line="240" w:lineRule="auto"/>
              <w:jc w:val="center"/>
              <w:rPr>
                <w:b/>
                <w:bCs/>
                <w:sz w:val="24"/>
                <w:szCs w:val="24"/>
              </w:rPr>
            </w:pPr>
            <w:r w:rsidRPr="000F5D82">
              <w:rPr>
                <w:b/>
                <w:bCs/>
                <w:sz w:val="24"/>
                <w:szCs w:val="24"/>
              </w:rPr>
              <w:t>Slope</w:t>
            </w:r>
          </w:p>
        </w:tc>
        <w:tc>
          <w:tcPr>
            <w:tcW w:w="820" w:type="dxa"/>
            <w:vAlign w:val="center"/>
          </w:tcPr>
          <w:p w14:paraId="52026C22" w14:textId="77777777" w:rsidR="008A4B54" w:rsidRPr="000F5D82" w:rsidRDefault="008A4B54" w:rsidP="00AE2372">
            <w:pPr>
              <w:spacing w:line="240" w:lineRule="auto"/>
              <w:jc w:val="center"/>
              <w:rPr>
                <w:b/>
                <w:bCs/>
                <w:sz w:val="24"/>
                <w:szCs w:val="24"/>
              </w:rPr>
            </w:pPr>
            <w:r w:rsidRPr="000F5D82">
              <w:rPr>
                <w:b/>
                <w:bCs/>
                <w:sz w:val="24"/>
                <w:szCs w:val="24"/>
              </w:rPr>
              <w:t>LULC</w:t>
            </w:r>
          </w:p>
        </w:tc>
        <w:tc>
          <w:tcPr>
            <w:tcW w:w="1136" w:type="dxa"/>
            <w:vAlign w:val="center"/>
          </w:tcPr>
          <w:p w14:paraId="41FB280C" w14:textId="77777777" w:rsidR="008A4B54" w:rsidRPr="000F5D82" w:rsidRDefault="008A4B54" w:rsidP="00AE2372">
            <w:pPr>
              <w:spacing w:line="240" w:lineRule="auto"/>
              <w:jc w:val="center"/>
              <w:rPr>
                <w:b/>
                <w:bCs/>
                <w:sz w:val="24"/>
                <w:szCs w:val="24"/>
              </w:rPr>
            </w:pPr>
            <w:r w:rsidRPr="000F5D82">
              <w:rPr>
                <w:b/>
                <w:bCs/>
                <w:sz w:val="24"/>
                <w:szCs w:val="24"/>
              </w:rPr>
              <w:t>Elevation</w:t>
            </w:r>
          </w:p>
        </w:tc>
        <w:tc>
          <w:tcPr>
            <w:tcW w:w="896" w:type="dxa"/>
            <w:vAlign w:val="center"/>
          </w:tcPr>
          <w:p w14:paraId="5B3C2A13" w14:textId="77777777" w:rsidR="008A4B54" w:rsidRPr="000F5D82" w:rsidRDefault="008A4B54" w:rsidP="00AE2372">
            <w:pPr>
              <w:spacing w:line="240" w:lineRule="auto"/>
              <w:jc w:val="center"/>
              <w:rPr>
                <w:b/>
                <w:bCs/>
                <w:sz w:val="24"/>
                <w:szCs w:val="24"/>
              </w:rPr>
            </w:pPr>
            <w:r w:rsidRPr="000F5D82">
              <w:rPr>
                <w:b/>
                <w:bCs/>
                <w:sz w:val="24"/>
                <w:szCs w:val="24"/>
              </w:rPr>
              <w:t>Aspect</w:t>
            </w:r>
          </w:p>
        </w:tc>
        <w:tc>
          <w:tcPr>
            <w:tcW w:w="1443" w:type="dxa"/>
            <w:vAlign w:val="center"/>
          </w:tcPr>
          <w:p w14:paraId="2E271350" w14:textId="77777777" w:rsidR="008A4B54" w:rsidRPr="000F5D82" w:rsidRDefault="008A4B54" w:rsidP="00AE2372">
            <w:pPr>
              <w:spacing w:line="240" w:lineRule="auto"/>
              <w:jc w:val="center"/>
              <w:rPr>
                <w:b/>
                <w:bCs/>
                <w:sz w:val="24"/>
                <w:szCs w:val="24"/>
              </w:rPr>
            </w:pPr>
            <w:r w:rsidRPr="000F5D82">
              <w:rPr>
                <w:b/>
                <w:bCs/>
                <w:sz w:val="24"/>
                <w:szCs w:val="24"/>
              </w:rPr>
              <w:t>Precipitation</w:t>
            </w:r>
          </w:p>
        </w:tc>
        <w:tc>
          <w:tcPr>
            <w:tcW w:w="904" w:type="dxa"/>
            <w:vAlign w:val="center"/>
          </w:tcPr>
          <w:p w14:paraId="2C1CB9EF" w14:textId="77777777" w:rsidR="008A4B54" w:rsidRPr="000F5D82" w:rsidRDefault="008A4B54" w:rsidP="00AE2372">
            <w:pPr>
              <w:spacing w:line="240" w:lineRule="auto"/>
              <w:jc w:val="center"/>
              <w:rPr>
                <w:b/>
                <w:bCs/>
                <w:sz w:val="24"/>
                <w:szCs w:val="24"/>
              </w:rPr>
            </w:pPr>
            <w:r w:rsidRPr="000F5D82">
              <w:rPr>
                <w:b/>
                <w:bCs/>
                <w:sz w:val="24"/>
                <w:szCs w:val="24"/>
              </w:rPr>
              <w:t>Weight</w:t>
            </w:r>
          </w:p>
        </w:tc>
      </w:tr>
      <w:tr w:rsidR="008A4B54" w:rsidRPr="000F5D82" w14:paraId="01360643" w14:textId="77777777" w:rsidTr="00B01A44">
        <w:tc>
          <w:tcPr>
            <w:tcW w:w="1920" w:type="dxa"/>
            <w:vAlign w:val="center"/>
          </w:tcPr>
          <w:p w14:paraId="0E5E460B" w14:textId="77777777" w:rsidR="008A4B54" w:rsidRPr="000F5D82" w:rsidRDefault="008A4B54" w:rsidP="00AE2372">
            <w:pPr>
              <w:spacing w:line="240" w:lineRule="auto"/>
              <w:jc w:val="center"/>
              <w:rPr>
                <w:b/>
                <w:bCs/>
                <w:sz w:val="24"/>
                <w:szCs w:val="24"/>
              </w:rPr>
            </w:pPr>
            <w:r w:rsidRPr="000F5D82">
              <w:rPr>
                <w:sz w:val="24"/>
                <w:szCs w:val="24"/>
              </w:rPr>
              <w:t>Proximity to stream</w:t>
            </w:r>
          </w:p>
        </w:tc>
        <w:tc>
          <w:tcPr>
            <w:tcW w:w="1180" w:type="dxa"/>
            <w:vAlign w:val="center"/>
          </w:tcPr>
          <w:p w14:paraId="51B1CE5D" w14:textId="77777777" w:rsidR="008A4B54" w:rsidRPr="000F5D82" w:rsidRDefault="008A4B54" w:rsidP="00AE2372">
            <w:pPr>
              <w:spacing w:line="240" w:lineRule="auto"/>
              <w:jc w:val="center"/>
              <w:rPr>
                <w:b/>
                <w:bCs/>
                <w:sz w:val="24"/>
                <w:szCs w:val="24"/>
              </w:rPr>
            </w:pPr>
            <w:r w:rsidRPr="000F5D82">
              <w:rPr>
                <w:sz w:val="24"/>
                <w:szCs w:val="24"/>
              </w:rPr>
              <w:t>1</w:t>
            </w:r>
          </w:p>
        </w:tc>
        <w:tc>
          <w:tcPr>
            <w:tcW w:w="763" w:type="dxa"/>
            <w:vAlign w:val="center"/>
          </w:tcPr>
          <w:p w14:paraId="2D46B2BB" w14:textId="77777777" w:rsidR="008A4B54" w:rsidRPr="000F5D82" w:rsidRDefault="008A4B54" w:rsidP="00AE2372">
            <w:pPr>
              <w:spacing w:line="240" w:lineRule="auto"/>
              <w:jc w:val="center"/>
              <w:rPr>
                <w:b/>
                <w:bCs/>
                <w:sz w:val="24"/>
                <w:szCs w:val="24"/>
              </w:rPr>
            </w:pPr>
            <w:r w:rsidRPr="000F5D82">
              <w:rPr>
                <w:sz w:val="24"/>
                <w:szCs w:val="24"/>
              </w:rPr>
              <w:t>5</w:t>
            </w:r>
          </w:p>
        </w:tc>
        <w:tc>
          <w:tcPr>
            <w:tcW w:w="820" w:type="dxa"/>
            <w:vAlign w:val="center"/>
          </w:tcPr>
          <w:p w14:paraId="0C438DD2" w14:textId="77777777" w:rsidR="008A4B54" w:rsidRPr="000F5D82" w:rsidRDefault="008A4B54" w:rsidP="00AE2372">
            <w:pPr>
              <w:spacing w:line="240" w:lineRule="auto"/>
              <w:jc w:val="center"/>
              <w:rPr>
                <w:b/>
                <w:bCs/>
                <w:sz w:val="24"/>
                <w:szCs w:val="24"/>
              </w:rPr>
            </w:pPr>
            <w:r w:rsidRPr="000F5D82">
              <w:rPr>
                <w:sz w:val="24"/>
                <w:szCs w:val="24"/>
              </w:rPr>
              <w:t>6</w:t>
            </w:r>
          </w:p>
        </w:tc>
        <w:tc>
          <w:tcPr>
            <w:tcW w:w="1136" w:type="dxa"/>
            <w:vAlign w:val="center"/>
          </w:tcPr>
          <w:p w14:paraId="16A47B9F" w14:textId="77777777" w:rsidR="008A4B54" w:rsidRPr="000F5D82" w:rsidRDefault="008A4B54" w:rsidP="00AE2372">
            <w:pPr>
              <w:spacing w:line="240" w:lineRule="auto"/>
              <w:jc w:val="center"/>
              <w:rPr>
                <w:b/>
                <w:bCs/>
                <w:sz w:val="24"/>
                <w:szCs w:val="24"/>
              </w:rPr>
            </w:pPr>
            <w:r w:rsidRPr="000F5D82">
              <w:rPr>
                <w:sz w:val="24"/>
                <w:szCs w:val="24"/>
              </w:rPr>
              <w:t>7</w:t>
            </w:r>
          </w:p>
        </w:tc>
        <w:tc>
          <w:tcPr>
            <w:tcW w:w="896" w:type="dxa"/>
            <w:vAlign w:val="center"/>
          </w:tcPr>
          <w:p w14:paraId="3F273D6E" w14:textId="77777777" w:rsidR="008A4B54" w:rsidRPr="000F5D82" w:rsidRDefault="008A4B54" w:rsidP="00AE2372">
            <w:pPr>
              <w:spacing w:line="240" w:lineRule="auto"/>
              <w:jc w:val="center"/>
              <w:rPr>
                <w:b/>
                <w:bCs/>
                <w:sz w:val="24"/>
                <w:szCs w:val="24"/>
              </w:rPr>
            </w:pPr>
            <w:r w:rsidRPr="000F5D82">
              <w:rPr>
                <w:sz w:val="24"/>
                <w:szCs w:val="24"/>
              </w:rPr>
              <w:t>7</w:t>
            </w:r>
          </w:p>
        </w:tc>
        <w:tc>
          <w:tcPr>
            <w:tcW w:w="1443" w:type="dxa"/>
            <w:vAlign w:val="center"/>
          </w:tcPr>
          <w:p w14:paraId="5F6C876A" w14:textId="77777777" w:rsidR="008A4B54" w:rsidRPr="000F5D82" w:rsidRDefault="008A4B54" w:rsidP="00AE2372">
            <w:pPr>
              <w:spacing w:line="240" w:lineRule="auto"/>
              <w:jc w:val="center"/>
              <w:rPr>
                <w:b/>
                <w:bCs/>
                <w:sz w:val="24"/>
                <w:szCs w:val="24"/>
              </w:rPr>
            </w:pPr>
            <w:r w:rsidRPr="000F5D82">
              <w:rPr>
                <w:sz w:val="24"/>
                <w:szCs w:val="24"/>
              </w:rPr>
              <w:t>9</w:t>
            </w:r>
          </w:p>
        </w:tc>
        <w:tc>
          <w:tcPr>
            <w:tcW w:w="904" w:type="dxa"/>
            <w:vAlign w:val="center"/>
          </w:tcPr>
          <w:p w14:paraId="6193E145" w14:textId="77777777" w:rsidR="008A4B54" w:rsidRPr="000F5D82" w:rsidRDefault="008A4B54" w:rsidP="00AE2372">
            <w:pPr>
              <w:spacing w:line="240" w:lineRule="auto"/>
              <w:jc w:val="center"/>
              <w:rPr>
                <w:b/>
                <w:bCs/>
                <w:sz w:val="24"/>
                <w:szCs w:val="24"/>
              </w:rPr>
            </w:pPr>
            <w:r w:rsidRPr="000F5D82">
              <w:rPr>
                <w:sz w:val="24"/>
                <w:szCs w:val="24"/>
              </w:rPr>
              <w:t>0.524</w:t>
            </w:r>
          </w:p>
        </w:tc>
      </w:tr>
      <w:tr w:rsidR="008A4B54" w:rsidRPr="000F5D82" w14:paraId="3585D84E" w14:textId="77777777" w:rsidTr="00B01A44">
        <w:tc>
          <w:tcPr>
            <w:tcW w:w="1920" w:type="dxa"/>
            <w:vAlign w:val="center"/>
          </w:tcPr>
          <w:p w14:paraId="109AE4ED" w14:textId="77777777" w:rsidR="008A4B54" w:rsidRPr="000F5D82" w:rsidRDefault="008A4B54" w:rsidP="00AE2372">
            <w:pPr>
              <w:spacing w:line="240" w:lineRule="auto"/>
              <w:jc w:val="center"/>
              <w:rPr>
                <w:b/>
                <w:bCs/>
                <w:sz w:val="24"/>
                <w:szCs w:val="24"/>
              </w:rPr>
            </w:pPr>
            <w:r w:rsidRPr="000F5D82">
              <w:rPr>
                <w:sz w:val="24"/>
                <w:szCs w:val="24"/>
              </w:rPr>
              <w:t>Slope</w:t>
            </w:r>
          </w:p>
        </w:tc>
        <w:tc>
          <w:tcPr>
            <w:tcW w:w="1180" w:type="dxa"/>
            <w:vAlign w:val="center"/>
          </w:tcPr>
          <w:p w14:paraId="214D0E80" w14:textId="77777777" w:rsidR="008A4B54" w:rsidRPr="000F5D82" w:rsidRDefault="008A4B54" w:rsidP="00AE2372">
            <w:pPr>
              <w:spacing w:line="240" w:lineRule="auto"/>
              <w:jc w:val="center"/>
              <w:rPr>
                <w:b/>
                <w:bCs/>
                <w:sz w:val="24"/>
                <w:szCs w:val="24"/>
              </w:rPr>
            </w:pPr>
            <w:r w:rsidRPr="000F5D82">
              <w:rPr>
                <w:sz w:val="24"/>
                <w:szCs w:val="24"/>
              </w:rPr>
              <w:t>1/5</w:t>
            </w:r>
          </w:p>
        </w:tc>
        <w:tc>
          <w:tcPr>
            <w:tcW w:w="763" w:type="dxa"/>
            <w:vAlign w:val="center"/>
          </w:tcPr>
          <w:p w14:paraId="2431FE89" w14:textId="77777777" w:rsidR="008A4B54" w:rsidRPr="000F5D82" w:rsidRDefault="008A4B54" w:rsidP="00AE2372">
            <w:pPr>
              <w:spacing w:line="240" w:lineRule="auto"/>
              <w:jc w:val="center"/>
              <w:rPr>
                <w:b/>
                <w:bCs/>
                <w:sz w:val="24"/>
                <w:szCs w:val="24"/>
              </w:rPr>
            </w:pPr>
            <w:r w:rsidRPr="000F5D82">
              <w:rPr>
                <w:sz w:val="24"/>
                <w:szCs w:val="24"/>
              </w:rPr>
              <w:t>1</w:t>
            </w:r>
          </w:p>
        </w:tc>
        <w:tc>
          <w:tcPr>
            <w:tcW w:w="820" w:type="dxa"/>
            <w:vAlign w:val="center"/>
          </w:tcPr>
          <w:p w14:paraId="2CFE882D" w14:textId="77777777" w:rsidR="008A4B54" w:rsidRPr="000F5D82" w:rsidRDefault="008A4B54" w:rsidP="00AE2372">
            <w:pPr>
              <w:spacing w:line="240" w:lineRule="auto"/>
              <w:jc w:val="center"/>
              <w:rPr>
                <w:b/>
                <w:bCs/>
                <w:sz w:val="24"/>
                <w:szCs w:val="24"/>
              </w:rPr>
            </w:pPr>
            <w:r w:rsidRPr="000F5D82">
              <w:rPr>
                <w:sz w:val="24"/>
                <w:szCs w:val="24"/>
              </w:rPr>
              <w:t>2</w:t>
            </w:r>
          </w:p>
        </w:tc>
        <w:tc>
          <w:tcPr>
            <w:tcW w:w="1136" w:type="dxa"/>
            <w:vAlign w:val="center"/>
          </w:tcPr>
          <w:p w14:paraId="3BBB0399" w14:textId="77777777" w:rsidR="008A4B54" w:rsidRPr="000F5D82" w:rsidRDefault="008A4B54" w:rsidP="00AE2372">
            <w:pPr>
              <w:spacing w:line="240" w:lineRule="auto"/>
              <w:jc w:val="center"/>
              <w:rPr>
                <w:b/>
                <w:bCs/>
                <w:sz w:val="24"/>
                <w:szCs w:val="24"/>
              </w:rPr>
            </w:pPr>
            <w:r w:rsidRPr="000F5D82">
              <w:rPr>
                <w:sz w:val="24"/>
                <w:szCs w:val="24"/>
              </w:rPr>
              <w:t>5</w:t>
            </w:r>
          </w:p>
        </w:tc>
        <w:tc>
          <w:tcPr>
            <w:tcW w:w="896" w:type="dxa"/>
            <w:vAlign w:val="center"/>
          </w:tcPr>
          <w:p w14:paraId="1085CD3A" w14:textId="77777777" w:rsidR="008A4B54" w:rsidRPr="000F5D82" w:rsidRDefault="008A4B54" w:rsidP="00AE2372">
            <w:pPr>
              <w:spacing w:line="240" w:lineRule="auto"/>
              <w:jc w:val="center"/>
              <w:rPr>
                <w:b/>
                <w:bCs/>
                <w:sz w:val="24"/>
                <w:szCs w:val="24"/>
              </w:rPr>
            </w:pPr>
            <w:r w:rsidRPr="000F5D82">
              <w:rPr>
                <w:sz w:val="24"/>
                <w:szCs w:val="24"/>
              </w:rPr>
              <w:t>5</w:t>
            </w:r>
          </w:p>
        </w:tc>
        <w:tc>
          <w:tcPr>
            <w:tcW w:w="1443" w:type="dxa"/>
            <w:vAlign w:val="center"/>
          </w:tcPr>
          <w:p w14:paraId="781EF48C" w14:textId="77777777" w:rsidR="008A4B54" w:rsidRPr="000F5D82" w:rsidRDefault="008A4B54" w:rsidP="00AE2372">
            <w:pPr>
              <w:spacing w:line="240" w:lineRule="auto"/>
              <w:jc w:val="center"/>
              <w:rPr>
                <w:b/>
                <w:bCs/>
                <w:sz w:val="24"/>
                <w:szCs w:val="24"/>
              </w:rPr>
            </w:pPr>
            <w:r w:rsidRPr="000F5D82">
              <w:rPr>
                <w:sz w:val="24"/>
                <w:szCs w:val="24"/>
              </w:rPr>
              <w:t>5</w:t>
            </w:r>
          </w:p>
        </w:tc>
        <w:tc>
          <w:tcPr>
            <w:tcW w:w="904" w:type="dxa"/>
            <w:vAlign w:val="center"/>
          </w:tcPr>
          <w:p w14:paraId="56988DD4" w14:textId="77777777" w:rsidR="008A4B54" w:rsidRPr="000F5D82" w:rsidRDefault="008A4B54" w:rsidP="00AE2372">
            <w:pPr>
              <w:spacing w:line="240" w:lineRule="auto"/>
              <w:jc w:val="center"/>
              <w:rPr>
                <w:b/>
                <w:bCs/>
                <w:sz w:val="24"/>
                <w:szCs w:val="24"/>
              </w:rPr>
            </w:pPr>
            <w:r w:rsidRPr="000F5D82">
              <w:rPr>
                <w:sz w:val="24"/>
                <w:szCs w:val="24"/>
              </w:rPr>
              <w:t>0.193</w:t>
            </w:r>
          </w:p>
        </w:tc>
      </w:tr>
      <w:tr w:rsidR="008A4B54" w:rsidRPr="000F5D82" w14:paraId="08874D9F" w14:textId="77777777" w:rsidTr="00B01A44">
        <w:tc>
          <w:tcPr>
            <w:tcW w:w="1920" w:type="dxa"/>
            <w:vAlign w:val="center"/>
          </w:tcPr>
          <w:p w14:paraId="6AC7FD74" w14:textId="77777777" w:rsidR="008A4B54" w:rsidRPr="000F5D82" w:rsidRDefault="008A4B54" w:rsidP="00AE2372">
            <w:pPr>
              <w:spacing w:line="240" w:lineRule="auto"/>
              <w:jc w:val="center"/>
              <w:rPr>
                <w:b/>
                <w:bCs/>
                <w:sz w:val="24"/>
                <w:szCs w:val="24"/>
              </w:rPr>
            </w:pPr>
            <w:r w:rsidRPr="000F5D82">
              <w:rPr>
                <w:sz w:val="24"/>
                <w:szCs w:val="24"/>
              </w:rPr>
              <w:t>LULC</w:t>
            </w:r>
          </w:p>
        </w:tc>
        <w:tc>
          <w:tcPr>
            <w:tcW w:w="1180" w:type="dxa"/>
            <w:vAlign w:val="center"/>
          </w:tcPr>
          <w:p w14:paraId="1553322C" w14:textId="77777777" w:rsidR="008A4B54" w:rsidRPr="000F5D82" w:rsidRDefault="008A4B54" w:rsidP="00AE2372">
            <w:pPr>
              <w:spacing w:line="240" w:lineRule="auto"/>
              <w:jc w:val="center"/>
              <w:rPr>
                <w:b/>
                <w:bCs/>
                <w:sz w:val="24"/>
                <w:szCs w:val="24"/>
              </w:rPr>
            </w:pPr>
            <w:r w:rsidRPr="000F5D82">
              <w:rPr>
                <w:sz w:val="24"/>
                <w:szCs w:val="24"/>
              </w:rPr>
              <w:t>1/6</w:t>
            </w:r>
          </w:p>
        </w:tc>
        <w:tc>
          <w:tcPr>
            <w:tcW w:w="763" w:type="dxa"/>
            <w:vAlign w:val="center"/>
          </w:tcPr>
          <w:p w14:paraId="33B86C2C" w14:textId="77777777" w:rsidR="008A4B54" w:rsidRPr="000F5D82" w:rsidRDefault="008A4B54" w:rsidP="00AE2372">
            <w:pPr>
              <w:spacing w:line="240" w:lineRule="auto"/>
              <w:jc w:val="center"/>
              <w:rPr>
                <w:b/>
                <w:bCs/>
                <w:sz w:val="24"/>
                <w:szCs w:val="24"/>
              </w:rPr>
            </w:pPr>
            <w:r w:rsidRPr="000F5D82">
              <w:rPr>
                <w:sz w:val="24"/>
                <w:szCs w:val="24"/>
              </w:rPr>
              <w:t>1/2</w:t>
            </w:r>
          </w:p>
        </w:tc>
        <w:tc>
          <w:tcPr>
            <w:tcW w:w="820" w:type="dxa"/>
            <w:vAlign w:val="center"/>
          </w:tcPr>
          <w:p w14:paraId="451A9193" w14:textId="77777777" w:rsidR="008A4B54" w:rsidRPr="000F5D82" w:rsidRDefault="008A4B54" w:rsidP="00AE2372">
            <w:pPr>
              <w:spacing w:line="240" w:lineRule="auto"/>
              <w:jc w:val="center"/>
              <w:rPr>
                <w:b/>
                <w:bCs/>
                <w:sz w:val="24"/>
                <w:szCs w:val="24"/>
              </w:rPr>
            </w:pPr>
            <w:r w:rsidRPr="000F5D82">
              <w:rPr>
                <w:sz w:val="24"/>
                <w:szCs w:val="24"/>
              </w:rPr>
              <w:t>1</w:t>
            </w:r>
          </w:p>
        </w:tc>
        <w:tc>
          <w:tcPr>
            <w:tcW w:w="1136" w:type="dxa"/>
            <w:vAlign w:val="center"/>
          </w:tcPr>
          <w:p w14:paraId="274F9A15" w14:textId="77777777" w:rsidR="008A4B54" w:rsidRPr="000F5D82" w:rsidRDefault="008A4B54" w:rsidP="00AE2372">
            <w:pPr>
              <w:spacing w:line="240" w:lineRule="auto"/>
              <w:jc w:val="center"/>
              <w:rPr>
                <w:b/>
                <w:bCs/>
                <w:sz w:val="24"/>
                <w:szCs w:val="24"/>
              </w:rPr>
            </w:pPr>
            <w:r w:rsidRPr="000F5D82">
              <w:rPr>
                <w:sz w:val="24"/>
                <w:szCs w:val="24"/>
              </w:rPr>
              <w:t>5</w:t>
            </w:r>
          </w:p>
        </w:tc>
        <w:tc>
          <w:tcPr>
            <w:tcW w:w="896" w:type="dxa"/>
            <w:vAlign w:val="center"/>
          </w:tcPr>
          <w:p w14:paraId="33D6DDC3" w14:textId="77777777" w:rsidR="008A4B54" w:rsidRPr="000F5D82" w:rsidRDefault="008A4B54" w:rsidP="00AE2372">
            <w:pPr>
              <w:spacing w:line="240" w:lineRule="auto"/>
              <w:jc w:val="center"/>
              <w:rPr>
                <w:b/>
                <w:bCs/>
                <w:sz w:val="24"/>
                <w:szCs w:val="24"/>
              </w:rPr>
            </w:pPr>
            <w:r w:rsidRPr="000F5D82">
              <w:rPr>
                <w:sz w:val="24"/>
                <w:szCs w:val="24"/>
              </w:rPr>
              <w:t>5</w:t>
            </w:r>
          </w:p>
        </w:tc>
        <w:tc>
          <w:tcPr>
            <w:tcW w:w="1443" w:type="dxa"/>
            <w:vAlign w:val="center"/>
          </w:tcPr>
          <w:p w14:paraId="55065C47" w14:textId="77777777" w:rsidR="008A4B54" w:rsidRPr="000F5D82" w:rsidRDefault="008A4B54" w:rsidP="00AE2372">
            <w:pPr>
              <w:spacing w:line="240" w:lineRule="auto"/>
              <w:jc w:val="center"/>
              <w:rPr>
                <w:b/>
                <w:bCs/>
                <w:sz w:val="24"/>
                <w:szCs w:val="24"/>
              </w:rPr>
            </w:pPr>
            <w:r w:rsidRPr="000F5D82">
              <w:rPr>
                <w:sz w:val="24"/>
                <w:szCs w:val="24"/>
              </w:rPr>
              <w:t>5</w:t>
            </w:r>
          </w:p>
        </w:tc>
        <w:tc>
          <w:tcPr>
            <w:tcW w:w="904" w:type="dxa"/>
            <w:vAlign w:val="center"/>
          </w:tcPr>
          <w:p w14:paraId="700EF2D8" w14:textId="77777777" w:rsidR="008A4B54" w:rsidRPr="000F5D82" w:rsidRDefault="008A4B54" w:rsidP="00AE2372">
            <w:pPr>
              <w:spacing w:line="240" w:lineRule="auto"/>
              <w:jc w:val="center"/>
              <w:rPr>
                <w:b/>
                <w:bCs/>
                <w:sz w:val="24"/>
                <w:szCs w:val="24"/>
              </w:rPr>
            </w:pPr>
            <w:r w:rsidRPr="000F5D82">
              <w:rPr>
                <w:sz w:val="24"/>
                <w:szCs w:val="24"/>
              </w:rPr>
              <w:t>0.152</w:t>
            </w:r>
          </w:p>
        </w:tc>
      </w:tr>
      <w:tr w:rsidR="008A4B54" w:rsidRPr="000F5D82" w14:paraId="3DC5A81C" w14:textId="77777777" w:rsidTr="00B01A44">
        <w:tc>
          <w:tcPr>
            <w:tcW w:w="1920" w:type="dxa"/>
            <w:vAlign w:val="center"/>
          </w:tcPr>
          <w:p w14:paraId="49B977B2" w14:textId="77777777" w:rsidR="008A4B54" w:rsidRPr="000F5D82" w:rsidRDefault="008A4B54" w:rsidP="00AE2372">
            <w:pPr>
              <w:spacing w:line="240" w:lineRule="auto"/>
              <w:jc w:val="center"/>
              <w:rPr>
                <w:b/>
                <w:bCs/>
                <w:sz w:val="24"/>
                <w:szCs w:val="24"/>
              </w:rPr>
            </w:pPr>
            <w:r w:rsidRPr="000F5D82">
              <w:rPr>
                <w:sz w:val="24"/>
                <w:szCs w:val="24"/>
              </w:rPr>
              <w:t>Elevation</w:t>
            </w:r>
          </w:p>
        </w:tc>
        <w:tc>
          <w:tcPr>
            <w:tcW w:w="1180" w:type="dxa"/>
            <w:vAlign w:val="center"/>
          </w:tcPr>
          <w:p w14:paraId="6B31C493" w14:textId="77777777" w:rsidR="008A4B54" w:rsidRPr="000F5D82" w:rsidRDefault="008A4B54" w:rsidP="00AE2372">
            <w:pPr>
              <w:spacing w:line="240" w:lineRule="auto"/>
              <w:jc w:val="center"/>
              <w:rPr>
                <w:b/>
                <w:bCs/>
                <w:sz w:val="24"/>
                <w:szCs w:val="24"/>
              </w:rPr>
            </w:pPr>
            <w:r w:rsidRPr="000F5D82">
              <w:rPr>
                <w:sz w:val="24"/>
                <w:szCs w:val="24"/>
              </w:rPr>
              <w:t>1/7</w:t>
            </w:r>
          </w:p>
        </w:tc>
        <w:tc>
          <w:tcPr>
            <w:tcW w:w="763" w:type="dxa"/>
            <w:vAlign w:val="center"/>
          </w:tcPr>
          <w:p w14:paraId="6F4F1E3B" w14:textId="77777777" w:rsidR="008A4B54" w:rsidRPr="000F5D82" w:rsidRDefault="008A4B54" w:rsidP="00AE2372">
            <w:pPr>
              <w:spacing w:line="240" w:lineRule="auto"/>
              <w:jc w:val="center"/>
              <w:rPr>
                <w:b/>
                <w:bCs/>
                <w:sz w:val="24"/>
                <w:szCs w:val="24"/>
              </w:rPr>
            </w:pPr>
            <w:r w:rsidRPr="000F5D82">
              <w:rPr>
                <w:sz w:val="24"/>
                <w:szCs w:val="24"/>
              </w:rPr>
              <w:t>1/5</w:t>
            </w:r>
          </w:p>
        </w:tc>
        <w:tc>
          <w:tcPr>
            <w:tcW w:w="820" w:type="dxa"/>
            <w:vAlign w:val="center"/>
          </w:tcPr>
          <w:p w14:paraId="4947ADC0" w14:textId="77777777" w:rsidR="008A4B54" w:rsidRPr="000F5D82" w:rsidRDefault="008A4B54" w:rsidP="00AE2372">
            <w:pPr>
              <w:spacing w:line="240" w:lineRule="auto"/>
              <w:jc w:val="center"/>
              <w:rPr>
                <w:b/>
                <w:bCs/>
                <w:sz w:val="24"/>
                <w:szCs w:val="24"/>
              </w:rPr>
            </w:pPr>
            <w:r w:rsidRPr="000F5D82">
              <w:rPr>
                <w:sz w:val="24"/>
                <w:szCs w:val="24"/>
              </w:rPr>
              <w:t>1/5</w:t>
            </w:r>
          </w:p>
        </w:tc>
        <w:tc>
          <w:tcPr>
            <w:tcW w:w="1136" w:type="dxa"/>
            <w:vAlign w:val="center"/>
          </w:tcPr>
          <w:p w14:paraId="5DE18361" w14:textId="77777777" w:rsidR="008A4B54" w:rsidRPr="000F5D82" w:rsidRDefault="008A4B54" w:rsidP="00AE2372">
            <w:pPr>
              <w:spacing w:line="240" w:lineRule="auto"/>
              <w:jc w:val="center"/>
              <w:rPr>
                <w:b/>
                <w:bCs/>
                <w:sz w:val="24"/>
                <w:szCs w:val="24"/>
              </w:rPr>
            </w:pPr>
            <w:r w:rsidRPr="000F5D82">
              <w:rPr>
                <w:sz w:val="24"/>
                <w:szCs w:val="24"/>
              </w:rPr>
              <w:t>1</w:t>
            </w:r>
          </w:p>
        </w:tc>
        <w:tc>
          <w:tcPr>
            <w:tcW w:w="896" w:type="dxa"/>
            <w:vAlign w:val="center"/>
          </w:tcPr>
          <w:p w14:paraId="2F79F7E8" w14:textId="77777777" w:rsidR="008A4B54" w:rsidRPr="000F5D82" w:rsidRDefault="008A4B54" w:rsidP="00AE2372">
            <w:pPr>
              <w:spacing w:line="240" w:lineRule="auto"/>
              <w:jc w:val="center"/>
              <w:rPr>
                <w:b/>
                <w:bCs/>
                <w:sz w:val="24"/>
                <w:szCs w:val="24"/>
              </w:rPr>
            </w:pPr>
            <w:r w:rsidRPr="000F5D82">
              <w:rPr>
                <w:sz w:val="24"/>
                <w:szCs w:val="24"/>
              </w:rPr>
              <w:t>3</w:t>
            </w:r>
          </w:p>
        </w:tc>
        <w:tc>
          <w:tcPr>
            <w:tcW w:w="1443" w:type="dxa"/>
            <w:vAlign w:val="center"/>
          </w:tcPr>
          <w:p w14:paraId="752846AF" w14:textId="77777777" w:rsidR="008A4B54" w:rsidRPr="000F5D82" w:rsidRDefault="008A4B54" w:rsidP="00AE2372">
            <w:pPr>
              <w:spacing w:line="240" w:lineRule="auto"/>
              <w:jc w:val="center"/>
              <w:rPr>
                <w:b/>
                <w:bCs/>
                <w:sz w:val="24"/>
                <w:szCs w:val="24"/>
              </w:rPr>
            </w:pPr>
            <w:r w:rsidRPr="000F5D82">
              <w:rPr>
                <w:sz w:val="24"/>
                <w:szCs w:val="24"/>
              </w:rPr>
              <w:t>1</w:t>
            </w:r>
          </w:p>
        </w:tc>
        <w:tc>
          <w:tcPr>
            <w:tcW w:w="904" w:type="dxa"/>
            <w:vAlign w:val="center"/>
          </w:tcPr>
          <w:p w14:paraId="252CABC0" w14:textId="77777777" w:rsidR="008A4B54" w:rsidRPr="000F5D82" w:rsidRDefault="008A4B54" w:rsidP="00AE2372">
            <w:pPr>
              <w:spacing w:line="240" w:lineRule="auto"/>
              <w:jc w:val="center"/>
              <w:rPr>
                <w:b/>
                <w:bCs/>
                <w:sz w:val="24"/>
                <w:szCs w:val="24"/>
              </w:rPr>
            </w:pPr>
            <w:r w:rsidRPr="000F5D82">
              <w:rPr>
                <w:sz w:val="24"/>
                <w:szCs w:val="24"/>
              </w:rPr>
              <w:t>0.054</w:t>
            </w:r>
          </w:p>
        </w:tc>
      </w:tr>
      <w:tr w:rsidR="008A4B54" w:rsidRPr="000F5D82" w14:paraId="7BFF6DDB" w14:textId="77777777" w:rsidTr="00B01A44">
        <w:tc>
          <w:tcPr>
            <w:tcW w:w="1920" w:type="dxa"/>
            <w:vAlign w:val="center"/>
          </w:tcPr>
          <w:p w14:paraId="62CF1F53" w14:textId="77777777" w:rsidR="008A4B54" w:rsidRPr="000F5D82" w:rsidRDefault="008A4B54" w:rsidP="00AE2372">
            <w:pPr>
              <w:spacing w:line="240" w:lineRule="auto"/>
              <w:jc w:val="center"/>
              <w:rPr>
                <w:b/>
                <w:bCs/>
                <w:sz w:val="24"/>
                <w:szCs w:val="24"/>
              </w:rPr>
            </w:pPr>
            <w:r w:rsidRPr="000F5D82">
              <w:rPr>
                <w:sz w:val="24"/>
                <w:szCs w:val="24"/>
              </w:rPr>
              <w:t>Aspect</w:t>
            </w:r>
          </w:p>
        </w:tc>
        <w:tc>
          <w:tcPr>
            <w:tcW w:w="1180" w:type="dxa"/>
            <w:vAlign w:val="center"/>
          </w:tcPr>
          <w:p w14:paraId="3EF1953C" w14:textId="77777777" w:rsidR="008A4B54" w:rsidRPr="000F5D82" w:rsidRDefault="008A4B54" w:rsidP="00AE2372">
            <w:pPr>
              <w:spacing w:line="240" w:lineRule="auto"/>
              <w:jc w:val="center"/>
              <w:rPr>
                <w:b/>
                <w:bCs/>
                <w:sz w:val="24"/>
                <w:szCs w:val="24"/>
              </w:rPr>
            </w:pPr>
            <w:r w:rsidRPr="000F5D82">
              <w:rPr>
                <w:sz w:val="24"/>
                <w:szCs w:val="24"/>
              </w:rPr>
              <w:t>1/7</w:t>
            </w:r>
          </w:p>
        </w:tc>
        <w:tc>
          <w:tcPr>
            <w:tcW w:w="763" w:type="dxa"/>
            <w:vAlign w:val="center"/>
          </w:tcPr>
          <w:p w14:paraId="54F6EFB8" w14:textId="77777777" w:rsidR="008A4B54" w:rsidRPr="000F5D82" w:rsidRDefault="008A4B54" w:rsidP="00AE2372">
            <w:pPr>
              <w:spacing w:line="240" w:lineRule="auto"/>
              <w:jc w:val="center"/>
              <w:rPr>
                <w:b/>
                <w:bCs/>
                <w:sz w:val="24"/>
                <w:szCs w:val="24"/>
              </w:rPr>
            </w:pPr>
            <w:r w:rsidRPr="000F5D82">
              <w:rPr>
                <w:sz w:val="24"/>
                <w:szCs w:val="24"/>
              </w:rPr>
              <w:t>1/5</w:t>
            </w:r>
          </w:p>
        </w:tc>
        <w:tc>
          <w:tcPr>
            <w:tcW w:w="820" w:type="dxa"/>
            <w:vAlign w:val="center"/>
          </w:tcPr>
          <w:p w14:paraId="20574647" w14:textId="77777777" w:rsidR="008A4B54" w:rsidRPr="000F5D82" w:rsidRDefault="008A4B54" w:rsidP="00AE2372">
            <w:pPr>
              <w:spacing w:line="240" w:lineRule="auto"/>
              <w:jc w:val="center"/>
              <w:rPr>
                <w:b/>
                <w:bCs/>
                <w:sz w:val="24"/>
                <w:szCs w:val="24"/>
              </w:rPr>
            </w:pPr>
            <w:r w:rsidRPr="000F5D82">
              <w:rPr>
                <w:sz w:val="24"/>
                <w:szCs w:val="24"/>
              </w:rPr>
              <w:t>1/5</w:t>
            </w:r>
          </w:p>
        </w:tc>
        <w:tc>
          <w:tcPr>
            <w:tcW w:w="1136" w:type="dxa"/>
            <w:vAlign w:val="center"/>
          </w:tcPr>
          <w:p w14:paraId="4F2FE2DD" w14:textId="77777777" w:rsidR="008A4B54" w:rsidRPr="000F5D82" w:rsidRDefault="008A4B54" w:rsidP="00AE2372">
            <w:pPr>
              <w:spacing w:line="240" w:lineRule="auto"/>
              <w:jc w:val="center"/>
              <w:rPr>
                <w:b/>
                <w:bCs/>
                <w:sz w:val="24"/>
                <w:szCs w:val="24"/>
              </w:rPr>
            </w:pPr>
            <w:r w:rsidRPr="000F5D82">
              <w:rPr>
                <w:sz w:val="24"/>
                <w:szCs w:val="24"/>
              </w:rPr>
              <w:t>1/3</w:t>
            </w:r>
          </w:p>
        </w:tc>
        <w:tc>
          <w:tcPr>
            <w:tcW w:w="896" w:type="dxa"/>
            <w:vAlign w:val="center"/>
          </w:tcPr>
          <w:p w14:paraId="7B1F26A7" w14:textId="77777777" w:rsidR="008A4B54" w:rsidRPr="000F5D82" w:rsidRDefault="008A4B54" w:rsidP="00AE2372">
            <w:pPr>
              <w:spacing w:line="240" w:lineRule="auto"/>
              <w:jc w:val="center"/>
              <w:rPr>
                <w:b/>
                <w:bCs/>
                <w:sz w:val="24"/>
                <w:szCs w:val="24"/>
              </w:rPr>
            </w:pPr>
            <w:r w:rsidRPr="000F5D82">
              <w:rPr>
                <w:sz w:val="24"/>
                <w:szCs w:val="24"/>
              </w:rPr>
              <w:t>1</w:t>
            </w:r>
          </w:p>
        </w:tc>
        <w:tc>
          <w:tcPr>
            <w:tcW w:w="1443" w:type="dxa"/>
            <w:vAlign w:val="center"/>
          </w:tcPr>
          <w:p w14:paraId="751AC3DC" w14:textId="77777777" w:rsidR="008A4B54" w:rsidRPr="000F5D82" w:rsidRDefault="008A4B54" w:rsidP="00AE2372">
            <w:pPr>
              <w:spacing w:line="240" w:lineRule="auto"/>
              <w:jc w:val="center"/>
              <w:rPr>
                <w:b/>
                <w:bCs/>
                <w:sz w:val="24"/>
                <w:szCs w:val="24"/>
              </w:rPr>
            </w:pPr>
            <w:r w:rsidRPr="000F5D82">
              <w:rPr>
                <w:sz w:val="24"/>
                <w:szCs w:val="24"/>
              </w:rPr>
              <w:t>1</w:t>
            </w:r>
          </w:p>
        </w:tc>
        <w:tc>
          <w:tcPr>
            <w:tcW w:w="904" w:type="dxa"/>
            <w:vAlign w:val="center"/>
          </w:tcPr>
          <w:p w14:paraId="1ED8BE0B" w14:textId="77777777" w:rsidR="008A4B54" w:rsidRPr="000F5D82" w:rsidRDefault="008A4B54" w:rsidP="00AE2372">
            <w:pPr>
              <w:spacing w:line="240" w:lineRule="auto"/>
              <w:jc w:val="center"/>
              <w:rPr>
                <w:b/>
                <w:bCs/>
                <w:sz w:val="24"/>
                <w:szCs w:val="24"/>
              </w:rPr>
            </w:pPr>
            <w:r w:rsidRPr="000F5D82">
              <w:rPr>
                <w:sz w:val="24"/>
                <w:szCs w:val="24"/>
              </w:rPr>
              <w:t>0.037</w:t>
            </w:r>
          </w:p>
        </w:tc>
      </w:tr>
      <w:tr w:rsidR="008A4B54" w:rsidRPr="000F5D82" w14:paraId="7B6B7FE1" w14:textId="77777777" w:rsidTr="00B01A44">
        <w:tc>
          <w:tcPr>
            <w:tcW w:w="1920" w:type="dxa"/>
            <w:vAlign w:val="center"/>
          </w:tcPr>
          <w:p w14:paraId="11265DCD" w14:textId="77777777" w:rsidR="008A4B54" w:rsidRPr="000F5D82" w:rsidRDefault="008A4B54" w:rsidP="00AE2372">
            <w:pPr>
              <w:spacing w:line="240" w:lineRule="auto"/>
              <w:jc w:val="center"/>
              <w:rPr>
                <w:b/>
                <w:bCs/>
                <w:sz w:val="24"/>
                <w:szCs w:val="24"/>
              </w:rPr>
            </w:pPr>
            <w:r w:rsidRPr="000F5D82">
              <w:rPr>
                <w:sz w:val="24"/>
                <w:szCs w:val="24"/>
              </w:rPr>
              <w:t>Precipitation</w:t>
            </w:r>
          </w:p>
        </w:tc>
        <w:tc>
          <w:tcPr>
            <w:tcW w:w="1180" w:type="dxa"/>
            <w:vAlign w:val="center"/>
          </w:tcPr>
          <w:p w14:paraId="07E9430A" w14:textId="77777777" w:rsidR="008A4B54" w:rsidRPr="000F5D82" w:rsidRDefault="008A4B54" w:rsidP="00AE2372">
            <w:pPr>
              <w:spacing w:line="240" w:lineRule="auto"/>
              <w:jc w:val="center"/>
              <w:rPr>
                <w:b/>
                <w:bCs/>
                <w:sz w:val="24"/>
                <w:szCs w:val="24"/>
              </w:rPr>
            </w:pPr>
            <w:r w:rsidRPr="000F5D82">
              <w:rPr>
                <w:sz w:val="24"/>
                <w:szCs w:val="24"/>
              </w:rPr>
              <w:t>1/9</w:t>
            </w:r>
          </w:p>
        </w:tc>
        <w:tc>
          <w:tcPr>
            <w:tcW w:w="763" w:type="dxa"/>
            <w:vAlign w:val="center"/>
          </w:tcPr>
          <w:p w14:paraId="1ABD87A3" w14:textId="77777777" w:rsidR="008A4B54" w:rsidRPr="000F5D82" w:rsidRDefault="008A4B54" w:rsidP="00AE2372">
            <w:pPr>
              <w:spacing w:line="240" w:lineRule="auto"/>
              <w:jc w:val="center"/>
              <w:rPr>
                <w:b/>
                <w:bCs/>
                <w:sz w:val="24"/>
                <w:szCs w:val="24"/>
              </w:rPr>
            </w:pPr>
            <w:r w:rsidRPr="000F5D82">
              <w:rPr>
                <w:sz w:val="24"/>
                <w:szCs w:val="24"/>
              </w:rPr>
              <w:t>1/5</w:t>
            </w:r>
          </w:p>
        </w:tc>
        <w:tc>
          <w:tcPr>
            <w:tcW w:w="820" w:type="dxa"/>
            <w:vAlign w:val="center"/>
          </w:tcPr>
          <w:p w14:paraId="74094A1C" w14:textId="77777777" w:rsidR="008A4B54" w:rsidRPr="000F5D82" w:rsidRDefault="008A4B54" w:rsidP="00AE2372">
            <w:pPr>
              <w:spacing w:line="240" w:lineRule="auto"/>
              <w:jc w:val="center"/>
              <w:rPr>
                <w:b/>
                <w:bCs/>
                <w:sz w:val="24"/>
                <w:szCs w:val="24"/>
              </w:rPr>
            </w:pPr>
            <w:r w:rsidRPr="000F5D82">
              <w:rPr>
                <w:sz w:val="24"/>
                <w:szCs w:val="24"/>
              </w:rPr>
              <w:t>1/5</w:t>
            </w:r>
          </w:p>
        </w:tc>
        <w:tc>
          <w:tcPr>
            <w:tcW w:w="1136" w:type="dxa"/>
            <w:vAlign w:val="center"/>
          </w:tcPr>
          <w:p w14:paraId="236D0278" w14:textId="77777777" w:rsidR="008A4B54" w:rsidRPr="000F5D82" w:rsidRDefault="008A4B54" w:rsidP="00AE2372">
            <w:pPr>
              <w:spacing w:line="240" w:lineRule="auto"/>
              <w:jc w:val="center"/>
              <w:rPr>
                <w:b/>
                <w:bCs/>
                <w:sz w:val="24"/>
                <w:szCs w:val="24"/>
              </w:rPr>
            </w:pPr>
            <w:r w:rsidRPr="000F5D82">
              <w:rPr>
                <w:sz w:val="24"/>
                <w:szCs w:val="24"/>
              </w:rPr>
              <w:t>1</w:t>
            </w:r>
          </w:p>
        </w:tc>
        <w:tc>
          <w:tcPr>
            <w:tcW w:w="896" w:type="dxa"/>
            <w:vAlign w:val="center"/>
          </w:tcPr>
          <w:p w14:paraId="28047775" w14:textId="77777777" w:rsidR="008A4B54" w:rsidRPr="000F5D82" w:rsidRDefault="008A4B54" w:rsidP="00AE2372">
            <w:pPr>
              <w:spacing w:line="240" w:lineRule="auto"/>
              <w:jc w:val="center"/>
              <w:rPr>
                <w:b/>
                <w:bCs/>
                <w:sz w:val="24"/>
                <w:szCs w:val="24"/>
              </w:rPr>
            </w:pPr>
            <w:r w:rsidRPr="000F5D82">
              <w:rPr>
                <w:sz w:val="24"/>
                <w:szCs w:val="24"/>
              </w:rPr>
              <w:t>1</w:t>
            </w:r>
          </w:p>
        </w:tc>
        <w:tc>
          <w:tcPr>
            <w:tcW w:w="1443" w:type="dxa"/>
            <w:vAlign w:val="center"/>
          </w:tcPr>
          <w:p w14:paraId="4E679061" w14:textId="77777777" w:rsidR="008A4B54" w:rsidRPr="000F5D82" w:rsidRDefault="008A4B54" w:rsidP="00AE2372">
            <w:pPr>
              <w:spacing w:line="240" w:lineRule="auto"/>
              <w:jc w:val="center"/>
              <w:rPr>
                <w:b/>
                <w:bCs/>
                <w:sz w:val="24"/>
                <w:szCs w:val="24"/>
              </w:rPr>
            </w:pPr>
            <w:r w:rsidRPr="000F5D82">
              <w:rPr>
                <w:sz w:val="24"/>
                <w:szCs w:val="24"/>
              </w:rPr>
              <w:t>1</w:t>
            </w:r>
          </w:p>
        </w:tc>
        <w:tc>
          <w:tcPr>
            <w:tcW w:w="904" w:type="dxa"/>
            <w:vAlign w:val="center"/>
          </w:tcPr>
          <w:p w14:paraId="761AC103" w14:textId="77777777" w:rsidR="008A4B54" w:rsidRPr="000F5D82" w:rsidRDefault="008A4B54" w:rsidP="00AE2372">
            <w:pPr>
              <w:spacing w:line="240" w:lineRule="auto"/>
              <w:jc w:val="center"/>
              <w:rPr>
                <w:b/>
                <w:bCs/>
                <w:sz w:val="24"/>
                <w:szCs w:val="24"/>
              </w:rPr>
            </w:pPr>
            <w:r w:rsidRPr="000F5D82">
              <w:rPr>
                <w:sz w:val="24"/>
                <w:szCs w:val="24"/>
              </w:rPr>
              <w:t>0.040</w:t>
            </w:r>
          </w:p>
        </w:tc>
      </w:tr>
      <w:tr w:rsidR="008A4B54" w:rsidRPr="000F5D82" w14:paraId="678CE887" w14:textId="77777777" w:rsidTr="00B01A44">
        <w:tc>
          <w:tcPr>
            <w:tcW w:w="1920" w:type="dxa"/>
            <w:vAlign w:val="center"/>
          </w:tcPr>
          <w:p w14:paraId="6615DB3D" w14:textId="77777777" w:rsidR="008A4B54" w:rsidRPr="000F5D82" w:rsidRDefault="008A4B54" w:rsidP="00AE2372">
            <w:pPr>
              <w:spacing w:line="240" w:lineRule="auto"/>
              <w:jc w:val="center"/>
              <w:rPr>
                <w:sz w:val="24"/>
                <w:szCs w:val="24"/>
              </w:rPr>
            </w:pPr>
            <w:r w:rsidRPr="000F5D82">
              <w:rPr>
                <w:sz w:val="24"/>
                <w:szCs w:val="24"/>
              </w:rPr>
              <w:t>Sum of weights</w:t>
            </w:r>
          </w:p>
        </w:tc>
        <w:tc>
          <w:tcPr>
            <w:tcW w:w="7142" w:type="dxa"/>
            <w:gridSpan w:val="7"/>
            <w:vAlign w:val="center"/>
          </w:tcPr>
          <w:p w14:paraId="6F88A0C7" w14:textId="77777777" w:rsidR="008A4B54" w:rsidRPr="000F5D82" w:rsidRDefault="008A4B54" w:rsidP="00AE2372">
            <w:pPr>
              <w:spacing w:line="240" w:lineRule="auto"/>
              <w:jc w:val="left"/>
              <w:rPr>
                <w:sz w:val="24"/>
                <w:szCs w:val="24"/>
              </w:rPr>
            </w:pPr>
            <w:r w:rsidRPr="000F5D82">
              <w:rPr>
                <w:sz w:val="24"/>
                <w:szCs w:val="24"/>
              </w:rPr>
              <w:t>1.000</w:t>
            </w:r>
          </w:p>
        </w:tc>
      </w:tr>
      <w:tr w:rsidR="008A4B54" w:rsidRPr="000F5D82" w14:paraId="71F558E4" w14:textId="77777777" w:rsidTr="00B01A44">
        <w:tc>
          <w:tcPr>
            <w:tcW w:w="1920" w:type="dxa"/>
            <w:vAlign w:val="center"/>
          </w:tcPr>
          <w:p w14:paraId="23C17529" w14:textId="77777777" w:rsidR="008A4B54" w:rsidRPr="000F5D82" w:rsidRDefault="008A4B54" w:rsidP="00AE2372">
            <w:pPr>
              <w:spacing w:line="240" w:lineRule="auto"/>
              <w:jc w:val="center"/>
              <w:rPr>
                <w:sz w:val="24"/>
                <w:szCs w:val="24"/>
              </w:rPr>
            </w:pPr>
            <w:r w:rsidRPr="000F5D82">
              <w:rPr>
                <w:sz w:val="24"/>
                <w:szCs w:val="24"/>
              </w:rPr>
              <w:t>CR</w:t>
            </w:r>
          </w:p>
        </w:tc>
        <w:tc>
          <w:tcPr>
            <w:tcW w:w="7142" w:type="dxa"/>
            <w:gridSpan w:val="7"/>
            <w:vAlign w:val="center"/>
          </w:tcPr>
          <w:p w14:paraId="4FB871DF" w14:textId="77777777" w:rsidR="008A4B54" w:rsidRPr="000F5D82" w:rsidRDefault="008A4B54" w:rsidP="00AE2372">
            <w:pPr>
              <w:spacing w:line="240" w:lineRule="auto"/>
              <w:jc w:val="left"/>
              <w:rPr>
                <w:sz w:val="24"/>
                <w:szCs w:val="24"/>
              </w:rPr>
            </w:pPr>
            <w:r w:rsidRPr="000F5D82">
              <w:rPr>
                <w:sz w:val="24"/>
                <w:szCs w:val="24"/>
              </w:rPr>
              <w:t>0.078</w:t>
            </w:r>
          </w:p>
        </w:tc>
      </w:tr>
    </w:tbl>
    <w:p w14:paraId="24DB8708" w14:textId="28B6D609" w:rsidR="00D302A5" w:rsidRPr="000876BF" w:rsidRDefault="003D7514" w:rsidP="002F212A">
      <w:pPr>
        <w:pStyle w:val="111"/>
      </w:pPr>
      <w:r w:rsidRPr="000876BF">
        <w:t>2.3.</w:t>
      </w:r>
      <w:r w:rsidR="00D302A5" w:rsidRPr="000876BF">
        <w:t>5</w:t>
      </w:r>
      <w:r w:rsidRPr="000876BF">
        <w:t xml:space="preserve">. </w:t>
      </w:r>
      <w:r w:rsidR="00D302A5" w:rsidRPr="000876BF">
        <w:t xml:space="preserve">AHP </w:t>
      </w:r>
      <w:r w:rsidR="004E5A98" w:rsidRPr="000876BF">
        <w:t>Flood Risk Index</w:t>
      </w:r>
    </w:p>
    <w:p w14:paraId="14D7F2CF" w14:textId="5111888B" w:rsidR="00D302A5" w:rsidRPr="000876BF" w:rsidRDefault="00D302A5" w:rsidP="007B1A57">
      <w:pPr>
        <w:spacing w:after="0" w:line="276" w:lineRule="auto"/>
        <w:ind w:firstLine="720"/>
        <w:rPr>
          <w:szCs w:val="26"/>
        </w:rPr>
      </w:pPr>
      <w:r w:rsidRPr="000876BF">
        <w:rPr>
          <w:szCs w:val="26"/>
        </w:rPr>
        <w:t xml:space="preserve">Using the AHP-derived weights, the normalized indicator layers are combined into a single Flood Risk Index (FRI) via a weighted linear combination (WLC). Let </w:t>
      </w:r>
      <m:oMath>
        <m:r>
          <w:rPr>
            <w:rFonts w:ascii="Cambria Math"/>
            <w:szCs w:val="26"/>
          </w:rPr>
          <m:t>P,S,L,E,A,R</m:t>
        </m:r>
        <m:r>
          <w:rPr>
            <w:rFonts w:ascii="Cambria Math" w:hAnsi="Cambria Math" w:cs="Cambria Math"/>
            <w:szCs w:val="26"/>
          </w:rPr>
          <m:t>∈</m:t>
        </m:r>
        <m:r>
          <w:rPr>
            <w:rFonts w:ascii="Cambria Math"/>
            <w:szCs w:val="26"/>
          </w:rPr>
          <m:t>[0,1]</m:t>
        </m:r>
      </m:oMath>
      <w:r w:rsidR="004E5A98" w:rsidRPr="000876BF">
        <w:rPr>
          <w:szCs w:val="26"/>
        </w:rPr>
        <w:t xml:space="preserve"> </w:t>
      </w:r>
      <w:r w:rsidRPr="000876BF">
        <w:rPr>
          <w:szCs w:val="26"/>
        </w:rPr>
        <w:t>denote the min</w:t>
      </w:r>
      <w:r w:rsidR="004E5A98" w:rsidRPr="000876BF">
        <w:rPr>
          <w:szCs w:val="26"/>
        </w:rPr>
        <w:t xml:space="preserve"> </w:t>
      </w:r>
      <w:r w:rsidRPr="000876BF">
        <w:rPr>
          <w:szCs w:val="26"/>
        </w:rPr>
        <w:t xml:space="preserve">max normalized rasters of proximity to </w:t>
      </w:r>
      <w:r w:rsidR="004E5A98" w:rsidRPr="000876BF">
        <w:rPr>
          <w:szCs w:val="26"/>
        </w:rPr>
        <w:t>stream</w:t>
      </w:r>
      <w:r w:rsidRPr="000876BF">
        <w:rPr>
          <w:szCs w:val="26"/>
        </w:rPr>
        <w:t xml:space="preserve">, slope, land use/land cover, elevation, aspect, and precipitation, respectively; and let the corresponding weights be </w:t>
      </w:r>
      <m:oMath>
        <m:sSub>
          <m:sSubPr>
            <m:ctrlPr>
              <w:rPr>
                <w:rFonts w:ascii="Cambria Math" w:hAnsi="Cambria Math"/>
                <w:i/>
                <w:szCs w:val="26"/>
              </w:rPr>
            </m:ctrlPr>
          </m:sSubPr>
          <m:e>
            <m:r>
              <w:rPr>
                <w:rFonts w:ascii="Cambria Math"/>
                <w:szCs w:val="26"/>
              </w:rPr>
              <m:t>w</m:t>
            </m:r>
          </m:e>
          <m:sub>
            <m:r>
              <w:rPr>
                <w:rFonts w:ascii="Cambria Math"/>
                <w:szCs w:val="26"/>
              </w:rPr>
              <m:t>P</m:t>
            </m:r>
          </m:sub>
        </m:sSub>
        <m:r>
          <w:rPr>
            <w:rFonts w:ascii="Cambria Math"/>
            <w:szCs w:val="26"/>
          </w:rPr>
          <m:t>​</m:t>
        </m:r>
        <m:r>
          <w:rPr>
            <w:rFonts w:ascii="Cambria Math"/>
            <w:szCs w:val="26"/>
          </w:rPr>
          <m:t xml:space="preserve">=0.524, </m:t>
        </m:r>
        <m:sSub>
          <m:sSubPr>
            <m:ctrlPr>
              <w:rPr>
                <w:rFonts w:ascii="Cambria Math" w:hAnsi="Cambria Math"/>
                <w:i/>
                <w:szCs w:val="26"/>
              </w:rPr>
            </m:ctrlPr>
          </m:sSubPr>
          <m:e>
            <m:r>
              <w:rPr>
                <w:rFonts w:ascii="Cambria Math"/>
                <w:szCs w:val="26"/>
              </w:rPr>
              <m:t>w</m:t>
            </m:r>
          </m:e>
          <m:sub>
            <m:r>
              <w:rPr>
                <w:rFonts w:ascii="Cambria Math"/>
                <w:szCs w:val="26"/>
              </w:rPr>
              <m:t>S</m:t>
            </m:r>
            <m:r>
              <w:rPr>
                <w:rFonts w:ascii="Cambria Math"/>
                <w:szCs w:val="26"/>
              </w:rPr>
              <m:t>​</m:t>
            </m:r>
          </m:sub>
        </m:sSub>
        <m:r>
          <w:rPr>
            <w:rFonts w:ascii="Cambria Math"/>
            <w:szCs w:val="26"/>
          </w:rPr>
          <m:t xml:space="preserve">=0.193, </m:t>
        </m:r>
        <m:sSub>
          <m:sSubPr>
            <m:ctrlPr>
              <w:rPr>
                <w:rFonts w:ascii="Cambria Math" w:hAnsi="Cambria Math"/>
                <w:i/>
                <w:szCs w:val="26"/>
              </w:rPr>
            </m:ctrlPr>
          </m:sSubPr>
          <m:e>
            <m:r>
              <w:rPr>
                <w:rFonts w:ascii="Cambria Math"/>
                <w:szCs w:val="26"/>
              </w:rPr>
              <m:t>w</m:t>
            </m:r>
          </m:e>
          <m:sub>
            <m:r>
              <w:rPr>
                <w:rFonts w:ascii="Cambria Math"/>
                <w:szCs w:val="26"/>
              </w:rPr>
              <m:t>L</m:t>
            </m:r>
            <m:r>
              <w:rPr>
                <w:rFonts w:ascii="Cambria Math"/>
                <w:szCs w:val="26"/>
              </w:rPr>
              <m:t>​</m:t>
            </m:r>
          </m:sub>
        </m:sSub>
        <m:r>
          <w:rPr>
            <w:rFonts w:ascii="Cambria Math"/>
            <w:szCs w:val="26"/>
          </w:rPr>
          <m:t xml:space="preserve">=0.152, </m:t>
        </m:r>
        <m:sSub>
          <m:sSubPr>
            <m:ctrlPr>
              <w:rPr>
                <w:rFonts w:ascii="Cambria Math" w:hAnsi="Cambria Math"/>
                <w:i/>
                <w:szCs w:val="26"/>
              </w:rPr>
            </m:ctrlPr>
          </m:sSubPr>
          <m:e>
            <m:r>
              <w:rPr>
                <w:rFonts w:ascii="Cambria Math"/>
                <w:szCs w:val="26"/>
              </w:rPr>
              <m:t>w</m:t>
            </m:r>
          </m:e>
          <m:sub>
            <m:r>
              <w:rPr>
                <w:rFonts w:ascii="Cambria Math"/>
                <w:szCs w:val="26"/>
              </w:rPr>
              <m:t>E</m:t>
            </m:r>
          </m:sub>
        </m:sSub>
        <m:r>
          <w:rPr>
            <w:rFonts w:ascii="Cambria Math"/>
            <w:szCs w:val="26"/>
          </w:rPr>
          <m:t>​</m:t>
        </m:r>
        <m:r>
          <w:rPr>
            <w:rFonts w:ascii="Cambria Math"/>
            <w:szCs w:val="26"/>
          </w:rPr>
          <m:t xml:space="preserve">=0.054, </m:t>
        </m:r>
        <m:sSub>
          <m:sSubPr>
            <m:ctrlPr>
              <w:rPr>
                <w:rFonts w:ascii="Cambria Math" w:hAnsi="Cambria Math"/>
                <w:i/>
                <w:szCs w:val="26"/>
              </w:rPr>
            </m:ctrlPr>
          </m:sSubPr>
          <m:e>
            <m:r>
              <w:rPr>
                <w:rFonts w:ascii="Cambria Math"/>
                <w:szCs w:val="26"/>
              </w:rPr>
              <m:t>w</m:t>
            </m:r>
          </m:e>
          <m:sub>
            <m:r>
              <w:rPr>
                <w:rFonts w:ascii="Cambria Math"/>
                <w:szCs w:val="26"/>
              </w:rPr>
              <m:t>A</m:t>
            </m:r>
          </m:sub>
        </m:sSub>
        <m:r>
          <w:rPr>
            <w:rFonts w:ascii="Cambria Math"/>
            <w:szCs w:val="26"/>
          </w:rPr>
          <m:t>​</m:t>
        </m:r>
        <m:r>
          <w:rPr>
            <w:rFonts w:ascii="Cambria Math"/>
            <w:szCs w:val="26"/>
          </w:rPr>
          <m:t xml:space="preserve">=0.037, </m:t>
        </m:r>
        <m:sSub>
          <m:sSubPr>
            <m:ctrlPr>
              <w:rPr>
                <w:rFonts w:ascii="Cambria Math" w:hAnsi="Cambria Math"/>
                <w:i/>
                <w:szCs w:val="26"/>
              </w:rPr>
            </m:ctrlPr>
          </m:sSubPr>
          <m:e>
            <m:r>
              <w:rPr>
                <w:rFonts w:ascii="Cambria Math"/>
                <w:szCs w:val="26"/>
              </w:rPr>
              <m:t>w</m:t>
            </m:r>
          </m:e>
          <m:sub>
            <m:r>
              <w:rPr>
                <w:rFonts w:ascii="Cambria Math"/>
                <w:szCs w:val="26"/>
              </w:rPr>
              <m:t>R</m:t>
            </m:r>
            <m:r>
              <w:rPr>
                <w:rFonts w:ascii="Cambria Math"/>
                <w:szCs w:val="26"/>
              </w:rPr>
              <m:t>​</m:t>
            </m:r>
          </m:sub>
        </m:sSub>
        <m:r>
          <w:rPr>
            <w:rFonts w:ascii="Cambria Math"/>
            <w:szCs w:val="26"/>
          </w:rPr>
          <m:t>=0.040</m:t>
        </m:r>
      </m:oMath>
      <w:r w:rsidR="004E5A98" w:rsidRPr="000876BF">
        <w:rPr>
          <w:szCs w:val="26"/>
        </w:rPr>
        <w:t xml:space="preserve"> </w:t>
      </w:r>
      <w:r w:rsidRPr="000876BF">
        <w:rPr>
          <w:szCs w:val="26"/>
        </w:rPr>
        <w:t>(with</w:t>
      </w:r>
      <w:r w:rsidR="004E5A98" w:rsidRPr="000876BF">
        <w:rPr>
          <w:szCs w:val="26"/>
        </w:rPr>
        <w:t xml:space="preserve"> </w:t>
      </w:r>
      <m:oMath>
        <m:nary>
          <m:naryPr>
            <m:chr m:val="∑"/>
            <m:subHide m:val="1"/>
            <m:supHide m:val="1"/>
            <m:ctrlPr>
              <w:rPr>
                <w:rFonts w:ascii="Cambria Math" w:hAnsi="Cambria Math"/>
                <w:i/>
                <w:szCs w:val="26"/>
              </w:rPr>
            </m:ctrlPr>
          </m:naryPr>
          <m:sub/>
          <m:sup/>
          <m:e>
            <m:sSub>
              <m:sSubPr>
                <m:ctrlPr>
                  <w:rPr>
                    <w:rFonts w:ascii="Cambria Math" w:hAnsi="Cambria Math"/>
                    <w:i/>
                    <w:szCs w:val="26"/>
                  </w:rPr>
                </m:ctrlPr>
              </m:sSubPr>
              <m:e>
                <m:r>
                  <w:rPr>
                    <w:rFonts w:ascii="Cambria Math"/>
                    <w:szCs w:val="26"/>
                  </w:rPr>
                  <m:t>w</m:t>
                </m:r>
              </m:e>
              <m:sub>
                <m:r>
                  <w:rPr>
                    <w:rFonts w:ascii="Cambria Math"/>
                    <w:szCs w:val="26"/>
                  </w:rPr>
                  <m:t>i</m:t>
                </m:r>
              </m:sub>
            </m:sSub>
          </m:e>
        </m:nary>
        <m:r>
          <w:rPr>
            <w:rFonts w:ascii="Cambria Math"/>
            <w:szCs w:val="26"/>
          </w:rPr>
          <m:t>=1</m:t>
        </m:r>
      </m:oMath>
      <w:r w:rsidRPr="000876BF">
        <w:rPr>
          <w:szCs w:val="26"/>
        </w:rPr>
        <w:t>). The index is computed for each pixel as:</w:t>
      </w:r>
    </w:p>
    <w:p w14:paraId="3B8AABD1" w14:textId="2FE56D91" w:rsidR="00D302A5" w:rsidRPr="000876BF" w:rsidRDefault="004E5A98" w:rsidP="007B1A57">
      <w:pPr>
        <w:spacing w:after="0" w:line="276" w:lineRule="auto"/>
        <w:jc w:val="right"/>
        <w:rPr>
          <w:szCs w:val="26"/>
        </w:rPr>
      </w:pPr>
      <m:oMath>
        <m:r>
          <m:rPr>
            <m:nor/>
          </m:rPr>
          <w:rPr>
            <w:rFonts w:ascii="Cambria Math"/>
            <w:szCs w:val="26"/>
          </w:rPr>
          <m:t>FRI</m:t>
        </m:r>
        <m:r>
          <m:rPr>
            <m:sty m:val="p"/>
          </m:rPr>
          <w:rPr>
            <w:rFonts w:ascii="Cambria Math"/>
            <w:szCs w:val="26"/>
          </w:rPr>
          <m:t> </m:t>
        </m:r>
        <m:r>
          <m:rPr>
            <m:sty m:val="p"/>
          </m:rPr>
          <w:rPr>
            <w:rFonts w:ascii="Cambria Math"/>
            <w:szCs w:val="26"/>
          </w:rPr>
          <m:t>=</m:t>
        </m:r>
        <m:r>
          <m:rPr>
            <m:sty m:val="p"/>
          </m:rPr>
          <w:rPr>
            <w:rFonts w:ascii="Cambria Math"/>
            <w:szCs w:val="26"/>
          </w:rPr>
          <m:t> </m:t>
        </m:r>
        <m:sSub>
          <m:sSubPr>
            <m:ctrlPr>
              <w:rPr>
                <w:rFonts w:ascii="Cambria Math" w:hAnsi="Cambria Math"/>
                <w:szCs w:val="26"/>
              </w:rPr>
            </m:ctrlPr>
          </m:sSubPr>
          <m:e>
            <m:r>
              <w:rPr>
                <w:rFonts w:ascii="Cambria Math"/>
                <w:szCs w:val="26"/>
              </w:rPr>
              <m:t>w</m:t>
            </m:r>
          </m:e>
          <m:sub>
            <m:r>
              <w:rPr>
                <w:rFonts w:ascii="Cambria Math"/>
                <w:szCs w:val="26"/>
              </w:rPr>
              <m:t>P</m:t>
            </m:r>
            <m:ctrlPr>
              <w:rPr>
                <w:rFonts w:ascii="Cambria Math" w:hAnsi="Cambria Math"/>
                <w:i/>
                <w:szCs w:val="26"/>
              </w:rPr>
            </m:ctrlPr>
          </m:sub>
        </m:sSub>
        <m:r>
          <w:rPr>
            <w:rFonts w:ascii="Cambria Math"/>
            <w:szCs w:val="26"/>
          </w:rPr>
          <m:t>​</m:t>
        </m:r>
        <m:r>
          <w:rPr>
            <w:rFonts w:ascii="Cambria Math"/>
            <w:szCs w:val="26"/>
          </w:rPr>
          <m:t>P</m:t>
        </m:r>
        <m:r>
          <w:rPr>
            <w:rFonts w:ascii="Cambria Math"/>
            <w:szCs w:val="26"/>
          </w:rPr>
          <m:t> </m:t>
        </m:r>
        <m:r>
          <w:rPr>
            <w:rFonts w:ascii="Cambria Math"/>
            <w:szCs w:val="26"/>
          </w:rPr>
          <m:t>+</m:t>
        </m:r>
        <m:r>
          <w:rPr>
            <w:rFonts w:ascii="Cambria Math"/>
            <w:szCs w:val="26"/>
          </w:rPr>
          <m:t> </m:t>
        </m:r>
        <m:sSub>
          <m:sSubPr>
            <m:ctrlPr>
              <w:rPr>
                <w:rFonts w:ascii="Cambria Math" w:hAnsi="Cambria Math"/>
                <w:i/>
                <w:szCs w:val="26"/>
              </w:rPr>
            </m:ctrlPr>
          </m:sSubPr>
          <m:e>
            <m:r>
              <w:rPr>
                <w:rFonts w:ascii="Cambria Math"/>
                <w:szCs w:val="26"/>
              </w:rPr>
              <m:t>w</m:t>
            </m:r>
          </m:e>
          <m:sub>
            <m:r>
              <w:rPr>
                <w:rFonts w:ascii="Cambria Math"/>
                <w:szCs w:val="26"/>
              </w:rPr>
              <m:t>S</m:t>
            </m:r>
          </m:sub>
        </m:sSub>
        <m:r>
          <w:rPr>
            <w:rFonts w:ascii="Cambria Math"/>
            <w:szCs w:val="26"/>
          </w:rPr>
          <m:t>​</m:t>
        </m:r>
        <m:r>
          <w:rPr>
            <w:rFonts w:ascii="Cambria Math"/>
            <w:szCs w:val="26"/>
          </w:rPr>
          <m:t>S</m:t>
        </m:r>
        <m:r>
          <w:rPr>
            <w:rFonts w:ascii="Cambria Math"/>
            <w:szCs w:val="26"/>
          </w:rPr>
          <m:t> </m:t>
        </m:r>
        <m:r>
          <w:rPr>
            <w:rFonts w:ascii="Cambria Math"/>
            <w:szCs w:val="26"/>
          </w:rPr>
          <m:t>+</m:t>
        </m:r>
        <m:r>
          <w:rPr>
            <w:rFonts w:ascii="Cambria Math"/>
            <w:szCs w:val="26"/>
          </w:rPr>
          <m:t> </m:t>
        </m:r>
        <m:sSub>
          <m:sSubPr>
            <m:ctrlPr>
              <w:rPr>
                <w:rFonts w:ascii="Cambria Math" w:hAnsi="Cambria Math"/>
                <w:i/>
                <w:szCs w:val="26"/>
              </w:rPr>
            </m:ctrlPr>
          </m:sSubPr>
          <m:e>
            <m:r>
              <w:rPr>
                <w:rFonts w:ascii="Cambria Math"/>
                <w:szCs w:val="26"/>
              </w:rPr>
              <m:t>w</m:t>
            </m:r>
          </m:e>
          <m:sub>
            <m:r>
              <w:rPr>
                <w:rFonts w:ascii="Cambria Math"/>
                <w:szCs w:val="26"/>
              </w:rPr>
              <m:t>L</m:t>
            </m:r>
          </m:sub>
        </m:sSub>
        <m:r>
          <w:rPr>
            <w:rFonts w:ascii="Cambria Math"/>
            <w:szCs w:val="26"/>
          </w:rPr>
          <m:t>​</m:t>
        </m:r>
        <m:r>
          <w:rPr>
            <w:rFonts w:ascii="Cambria Math"/>
            <w:szCs w:val="26"/>
          </w:rPr>
          <m:t>L</m:t>
        </m:r>
        <m:r>
          <w:rPr>
            <w:rFonts w:ascii="Cambria Math"/>
            <w:szCs w:val="26"/>
          </w:rPr>
          <m:t> </m:t>
        </m:r>
        <m:r>
          <w:rPr>
            <w:rFonts w:ascii="Cambria Math"/>
            <w:szCs w:val="26"/>
          </w:rPr>
          <m:t>+</m:t>
        </m:r>
        <m:r>
          <w:rPr>
            <w:rFonts w:ascii="Cambria Math"/>
            <w:szCs w:val="26"/>
          </w:rPr>
          <m:t> </m:t>
        </m:r>
        <m:sSub>
          <m:sSubPr>
            <m:ctrlPr>
              <w:rPr>
                <w:rFonts w:ascii="Cambria Math" w:hAnsi="Cambria Math"/>
                <w:i/>
                <w:szCs w:val="26"/>
              </w:rPr>
            </m:ctrlPr>
          </m:sSubPr>
          <m:e>
            <m:r>
              <w:rPr>
                <w:rFonts w:ascii="Cambria Math"/>
                <w:szCs w:val="26"/>
              </w:rPr>
              <m:t>w</m:t>
            </m:r>
          </m:e>
          <m:sub>
            <m:r>
              <w:rPr>
                <w:rFonts w:ascii="Cambria Math"/>
                <w:szCs w:val="26"/>
              </w:rPr>
              <m:t>E</m:t>
            </m:r>
          </m:sub>
        </m:sSub>
        <m:r>
          <w:rPr>
            <w:rFonts w:ascii="Cambria Math"/>
            <w:szCs w:val="26"/>
          </w:rPr>
          <m:t>​</m:t>
        </m:r>
        <m:r>
          <w:rPr>
            <w:rFonts w:ascii="Cambria Math"/>
            <w:szCs w:val="26"/>
          </w:rPr>
          <m:t>E</m:t>
        </m:r>
        <m:r>
          <w:rPr>
            <w:rFonts w:ascii="Cambria Math"/>
            <w:szCs w:val="26"/>
          </w:rPr>
          <m:t> </m:t>
        </m:r>
        <m:r>
          <w:rPr>
            <w:rFonts w:ascii="Cambria Math"/>
            <w:szCs w:val="26"/>
          </w:rPr>
          <m:t>+</m:t>
        </m:r>
        <m:r>
          <w:rPr>
            <w:rFonts w:ascii="Cambria Math"/>
            <w:szCs w:val="26"/>
          </w:rPr>
          <m:t> </m:t>
        </m:r>
        <m:sSub>
          <m:sSubPr>
            <m:ctrlPr>
              <w:rPr>
                <w:rFonts w:ascii="Cambria Math" w:hAnsi="Cambria Math"/>
                <w:i/>
                <w:szCs w:val="26"/>
              </w:rPr>
            </m:ctrlPr>
          </m:sSubPr>
          <m:e>
            <m:r>
              <w:rPr>
                <w:rFonts w:ascii="Cambria Math"/>
                <w:szCs w:val="26"/>
              </w:rPr>
              <m:t>w</m:t>
            </m:r>
          </m:e>
          <m:sub>
            <m:r>
              <w:rPr>
                <w:rFonts w:ascii="Cambria Math"/>
                <w:szCs w:val="26"/>
              </w:rPr>
              <m:t>A</m:t>
            </m:r>
          </m:sub>
        </m:sSub>
        <m:r>
          <w:rPr>
            <w:rFonts w:ascii="Cambria Math"/>
            <w:szCs w:val="26"/>
          </w:rPr>
          <m:t>​</m:t>
        </m:r>
        <m:r>
          <w:rPr>
            <w:rFonts w:ascii="Cambria Math"/>
            <w:szCs w:val="26"/>
          </w:rPr>
          <m:t>A</m:t>
        </m:r>
        <m:r>
          <w:rPr>
            <w:rFonts w:ascii="Cambria Math"/>
            <w:szCs w:val="26"/>
          </w:rPr>
          <m:t> </m:t>
        </m:r>
        <m:r>
          <w:rPr>
            <w:rFonts w:ascii="Cambria Math"/>
            <w:szCs w:val="26"/>
          </w:rPr>
          <m:t>+</m:t>
        </m:r>
        <m:r>
          <w:rPr>
            <w:rFonts w:ascii="Cambria Math"/>
            <w:szCs w:val="26"/>
          </w:rPr>
          <m:t> </m:t>
        </m:r>
        <m:sSub>
          <m:sSubPr>
            <m:ctrlPr>
              <w:rPr>
                <w:rFonts w:ascii="Cambria Math" w:hAnsi="Cambria Math"/>
                <w:i/>
                <w:szCs w:val="26"/>
              </w:rPr>
            </m:ctrlPr>
          </m:sSubPr>
          <m:e>
            <m:r>
              <w:rPr>
                <w:rFonts w:ascii="Cambria Math"/>
                <w:szCs w:val="26"/>
              </w:rPr>
              <m:t>w</m:t>
            </m:r>
          </m:e>
          <m:sub>
            <m:r>
              <w:rPr>
                <w:rFonts w:ascii="Cambria Math"/>
                <w:szCs w:val="26"/>
              </w:rPr>
              <m:t>R</m:t>
            </m:r>
          </m:sub>
        </m:sSub>
        <m:r>
          <w:rPr>
            <w:rFonts w:ascii="Cambria Math"/>
            <w:szCs w:val="26"/>
          </w:rPr>
          <m:t>​</m:t>
        </m:r>
        <m:r>
          <w:rPr>
            <w:rFonts w:ascii="Cambria Math"/>
            <w:szCs w:val="26"/>
          </w:rPr>
          <m:t>R</m:t>
        </m:r>
      </m:oMath>
      <w:r w:rsidR="00D302A5" w:rsidRPr="000876BF">
        <w:rPr>
          <w:szCs w:val="26"/>
        </w:rPr>
        <w:t xml:space="preserve"> </w:t>
      </w:r>
      <w:r w:rsidRPr="000876BF">
        <w:rPr>
          <w:szCs w:val="26"/>
        </w:rPr>
        <w:t xml:space="preserve">                     (5)</w:t>
      </w:r>
    </w:p>
    <w:p w14:paraId="3D69765E" w14:textId="40E8DC4E" w:rsidR="00D302A5" w:rsidRPr="000876BF" w:rsidRDefault="00D302A5" w:rsidP="007B1A57">
      <w:pPr>
        <w:spacing w:after="0" w:line="276" w:lineRule="auto"/>
        <w:ind w:firstLine="720"/>
        <w:rPr>
          <w:szCs w:val="26"/>
        </w:rPr>
      </w:pPr>
      <w:r w:rsidRPr="000876BF">
        <w:rPr>
          <w:szCs w:val="26"/>
        </w:rPr>
        <w:t>To aid interpretation and stabilize across scenes, the aggregated FRI can be re-normalized to [0,1]</w:t>
      </w:r>
      <w:r w:rsidR="008C2200" w:rsidRPr="000876BF">
        <w:rPr>
          <w:szCs w:val="26"/>
        </w:rPr>
        <w:t xml:space="preserve"> (</w:t>
      </w:r>
      <w:r w:rsidR="008C2200" w:rsidRPr="000876BF">
        <w:rPr>
          <w:color w:val="0070C0"/>
          <w:szCs w:val="26"/>
        </w:rPr>
        <w:t>Ghosh &amp; Kar, 2018</w:t>
      </w:r>
      <w:r w:rsidR="008C2200" w:rsidRPr="000876BF">
        <w:rPr>
          <w:szCs w:val="26"/>
        </w:rPr>
        <w:t>)</w:t>
      </w:r>
      <w:r w:rsidRPr="000876BF">
        <w:rPr>
          <w:szCs w:val="26"/>
        </w:rPr>
        <w:t>:</w:t>
      </w:r>
    </w:p>
    <w:p w14:paraId="11EEC9B8" w14:textId="2730DDCD" w:rsidR="00D302A5" w:rsidRPr="000876BF" w:rsidRDefault="008C2200" w:rsidP="007B1A57">
      <w:pPr>
        <w:spacing w:after="0" w:line="276" w:lineRule="auto"/>
        <w:jc w:val="right"/>
        <w:rPr>
          <w:szCs w:val="26"/>
          <w:lang w:val="sv-SE"/>
        </w:rPr>
      </w:pPr>
      <m:oMath>
        <m:r>
          <m:rPr>
            <m:nor/>
          </m:rPr>
          <w:rPr>
            <w:rFonts w:ascii="Cambria Math"/>
            <w:szCs w:val="26"/>
            <w:lang w:val="sv-SE"/>
          </w:rPr>
          <m:t>FR</m:t>
        </m:r>
        <m:sSup>
          <m:sSupPr>
            <m:ctrlPr>
              <w:rPr>
                <w:rFonts w:ascii="Cambria Math" w:hAnsi="Cambria Math"/>
                <w:szCs w:val="26"/>
              </w:rPr>
            </m:ctrlPr>
          </m:sSupPr>
          <m:e>
            <m:r>
              <m:rPr>
                <m:nor/>
              </m:rPr>
              <w:rPr>
                <w:rFonts w:ascii="Cambria Math"/>
                <w:szCs w:val="26"/>
                <w:lang w:val="sv-SE"/>
              </w:rPr>
              <m:t>I</m:t>
            </m:r>
          </m:e>
          <m:sup>
            <m:r>
              <w:rPr>
                <w:rFonts w:ascii="Cambria Math"/>
                <w:szCs w:val="26"/>
                <w:lang w:val="sv-SE"/>
              </w:rPr>
              <m:t>'</m:t>
            </m:r>
            <m:ctrlPr>
              <w:rPr>
                <w:rFonts w:ascii="Cambria Math" w:hAnsi="Cambria Math"/>
                <w:i/>
                <w:szCs w:val="26"/>
              </w:rPr>
            </m:ctrlPr>
          </m:sup>
        </m:sSup>
        <m:r>
          <w:rPr>
            <w:rFonts w:ascii="Cambria Math"/>
            <w:szCs w:val="26"/>
            <w:lang w:val="sv-SE"/>
          </w:rPr>
          <m:t> </m:t>
        </m:r>
        <m:r>
          <w:rPr>
            <w:rFonts w:ascii="Cambria Math"/>
            <w:szCs w:val="26"/>
            <w:lang w:val="sv-SE"/>
          </w:rPr>
          <m:t>=</m:t>
        </m:r>
        <m:r>
          <w:rPr>
            <w:rFonts w:ascii="Cambria Math"/>
            <w:szCs w:val="26"/>
            <w:lang w:val="sv-SE"/>
          </w:rPr>
          <m:t> </m:t>
        </m:r>
        <m:f>
          <m:fPr>
            <m:ctrlPr>
              <w:rPr>
                <w:rFonts w:ascii="Cambria Math" w:hAnsi="Cambria Math"/>
                <w:szCs w:val="26"/>
              </w:rPr>
            </m:ctrlPr>
          </m:fPr>
          <m:num>
            <m:r>
              <m:rPr>
                <m:nor/>
              </m:rPr>
              <w:rPr>
                <w:rFonts w:ascii="Cambria Math"/>
                <w:szCs w:val="26"/>
                <w:lang w:val="sv-SE"/>
              </w:rPr>
              <m:t>FRI</m:t>
            </m:r>
            <m:r>
              <m:rPr>
                <m:sty m:val="p"/>
              </m:rPr>
              <w:rPr>
                <w:rFonts w:ascii="Cambria Math"/>
                <w:szCs w:val="26"/>
                <w:lang w:val="sv-SE"/>
              </w:rPr>
              <m:t>-</m:t>
            </m:r>
            <m:func>
              <m:funcPr>
                <m:ctrlPr>
                  <w:rPr>
                    <w:rFonts w:ascii="Cambria Math" w:hAnsi="Cambria Math"/>
                    <w:i/>
                    <w:szCs w:val="26"/>
                  </w:rPr>
                </m:ctrlPr>
              </m:funcPr>
              <m:fName>
                <m:r>
                  <w:rPr>
                    <w:rFonts w:ascii="Cambria Math"/>
                    <w:szCs w:val="26"/>
                  </w:rPr>
                  <m:t>min</m:t>
                </m:r>
              </m:fName>
              <m:e>
                <m:r>
                  <w:rPr>
                    <w:rFonts w:ascii="Cambria Math"/>
                    <w:szCs w:val="26"/>
                    <w:lang w:val="sv-SE"/>
                  </w:rPr>
                  <m:t>(</m:t>
                </m:r>
              </m:e>
            </m:func>
            <m:r>
              <m:rPr>
                <m:nor/>
              </m:rPr>
              <w:rPr>
                <w:rFonts w:ascii="Cambria Math"/>
                <w:szCs w:val="26"/>
                <w:lang w:val="sv-SE"/>
              </w:rPr>
              <m:t>FRI</m:t>
            </m:r>
            <m:r>
              <m:rPr>
                <m:sty m:val="p"/>
              </m:rPr>
              <w:rPr>
                <w:rFonts w:ascii="Cambria Math"/>
                <w:szCs w:val="26"/>
                <w:lang w:val="sv-SE"/>
              </w:rPr>
              <m:t>)</m:t>
            </m:r>
          </m:num>
          <m:den>
            <m:func>
              <m:funcPr>
                <m:ctrlPr>
                  <w:rPr>
                    <w:rFonts w:ascii="Cambria Math" w:hAnsi="Cambria Math"/>
                    <w:i/>
                    <w:szCs w:val="26"/>
                  </w:rPr>
                </m:ctrlPr>
              </m:funcPr>
              <m:fName>
                <m:r>
                  <w:rPr>
                    <w:rFonts w:ascii="Cambria Math"/>
                    <w:szCs w:val="26"/>
                  </w:rPr>
                  <m:t>max</m:t>
                </m:r>
              </m:fName>
              <m:e>
                <m:r>
                  <w:rPr>
                    <w:rFonts w:ascii="Cambria Math"/>
                    <w:szCs w:val="26"/>
                    <w:lang w:val="sv-SE"/>
                  </w:rPr>
                  <m:t>(</m:t>
                </m:r>
              </m:e>
            </m:func>
            <m:r>
              <m:rPr>
                <m:nor/>
              </m:rPr>
              <w:rPr>
                <w:rFonts w:ascii="Cambria Math"/>
                <w:szCs w:val="26"/>
                <w:lang w:val="sv-SE"/>
              </w:rPr>
              <m:t>FRI</m:t>
            </m:r>
            <m:r>
              <m:rPr>
                <m:sty m:val="p"/>
              </m:rPr>
              <w:rPr>
                <w:rFonts w:ascii="Cambria Math"/>
                <w:szCs w:val="26"/>
                <w:lang w:val="sv-SE"/>
              </w:rPr>
              <m:t>)</m:t>
            </m:r>
            <m:r>
              <m:rPr>
                <m:sty m:val="p"/>
              </m:rPr>
              <w:rPr>
                <w:rFonts w:ascii="Cambria Math"/>
                <w:szCs w:val="26"/>
                <w:lang w:val="sv-SE"/>
              </w:rPr>
              <m:t>-</m:t>
            </m:r>
            <m:func>
              <m:funcPr>
                <m:ctrlPr>
                  <w:rPr>
                    <w:rFonts w:ascii="Cambria Math" w:hAnsi="Cambria Math"/>
                    <w:i/>
                    <w:szCs w:val="26"/>
                  </w:rPr>
                </m:ctrlPr>
              </m:funcPr>
              <m:fName>
                <m:r>
                  <w:rPr>
                    <w:rFonts w:ascii="Cambria Math"/>
                    <w:szCs w:val="26"/>
                  </w:rPr>
                  <m:t>min</m:t>
                </m:r>
              </m:fName>
              <m:e>
                <m:r>
                  <w:rPr>
                    <w:rFonts w:ascii="Cambria Math"/>
                    <w:szCs w:val="26"/>
                    <w:lang w:val="sv-SE"/>
                  </w:rPr>
                  <m:t>(</m:t>
                </m:r>
              </m:e>
            </m:func>
            <m:r>
              <m:rPr>
                <m:nor/>
              </m:rPr>
              <w:rPr>
                <w:rFonts w:ascii="Cambria Math"/>
                <w:szCs w:val="26"/>
                <w:lang w:val="sv-SE"/>
              </w:rPr>
              <m:t>FRI</m:t>
            </m:r>
            <m:r>
              <m:rPr>
                <m:sty m:val="p"/>
              </m:rPr>
              <w:rPr>
                <w:rFonts w:ascii="Cambria Math"/>
                <w:szCs w:val="26"/>
                <w:lang w:val="sv-SE"/>
              </w:rPr>
              <m:t>)</m:t>
            </m:r>
          </m:den>
        </m:f>
      </m:oMath>
      <w:r w:rsidR="00D302A5" w:rsidRPr="000876BF">
        <w:rPr>
          <w:szCs w:val="26"/>
          <w:lang w:val="sv-SE"/>
        </w:rPr>
        <w:t xml:space="preserve"> </w:t>
      </w:r>
      <w:r w:rsidRPr="000876BF">
        <w:rPr>
          <w:szCs w:val="26"/>
          <w:lang w:val="sv-SE"/>
        </w:rPr>
        <w:t xml:space="preserve">                                                (6)</w:t>
      </w:r>
    </w:p>
    <w:p w14:paraId="5F7EB3E8" w14:textId="51E9F308" w:rsidR="008C2200" w:rsidRPr="000876BF" w:rsidRDefault="00D302A5" w:rsidP="007B1A57">
      <w:pPr>
        <w:spacing w:after="0" w:line="276" w:lineRule="auto"/>
        <w:ind w:firstLine="720"/>
        <w:rPr>
          <w:szCs w:val="26"/>
        </w:rPr>
      </w:pPr>
      <w:r w:rsidRPr="000876BF">
        <w:rPr>
          <w:szCs w:val="26"/>
        </w:rPr>
        <w:t xml:space="preserve">The continuous index is discretized into five susceptibility classes for mapping and reporting. </w:t>
      </w:r>
      <w:proofErr w:type="gramStart"/>
      <w:r w:rsidRPr="000876BF">
        <w:rPr>
          <w:szCs w:val="26"/>
        </w:rPr>
        <w:t>A</w:t>
      </w:r>
      <w:proofErr w:type="gramEnd"/>
      <w:r w:rsidRPr="000876BF">
        <w:rPr>
          <w:szCs w:val="26"/>
        </w:rPr>
        <w:t xml:space="preserve"> equal-interval scheme</w:t>
      </w:r>
      <w:r w:rsidR="008C2200" w:rsidRPr="000876BF">
        <w:rPr>
          <w:szCs w:val="26"/>
        </w:rPr>
        <w:t xml:space="preserve"> (</w:t>
      </w:r>
      <w:r w:rsidR="008C2200" w:rsidRPr="000876BF">
        <w:rPr>
          <w:color w:val="0070C0"/>
          <w:szCs w:val="26"/>
        </w:rPr>
        <w:t>Thammaboribal et al., 2025</w:t>
      </w:r>
      <w:r w:rsidR="008C2200" w:rsidRPr="000876BF">
        <w:rPr>
          <w:szCs w:val="26"/>
        </w:rPr>
        <w:t>)</w:t>
      </w:r>
      <w:r w:rsidRPr="000876BF">
        <w:rPr>
          <w:szCs w:val="26"/>
        </w:rPr>
        <w:t>:</w:t>
      </w:r>
    </w:p>
    <w:p w14:paraId="45F7BA61" w14:textId="0C7267D7" w:rsidR="008C2200" w:rsidRPr="000876BF" w:rsidRDefault="00C717FD" w:rsidP="007B1A57">
      <w:pPr>
        <w:spacing w:after="0" w:line="240" w:lineRule="auto"/>
        <w:ind w:firstLine="720"/>
        <w:rPr>
          <w:szCs w:val="26"/>
        </w:rPr>
      </w:pPr>
      <w:r w:rsidRPr="000876BF">
        <w:rPr>
          <w:szCs w:val="26"/>
        </w:rPr>
        <w:t xml:space="preserve">- </w:t>
      </w:r>
      <w:r w:rsidR="00D302A5" w:rsidRPr="000876BF">
        <w:rPr>
          <w:szCs w:val="26"/>
        </w:rPr>
        <w:t>Low</w:t>
      </w:r>
      <w:r w:rsidRPr="000876BF">
        <w:rPr>
          <w:szCs w:val="26"/>
        </w:rPr>
        <w:t xml:space="preserve"> Risk</w:t>
      </w:r>
      <w:r w:rsidR="00D302A5" w:rsidRPr="000876BF">
        <w:rPr>
          <w:szCs w:val="26"/>
        </w:rPr>
        <w:t xml:space="preserve">: </w:t>
      </w:r>
      <m:oMath>
        <m:r>
          <m:rPr>
            <m:sty m:val="p"/>
          </m:rPr>
          <w:rPr>
            <w:rFonts w:ascii="Cambria Math"/>
            <w:szCs w:val="26"/>
          </w:rPr>
          <m:t>0.0</m:t>
        </m:r>
        <m:r>
          <m:rPr>
            <m:sty m:val="p"/>
          </m:rPr>
          <w:rPr>
            <w:rFonts w:ascii="Cambria Math"/>
            <w:szCs w:val="26"/>
          </w:rPr>
          <m:t>≤</m:t>
        </m:r>
        <m:r>
          <m:rPr>
            <m:nor/>
          </m:rPr>
          <w:rPr>
            <w:szCs w:val="26"/>
          </w:rPr>
          <m:t>FR</m:t>
        </m:r>
        <m:sSup>
          <m:sSupPr>
            <m:ctrlPr>
              <w:rPr>
                <w:rFonts w:ascii="Cambria Math" w:hAnsi="Cambria Math"/>
                <w:szCs w:val="26"/>
              </w:rPr>
            </m:ctrlPr>
          </m:sSupPr>
          <m:e>
            <m:r>
              <m:rPr>
                <m:nor/>
              </m:rPr>
              <w:rPr>
                <w:szCs w:val="26"/>
              </w:rPr>
              <m:t>I</m:t>
            </m:r>
          </m:e>
          <m:sup>
            <m:r>
              <m:rPr>
                <m:sty m:val="p"/>
              </m:rPr>
              <w:rPr>
                <w:rFonts w:ascii="Cambria Math"/>
                <w:szCs w:val="26"/>
              </w:rPr>
              <m:t>'</m:t>
            </m:r>
          </m:sup>
        </m:sSup>
        <m:r>
          <m:rPr>
            <m:sty m:val="p"/>
          </m:rPr>
          <w:rPr>
            <w:rFonts w:ascii="Cambria Math"/>
            <w:szCs w:val="26"/>
          </w:rPr>
          <m:t>&lt;0.2</m:t>
        </m:r>
      </m:oMath>
    </w:p>
    <w:p w14:paraId="2E0BF8CE" w14:textId="3C6AAA53" w:rsidR="00C717FD" w:rsidRPr="000876BF" w:rsidRDefault="00C717FD" w:rsidP="007B1A57">
      <w:pPr>
        <w:spacing w:after="0" w:line="240" w:lineRule="auto"/>
        <w:ind w:firstLine="720"/>
        <w:rPr>
          <w:szCs w:val="26"/>
          <w:lang w:val="sv-SE"/>
        </w:rPr>
      </w:pPr>
      <w:r w:rsidRPr="000876BF">
        <w:rPr>
          <w:szCs w:val="26"/>
          <w:lang w:val="sv-SE"/>
        </w:rPr>
        <w:t>- Moderate Risk</w:t>
      </w:r>
      <w:r w:rsidR="00D302A5" w:rsidRPr="000876BF">
        <w:rPr>
          <w:szCs w:val="26"/>
          <w:lang w:val="sv-SE"/>
        </w:rPr>
        <w:t xml:space="preserve">: </w:t>
      </w:r>
      <m:oMath>
        <m:r>
          <m:rPr>
            <m:sty m:val="p"/>
          </m:rPr>
          <w:rPr>
            <w:rFonts w:ascii="Cambria Math"/>
            <w:szCs w:val="26"/>
            <w:lang w:val="sv-SE"/>
          </w:rPr>
          <m:t>0.2</m:t>
        </m:r>
        <m:r>
          <m:rPr>
            <m:sty m:val="p"/>
          </m:rPr>
          <w:rPr>
            <w:rFonts w:ascii="Cambria Math"/>
            <w:szCs w:val="26"/>
            <w:lang w:val="sv-SE"/>
          </w:rPr>
          <m:t>≤</m:t>
        </m:r>
        <m:r>
          <m:rPr>
            <m:nor/>
          </m:rPr>
          <w:rPr>
            <w:szCs w:val="26"/>
            <w:lang w:val="sv-SE"/>
          </w:rPr>
          <m:t>FR</m:t>
        </m:r>
        <m:sSup>
          <m:sSupPr>
            <m:ctrlPr>
              <w:rPr>
                <w:rFonts w:ascii="Cambria Math" w:hAnsi="Cambria Math"/>
                <w:szCs w:val="26"/>
              </w:rPr>
            </m:ctrlPr>
          </m:sSupPr>
          <m:e>
            <m:r>
              <m:rPr>
                <m:nor/>
              </m:rPr>
              <w:rPr>
                <w:szCs w:val="26"/>
                <w:lang w:val="sv-SE"/>
              </w:rPr>
              <m:t>I</m:t>
            </m:r>
          </m:e>
          <m:sup>
            <m:r>
              <m:rPr>
                <m:sty m:val="p"/>
              </m:rPr>
              <w:rPr>
                <w:rFonts w:ascii="Cambria Math"/>
                <w:szCs w:val="26"/>
                <w:lang w:val="sv-SE"/>
              </w:rPr>
              <m:t>'</m:t>
            </m:r>
          </m:sup>
        </m:sSup>
        <m:r>
          <m:rPr>
            <m:sty m:val="p"/>
          </m:rPr>
          <w:rPr>
            <w:rFonts w:ascii="Cambria Math"/>
            <w:szCs w:val="26"/>
            <w:lang w:val="sv-SE"/>
          </w:rPr>
          <m:t>&lt;0.4</m:t>
        </m:r>
      </m:oMath>
    </w:p>
    <w:p w14:paraId="6C4C867A" w14:textId="387A0C75" w:rsidR="00C717FD" w:rsidRPr="000876BF" w:rsidRDefault="00C717FD" w:rsidP="007B1A57">
      <w:pPr>
        <w:spacing w:after="0" w:line="240" w:lineRule="auto"/>
        <w:ind w:firstLine="720"/>
        <w:rPr>
          <w:szCs w:val="26"/>
          <w:lang w:val="sv-SE"/>
        </w:rPr>
      </w:pPr>
      <w:r w:rsidRPr="000876BF">
        <w:rPr>
          <w:szCs w:val="26"/>
          <w:lang w:val="sv-SE"/>
        </w:rPr>
        <w:t>- Risky</w:t>
      </w:r>
      <w:r w:rsidR="00D302A5" w:rsidRPr="000876BF">
        <w:rPr>
          <w:szCs w:val="26"/>
          <w:lang w:val="sv-SE"/>
        </w:rPr>
        <w:t xml:space="preserve">: </w:t>
      </w:r>
      <m:oMath>
        <m:r>
          <m:rPr>
            <m:sty m:val="p"/>
          </m:rPr>
          <w:rPr>
            <w:rFonts w:ascii="Cambria Math"/>
            <w:szCs w:val="26"/>
            <w:lang w:val="sv-SE"/>
          </w:rPr>
          <m:t>0.4</m:t>
        </m:r>
        <m:r>
          <m:rPr>
            <m:sty m:val="p"/>
          </m:rPr>
          <w:rPr>
            <w:rFonts w:ascii="Cambria Math"/>
            <w:szCs w:val="26"/>
            <w:lang w:val="sv-SE"/>
          </w:rPr>
          <m:t>≤</m:t>
        </m:r>
        <m:r>
          <m:rPr>
            <m:nor/>
          </m:rPr>
          <w:rPr>
            <w:szCs w:val="26"/>
            <w:lang w:val="sv-SE"/>
          </w:rPr>
          <m:t>FR</m:t>
        </m:r>
        <m:sSup>
          <m:sSupPr>
            <m:ctrlPr>
              <w:rPr>
                <w:rFonts w:ascii="Cambria Math" w:hAnsi="Cambria Math"/>
                <w:szCs w:val="26"/>
              </w:rPr>
            </m:ctrlPr>
          </m:sSupPr>
          <m:e>
            <m:r>
              <m:rPr>
                <m:nor/>
              </m:rPr>
              <w:rPr>
                <w:szCs w:val="26"/>
                <w:lang w:val="sv-SE"/>
              </w:rPr>
              <m:t>I</m:t>
            </m:r>
          </m:e>
          <m:sup>
            <m:r>
              <m:rPr>
                <m:sty m:val="p"/>
              </m:rPr>
              <w:rPr>
                <w:rFonts w:ascii="Cambria Math"/>
                <w:szCs w:val="26"/>
                <w:lang w:val="sv-SE"/>
              </w:rPr>
              <m:t>'</m:t>
            </m:r>
          </m:sup>
        </m:sSup>
        <m:r>
          <m:rPr>
            <m:sty m:val="p"/>
          </m:rPr>
          <w:rPr>
            <w:rFonts w:ascii="Cambria Math"/>
            <w:szCs w:val="26"/>
            <w:lang w:val="sv-SE"/>
          </w:rPr>
          <m:t>&lt;0.6</m:t>
        </m:r>
      </m:oMath>
    </w:p>
    <w:p w14:paraId="5619D2B4" w14:textId="5BC70583" w:rsidR="00C717FD" w:rsidRPr="000876BF" w:rsidRDefault="00C717FD" w:rsidP="007B1A57">
      <w:pPr>
        <w:spacing w:after="0" w:line="240" w:lineRule="auto"/>
        <w:ind w:firstLine="720"/>
        <w:rPr>
          <w:szCs w:val="26"/>
        </w:rPr>
      </w:pPr>
      <w:r w:rsidRPr="000876BF">
        <w:rPr>
          <w:szCs w:val="26"/>
        </w:rPr>
        <w:t xml:space="preserve">- </w:t>
      </w:r>
      <w:r w:rsidR="00D302A5" w:rsidRPr="000876BF">
        <w:rPr>
          <w:szCs w:val="26"/>
        </w:rPr>
        <w:t>High</w:t>
      </w:r>
      <w:r w:rsidRPr="000876BF">
        <w:rPr>
          <w:szCs w:val="26"/>
        </w:rPr>
        <w:t xml:space="preserve"> Risk</w:t>
      </w:r>
      <w:r w:rsidR="00D302A5" w:rsidRPr="000876BF">
        <w:rPr>
          <w:szCs w:val="26"/>
        </w:rPr>
        <w:t xml:space="preserve">: </w:t>
      </w:r>
      <m:oMath>
        <m:r>
          <m:rPr>
            <m:sty m:val="p"/>
          </m:rPr>
          <w:rPr>
            <w:rFonts w:ascii="Cambria Math"/>
            <w:szCs w:val="26"/>
          </w:rPr>
          <m:t>0.6</m:t>
        </m:r>
        <m:r>
          <m:rPr>
            <m:sty m:val="p"/>
          </m:rPr>
          <w:rPr>
            <w:rFonts w:ascii="Cambria Math"/>
            <w:szCs w:val="26"/>
          </w:rPr>
          <m:t>≤</m:t>
        </m:r>
        <m:r>
          <m:rPr>
            <m:nor/>
          </m:rPr>
          <w:rPr>
            <w:szCs w:val="26"/>
          </w:rPr>
          <m:t>FR</m:t>
        </m:r>
        <m:sSup>
          <m:sSupPr>
            <m:ctrlPr>
              <w:rPr>
                <w:rFonts w:ascii="Cambria Math" w:hAnsi="Cambria Math"/>
                <w:szCs w:val="26"/>
              </w:rPr>
            </m:ctrlPr>
          </m:sSupPr>
          <m:e>
            <m:r>
              <m:rPr>
                <m:nor/>
              </m:rPr>
              <w:rPr>
                <w:szCs w:val="26"/>
              </w:rPr>
              <m:t>I</m:t>
            </m:r>
          </m:e>
          <m:sup>
            <m:r>
              <m:rPr>
                <m:sty m:val="p"/>
              </m:rPr>
              <w:rPr>
                <w:rFonts w:ascii="Cambria Math"/>
                <w:szCs w:val="26"/>
              </w:rPr>
              <m:t>'</m:t>
            </m:r>
          </m:sup>
        </m:sSup>
        <m:r>
          <m:rPr>
            <m:sty m:val="p"/>
          </m:rPr>
          <w:rPr>
            <w:rFonts w:ascii="Cambria Math"/>
            <w:szCs w:val="26"/>
          </w:rPr>
          <m:t>&lt;0.8</m:t>
        </m:r>
      </m:oMath>
    </w:p>
    <w:p w14:paraId="2C54ED26" w14:textId="05BD547C" w:rsidR="00D302A5" w:rsidRPr="000876BF" w:rsidRDefault="00C717FD" w:rsidP="007B1A57">
      <w:pPr>
        <w:spacing w:after="0" w:line="240" w:lineRule="auto"/>
        <w:ind w:firstLine="720"/>
        <w:rPr>
          <w:szCs w:val="26"/>
        </w:rPr>
      </w:pPr>
      <w:r w:rsidRPr="000876BF">
        <w:rPr>
          <w:szCs w:val="26"/>
        </w:rPr>
        <w:t xml:space="preserve">- </w:t>
      </w:r>
      <w:r w:rsidR="00D302A5" w:rsidRPr="000876BF">
        <w:rPr>
          <w:szCs w:val="26"/>
        </w:rPr>
        <w:t>Very High</w:t>
      </w:r>
      <w:r w:rsidRPr="000876BF">
        <w:rPr>
          <w:szCs w:val="26"/>
        </w:rPr>
        <w:t xml:space="preserve"> Risk</w:t>
      </w:r>
      <w:r w:rsidR="00D302A5" w:rsidRPr="000876BF">
        <w:rPr>
          <w:szCs w:val="26"/>
        </w:rPr>
        <w:t xml:space="preserve">: </w:t>
      </w:r>
      <m:oMath>
        <m:r>
          <m:rPr>
            <m:sty m:val="p"/>
          </m:rPr>
          <w:rPr>
            <w:rFonts w:ascii="Cambria Math"/>
            <w:szCs w:val="26"/>
          </w:rPr>
          <m:t>0.8</m:t>
        </m:r>
        <m:r>
          <m:rPr>
            <m:sty m:val="p"/>
          </m:rPr>
          <w:rPr>
            <w:rFonts w:ascii="Cambria Math"/>
            <w:szCs w:val="26"/>
          </w:rPr>
          <m:t>≤</m:t>
        </m:r>
        <m:r>
          <m:rPr>
            <m:nor/>
          </m:rPr>
          <w:rPr>
            <w:szCs w:val="26"/>
          </w:rPr>
          <m:t>FR</m:t>
        </m:r>
        <m:sSup>
          <m:sSupPr>
            <m:ctrlPr>
              <w:rPr>
                <w:rFonts w:ascii="Cambria Math" w:hAnsi="Cambria Math"/>
                <w:szCs w:val="26"/>
              </w:rPr>
            </m:ctrlPr>
          </m:sSupPr>
          <m:e>
            <m:r>
              <m:rPr>
                <m:nor/>
              </m:rPr>
              <w:rPr>
                <w:szCs w:val="26"/>
              </w:rPr>
              <m:t>I</m:t>
            </m:r>
          </m:e>
          <m:sup>
            <m:r>
              <m:rPr>
                <m:sty m:val="p"/>
              </m:rPr>
              <w:rPr>
                <w:rFonts w:ascii="Cambria Math"/>
                <w:szCs w:val="26"/>
              </w:rPr>
              <m:t>'</m:t>
            </m:r>
          </m:sup>
        </m:sSup>
        <m:r>
          <m:rPr>
            <m:sty m:val="p"/>
          </m:rPr>
          <w:rPr>
            <w:rFonts w:ascii="Cambria Math"/>
            <w:szCs w:val="26"/>
          </w:rPr>
          <m:t>≤</m:t>
        </m:r>
        <m:r>
          <m:rPr>
            <m:sty m:val="p"/>
          </m:rPr>
          <w:rPr>
            <w:rFonts w:ascii="Cambria Math"/>
            <w:szCs w:val="26"/>
          </w:rPr>
          <m:t>1.0</m:t>
        </m:r>
      </m:oMath>
    </w:p>
    <w:p w14:paraId="511AA58B" w14:textId="3E396433" w:rsidR="00D302A5" w:rsidRPr="000876BF" w:rsidRDefault="00D302A5" w:rsidP="007B1A57">
      <w:pPr>
        <w:spacing w:after="0" w:line="276" w:lineRule="auto"/>
        <w:ind w:firstLine="720"/>
        <w:rPr>
          <w:szCs w:val="26"/>
        </w:rPr>
      </w:pPr>
      <w:r w:rsidRPr="000876BF">
        <w:rPr>
          <w:szCs w:val="26"/>
        </w:rPr>
        <w:t xml:space="preserve">This step yields the AHP-based </w:t>
      </w:r>
      <w:r w:rsidR="00C717FD" w:rsidRPr="000876BF">
        <w:rPr>
          <w:szCs w:val="26"/>
        </w:rPr>
        <w:t>flood risk map</w:t>
      </w:r>
      <w:r w:rsidRPr="000876BF">
        <w:rPr>
          <w:szCs w:val="26"/>
        </w:rPr>
        <w:t>, which serves both as a standalone product and as a basis for sampling/labeling in the subsequent machine-learning workflow.</w:t>
      </w:r>
    </w:p>
    <w:p w14:paraId="4F54C7E6" w14:textId="09B22881" w:rsidR="00D302A5" w:rsidRPr="000876BF" w:rsidRDefault="00C717FD" w:rsidP="002F212A">
      <w:pPr>
        <w:pStyle w:val="111"/>
      </w:pPr>
      <w:r w:rsidRPr="000876BF">
        <w:t>2.3.</w:t>
      </w:r>
      <w:r w:rsidR="00D302A5" w:rsidRPr="000876BF">
        <w:t>6</w:t>
      </w:r>
      <w:r w:rsidRPr="000876BF">
        <w:t>.</w:t>
      </w:r>
      <w:r w:rsidR="00D302A5" w:rsidRPr="000876BF">
        <w:t xml:space="preserve"> Sample </w:t>
      </w:r>
      <w:r w:rsidRPr="000876BF">
        <w:t>collection</w:t>
      </w:r>
    </w:p>
    <w:p w14:paraId="4E5EEE35" w14:textId="329E9721" w:rsidR="00B67D5D" w:rsidRPr="000876BF" w:rsidRDefault="00D302A5" w:rsidP="00B67D5D">
      <w:pPr>
        <w:spacing w:line="276" w:lineRule="auto"/>
        <w:ind w:firstLine="720"/>
        <w:rPr>
          <w:szCs w:val="26"/>
        </w:rPr>
      </w:pPr>
      <w:r w:rsidRPr="000876BF">
        <w:rPr>
          <w:szCs w:val="26"/>
        </w:rPr>
        <w:lastRenderedPageBreak/>
        <w:t xml:space="preserve">Once the AHP-based </w:t>
      </w:r>
      <w:r w:rsidR="00B67D5D" w:rsidRPr="000876BF">
        <w:rPr>
          <w:szCs w:val="26"/>
        </w:rPr>
        <w:t xml:space="preserve">flood risk map </w:t>
      </w:r>
      <w:r w:rsidRPr="000876BF">
        <w:rPr>
          <w:szCs w:val="26"/>
        </w:rPr>
        <w:t>is generated, the next step is to collect representative samples that will serve as training and validation data for machine learning models. In this study, the classified flood risk map derived from AHP was used as a reference layer to extract samples from areas with contrasting risk levels. Specifically, regions identified as very low risk (class 1) and very high risk (class 5) were selected to create two distinct classes. This approach ensures that the machine learning model can learn clear patterns distinguishing safe zones from hazardous zones</w:t>
      </w:r>
      <w:r w:rsidR="00B67D5D" w:rsidRPr="000876BF">
        <w:rPr>
          <w:szCs w:val="26"/>
        </w:rPr>
        <w:t xml:space="preserve"> (</w:t>
      </w:r>
      <w:r w:rsidR="00B67D5D" w:rsidRPr="000876BF">
        <w:rPr>
          <w:color w:val="0070C0"/>
          <w:szCs w:val="26"/>
        </w:rPr>
        <w:t>Wang et al., 2025</w:t>
      </w:r>
      <w:r w:rsidR="00B67D5D" w:rsidRPr="000876BF">
        <w:rPr>
          <w:szCs w:val="26"/>
        </w:rPr>
        <w:t>)</w:t>
      </w:r>
      <w:r w:rsidRPr="000876BF">
        <w:rPr>
          <w:szCs w:val="26"/>
        </w:rPr>
        <w:t>.</w:t>
      </w:r>
    </w:p>
    <w:p w14:paraId="25CFBDBB" w14:textId="61332890" w:rsidR="00B67D5D" w:rsidRPr="000876BF" w:rsidRDefault="00D302A5" w:rsidP="00B67D5D">
      <w:pPr>
        <w:spacing w:line="276" w:lineRule="auto"/>
        <w:ind w:firstLine="720"/>
        <w:rPr>
          <w:szCs w:val="26"/>
        </w:rPr>
      </w:pPr>
      <w:r w:rsidRPr="000876BF">
        <w:rPr>
          <w:szCs w:val="26"/>
        </w:rPr>
        <w:t xml:space="preserve">Sampling was carried out using a stratified random approach, in which a predefined number of points were distributed proportionally across the selected risk classes. </w:t>
      </w:r>
      <w:r w:rsidR="009A722C" w:rsidRPr="000876BF">
        <w:rPr>
          <w:szCs w:val="26"/>
        </w:rPr>
        <w:t>Specifically</w:t>
      </w:r>
      <w:r w:rsidRPr="000876BF">
        <w:rPr>
          <w:szCs w:val="26"/>
        </w:rPr>
        <w:t xml:space="preserve">, </w:t>
      </w:r>
      <w:r w:rsidR="009A722C" w:rsidRPr="000876BF">
        <w:rPr>
          <w:szCs w:val="26"/>
        </w:rPr>
        <w:t>1000</w:t>
      </w:r>
      <w:r w:rsidRPr="000876BF">
        <w:rPr>
          <w:szCs w:val="26"/>
        </w:rPr>
        <w:t xml:space="preserve"> points were drawn from the </w:t>
      </w:r>
      <w:proofErr w:type="gramStart"/>
      <w:r w:rsidRPr="000876BF">
        <w:rPr>
          <w:szCs w:val="26"/>
        </w:rPr>
        <w:t>low</w:t>
      </w:r>
      <w:r w:rsidR="009A722C" w:rsidRPr="000876BF">
        <w:rPr>
          <w:szCs w:val="26"/>
        </w:rPr>
        <w:t xml:space="preserve"> </w:t>
      </w:r>
      <w:r w:rsidRPr="000876BF">
        <w:rPr>
          <w:szCs w:val="26"/>
        </w:rPr>
        <w:t>risk</w:t>
      </w:r>
      <w:proofErr w:type="gramEnd"/>
      <w:r w:rsidRPr="000876BF">
        <w:rPr>
          <w:szCs w:val="26"/>
        </w:rPr>
        <w:t xml:space="preserve"> class and another </w:t>
      </w:r>
      <w:r w:rsidR="009A722C" w:rsidRPr="000876BF">
        <w:rPr>
          <w:szCs w:val="26"/>
        </w:rPr>
        <w:t>1000</w:t>
      </w:r>
      <w:r w:rsidRPr="000876BF">
        <w:rPr>
          <w:szCs w:val="26"/>
        </w:rPr>
        <w:t xml:space="preserve"> points from the </w:t>
      </w:r>
      <w:r w:rsidR="009A722C" w:rsidRPr="000876BF">
        <w:rPr>
          <w:szCs w:val="26"/>
        </w:rPr>
        <w:t xml:space="preserve">very </w:t>
      </w:r>
      <w:r w:rsidRPr="000876BF">
        <w:rPr>
          <w:szCs w:val="26"/>
        </w:rPr>
        <w:t>high</w:t>
      </w:r>
      <w:r w:rsidR="009A722C" w:rsidRPr="000876BF">
        <w:rPr>
          <w:szCs w:val="26"/>
        </w:rPr>
        <w:t xml:space="preserve"> </w:t>
      </w:r>
      <w:r w:rsidRPr="000876BF">
        <w:rPr>
          <w:szCs w:val="26"/>
        </w:rPr>
        <w:t>risk class. Each sampled point inherited the spectral and thematic information from the six normalized indicators (proximity</w:t>
      </w:r>
      <w:r w:rsidR="009A722C" w:rsidRPr="000876BF">
        <w:rPr>
          <w:szCs w:val="26"/>
        </w:rPr>
        <w:t xml:space="preserve"> to stream</w:t>
      </w:r>
      <w:r w:rsidRPr="000876BF">
        <w:rPr>
          <w:szCs w:val="26"/>
        </w:rPr>
        <w:t xml:space="preserve">, slope, land use, elevation, aspect, and precipitation) and was assigned a binary label: “0” for </w:t>
      </w:r>
      <w:proofErr w:type="gramStart"/>
      <w:r w:rsidRPr="000876BF">
        <w:rPr>
          <w:szCs w:val="26"/>
        </w:rPr>
        <w:t>low</w:t>
      </w:r>
      <w:r w:rsidR="009A722C" w:rsidRPr="000876BF">
        <w:rPr>
          <w:szCs w:val="26"/>
        </w:rPr>
        <w:t xml:space="preserve"> </w:t>
      </w:r>
      <w:r w:rsidRPr="000876BF">
        <w:rPr>
          <w:szCs w:val="26"/>
        </w:rPr>
        <w:t>risk</w:t>
      </w:r>
      <w:proofErr w:type="gramEnd"/>
      <w:r w:rsidRPr="000876BF">
        <w:rPr>
          <w:szCs w:val="26"/>
        </w:rPr>
        <w:t xml:space="preserve"> areas and “1” for </w:t>
      </w:r>
      <w:r w:rsidR="009A722C" w:rsidRPr="000876BF">
        <w:rPr>
          <w:szCs w:val="26"/>
        </w:rPr>
        <w:t xml:space="preserve">very </w:t>
      </w:r>
      <w:r w:rsidRPr="000876BF">
        <w:rPr>
          <w:szCs w:val="26"/>
        </w:rPr>
        <w:t>high</w:t>
      </w:r>
      <w:r w:rsidR="009A722C" w:rsidRPr="000876BF">
        <w:rPr>
          <w:szCs w:val="26"/>
        </w:rPr>
        <w:t xml:space="preserve"> </w:t>
      </w:r>
      <w:r w:rsidRPr="000876BF">
        <w:rPr>
          <w:szCs w:val="26"/>
        </w:rPr>
        <w:t>risk areas.</w:t>
      </w:r>
    </w:p>
    <w:p w14:paraId="26D22349" w14:textId="1991E64A" w:rsidR="00D302A5" w:rsidRPr="000876BF" w:rsidRDefault="00D302A5" w:rsidP="00B67D5D">
      <w:pPr>
        <w:spacing w:line="276" w:lineRule="auto"/>
        <w:ind w:firstLine="720"/>
        <w:rPr>
          <w:szCs w:val="26"/>
        </w:rPr>
      </w:pPr>
      <w:r w:rsidRPr="000876BF">
        <w:rPr>
          <w:szCs w:val="26"/>
        </w:rPr>
        <w:t xml:space="preserve">To avoid bias and overfitting, the combined dataset of </w:t>
      </w:r>
      <w:r w:rsidR="009A722C" w:rsidRPr="000876BF">
        <w:rPr>
          <w:szCs w:val="26"/>
        </w:rPr>
        <w:t>2000</w:t>
      </w:r>
      <w:r w:rsidRPr="000876BF">
        <w:rPr>
          <w:szCs w:val="26"/>
        </w:rPr>
        <w:t xml:space="preserve"> samples was then randomly split into two subsets: 70% for training and 30% for </w:t>
      </w:r>
      <w:r w:rsidR="009A722C" w:rsidRPr="000876BF">
        <w:rPr>
          <w:szCs w:val="26"/>
        </w:rPr>
        <w:t>testing</w:t>
      </w:r>
      <w:r w:rsidRPr="000876BF">
        <w:rPr>
          <w:szCs w:val="26"/>
        </w:rPr>
        <w:t>. This division balances the need for sufficient training data with the requirement for independent evaluation</w:t>
      </w:r>
      <w:r w:rsidR="004D5AEB" w:rsidRPr="000876BF">
        <w:rPr>
          <w:szCs w:val="26"/>
        </w:rPr>
        <w:t xml:space="preserve"> (</w:t>
      </w:r>
      <w:r w:rsidR="004D5AEB" w:rsidRPr="000876BF">
        <w:rPr>
          <w:color w:val="0070C0"/>
          <w:szCs w:val="26"/>
        </w:rPr>
        <w:t>Zha et al., 2025</w:t>
      </w:r>
      <w:r w:rsidR="004D5AEB" w:rsidRPr="000876BF">
        <w:rPr>
          <w:szCs w:val="26"/>
        </w:rPr>
        <w:t>)</w:t>
      </w:r>
      <w:r w:rsidRPr="000876BF">
        <w:rPr>
          <w:szCs w:val="26"/>
        </w:rPr>
        <w:t>. By leveraging the AHP-based map as a sampling guide, this step establishes a consistent and scientifically grounded training dataset, ensuring that the subsequent machine learning models are both well-informed and objectively validated.</w:t>
      </w:r>
    </w:p>
    <w:p w14:paraId="50C724AF" w14:textId="6F66F256" w:rsidR="00D302A5" w:rsidRPr="000876BF" w:rsidRDefault="00B67D5D" w:rsidP="002F212A">
      <w:pPr>
        <w:pStyle w:val="111"/>
      </w:pPr>
      <w:r w:rsidRPr="000876BF">
        <w:t>2.3.</w:t>
      </w:r>
      <w:r w:rsidR="00D302A5" w:rsidRPr="000876BF">
        <w:t>7</w:t>
      </w:r>
      <w:r w:rsidRPr="000876BF">
        <w:t xml:space="preserve">. </w:t>
      </w:r>
      <w:r w:rsidR="00D302A5" w:rsidRPr="000876BF">
        <w:t>Feature</w:t>
      </w:r>
      <w:r w:rsidRPr="000876BF">
        <w:t xml:space="preserve"> stack</w:t>
      </w:r>
    </w:p>
    <w:p w14:paraId="3B153B39" w14:textId="4907A79F" w:rsidR="00D302A5" w:rsidRPr="000876BF" w:rsidRDefault="00D302A5" w:rsidP="00E8537A">
      <w:pPr>
        <w:spacing w:line="276" w:lineRule="auto"/>
        <w:ind w:firstLine="720"/>
        <w:rPr>
          <w:szCs w:val="26"/>
        </w:rPr>
      </w:pPr>
      <w:r w:rsidRPr="000876BF">
        <w:rPr>
          <w:szCs w:val="26"/>
        </w:rPr>
        <w:t xml:space="preserve">After collecting and labeling the training and validation samples, the next step is to construct the feature stack, which integrates all selected indicators into a single multi-band dataset. Each band in this stack corresponds to one normalized indicator: proximity to </w:t>
      </w:r>
      <w:r w:rsidR="00C35954" w:rsidRPr="000876BF">
        <w:rPr>
          <w:szCs w:val="26"/>
        </w:rPr>
        <w:t>stream</w:t>
      </w:r>
      <w:r w:rsidRPr="000876BF">
        <w:rPr>
          <w:szCs w:val="26"/>
        </w:rPr>
        <w:t>, slope, land use/land cover, elevation, aspect, and precipitation. By combining these layers, each sample point or pixel is represented by a vector of six values, reflecting the multi-dimensional conditions that influence flood risk.</w:t>
      </w:r>
      <w:r w:rsidR="00C35954" w:rsidRPr="000876BF">
        <w:rPr>
          <w:szCs w:val="26"/>
        </w:rPr>
        <w:t xml:space="preserve"> </w:t>
      </w:r>
      <w:r w:rsidRPr="000876BF">
        <w:rPr>
          <w:szCs w:val="26"/>
        </w:rPr>
        <w:t>In practice, this was achieved by concatenating the normalized raster layers into one composite image using Google Earth Engine. The resulting dataset ensures that every spatial location within the study area has consistent and co-registered values across all indicators. Normalization guarantees that the features are dimensionless and lie within the range [0,1], preventing disparities in scale from biasing the model</w:t>
      </w:r>
      <w:r w:rsidR="00E8537A" w:rsidRPr="000876BF">
        <w:rPr>
          <w:szCs w:val="26"/>
        </w:rPr>
        <w:t xml:space="preserve"> (</w:t>
      </w:r>
      <w:r w:rsidR="00E8537A" w:rsidRPr="000876BF">
        <w:rPr>
          <w:rFonts w:eastAsia="Times New Roman" w:cs="Times New Roman"/>
          <w:color w:val="0070C0"/>
          <w:kern w:val="0"/>
          <w:szCs w:val="26"/>
          <w14:ligatures w14:val="none"/>
        </w:rPr>
        <w:t>Singh &amp; Singh, 2022</w:t>
      </w:r>
      <w:r w:rsidR="00E8537A" w:rsidRPr="000876BF">
        <w:rPr>
          <w:rFonts w:eastAsia="Times New Roman" w:cs="Times New Roman"/>
          <w:kern w:val="0"/>
          <w:szCs w:val="26"/>
          <w14:ligatures w14:val="none"/>
        </w:rPr>
        <w:t>)</w:t>
      </w:r>
      <w:r w:rsidRPr="000876BF">
        <w:rPr>
          <w:szCs w:val="26"/>
        </w:rPr>
        <w:t>.</w:t>
      </w:r>
      <w:r w:rsidR="00E8537A" w:rsidRPr="000876BF">
        <w:rPr>
          <w:szCs w:val="26"/>
        </w:rPr>
        <w:t xml:space="preserve"> </w:t>
      </w:r>
      <w:r w:rsidRPr="000876BF">
        <w:rPr>
          <w:szCs w:val="26"/>
        </w:rPr>
        <w:t>The feature stack is then used to extract values for the sample points obtained in Step 6. Each point thus forms a record in the training dataset, with six predictor variables (the indicators) and one response variable (the flood risk class). This structured dataset is essential for supervised machine learning, as it allows algorithms to learn patterns that link the multi-indicator conditions to observed flood susceptibility</w:t>
      </w:r>
      <w:r w:rsidR="00E8537A" w:rsidRPr="000876BF">
        <w:rPr>
          <w:szCs w:val="26"/>
        </w:rPr>
        <w:t xml:space="preserve"> (</w:t>
      </w:r>
      <w:r w:rsidR="00E8537A" w:rsidRPr="000876BF">
        <w:rPr>
          <w:color w:val="0070C0"/>
          <w:szCs w:val="26"/>
        </w:rPr>
        <w:t>Ireland et al., 2015</w:t>
      </w:r>
      <w:r w:rsidR="00E8537A" w:rsidRPr="000876BF">
        <w:rPr>
          <w:szCs w:val="26"/>
        </w:rPr>
        <w:t>)</w:t>
      </w:r>
      <w:r w:rsidRPr="000876BF">
        <w:rPr>
          <w:szCs w:val="26"/>
        </w:rPr>
        <w:t>.</w:t>
      </w:r>
    </w:p>
    <w:p w14:paraId="0B686A5C" w14:textId="736CBE39" w:rsidR="00D302A5" w:rsidRPr="000876BF" w:rsidRDefault="008A7C52" w:rsidP="002F212A">
      <w:pPr>
        <w:pStyle w:val="111"/>
      </w:pPr>
      <w:r w:rsidRPr="000876BF">
        <w:t>2.3.</w:t>
      </w:r>
      <w:r w:rsidR="00D302A5" w:rsidRPr="000876BF">
        <w:t>8</w:t>
      </w:r>
      <w:r w:rsidRPr="000876BF">
        <w:t>.</w:t>
      </w:r>
      <w:r w:rsidR="00D302A5" w:rsidRPr="000876BF">
        <w:t xml:space="preserve"> Model </w:t>
      </w:r>
      <w:r w:rsidRPr="000876BF">
        <w:t>t</w:t>
      </w:r>
      <w:r w:rsidR="00D302A5" w:rsidRPr="000876BF">
        <w:t>raining</w:t>
      </w:r>
    </w:p>
    <w:p w14:paraId="56B5A5E4" w14:textId="77777777" w:rsidR="009E14DA" w:rsidRPr="000876BF" w:rsidRDefault="009E14DA" w:rsidP="007B1A57">
      <w:pPr>
        <w:spacing w:after="0" w:line="276" w:lineRule="auto"/>
        <w:ind w:firstLine="720"/>
        <w:rPr>
          <w:szCs w:val="26"/>
        </w:rPr>
      </w:pPr>
      <w:r w:rsidRPr="000876BF">
        <w:rPr>
          <w:szCs w:val="26"/>
        </w:rPr>
        <w:lastRenderedPageBreak/>
        <w:t>After preparing the feature set and the labeled training samples, this study applied three supervised machine learning algorithms integrated within the Google Earth Engine (GEE) platform to predict the probability of flood occurrence. These algorithms include Random Forest (RF), Support Vector Machine (SVM), and Artificial Neural Network (ANN).</w:t>
      </w:r>
      <w:r w:rsidRPr="000876BF">
        <w:rPr>
          <w:szCs w:val="26"/>
        </w:rPr>
        <w:br/>
        <w:t>The evaluation results indicated that all three models achieved high to very high classification accuracy, among which the SVM model produced the best performance with an overall accuracy (OA) of 91% and a Kappa coefficient of 0.89, demonstrating its superior capability in distinguishing different flood risk levels.</w:t>
      </w:r>
      <w:r w:rsidRPr="000876BF">
        <w:rPr>
          <w:szCs w:val="26"/>
        </w:rPr>
        <w:t xml:space="preserve"> </w:t>
      </w:r>
      <w:r w:rsidRPr="000876BF">
        <w:rPr>
          <w:szCs w:val="26"/>
        </w:rPr>
        <w:t>These findings are consistent with previous research, which has confirmed that SVM often outperforms other classifiers in flood susceptibility mapping due to its robustness and</w:t>
      </w:r>
      <w:r w:rsidRPr="000876BF">
        <w:rPr>
          <w:b/>
          <w:bCs/>
          <w:szCs w:val="26"/>
        </w:rPr>
        <w:t xml:space="preserve"> </w:t>
      </w:r>
      <w:r w:rsidRPr="000876BF">
        <w:rPr>
          <w:szCs w:val="26"/>
        </w:rPr>
        <w:t>generalization ability (</w:t>
      </w:r>
      <w:r w:rsidRPr="000876BF">
        <w:rPr>
          <w:color w:val="0070C0"/>
          <w:szCs w:val="26"/>
        </w:rPr>
        <w:t>Nguyen et al., 2024; He et al., 2025; Arora et al., 2025</w:t>
      </w:r>
      <w:r w:rsidRPr="000876BF">
        <w:rPr>
          <w:szCs w:val="26"/>
        </w:rPr>
        <w:t>).</w:t>
      </w:r>
    </w:p>
    <w:p w14:paraId="057EB7B1" w14:textId="11A9F73E" w:rsidR="00D302A5" w:rsidRPr="000876BF" w:rsidRDefault="009E14DA" w:rsidP="007B1A57">
      <w:pPr>
        <w:spacing w:after="0" w:line="276" w:lineRule="auto"/>
        <w:ind w:firstLine="720"/>
        <w:rPr>
          <w:szCs w:val="26"/>
        </w:rPr>
      </w:pPr>
      <w:r w:rsidRPr="000876BF">
        <w:rPr>
          <w:szCs w:val="26"/>
        </w:rPr>
        <w:t>In this study, the Radial Basis Function (RBF) kernel was employed to effectively capture nonlinear relationships between predictor variables and flood hazard classes—an approach proven effective for handling complex spatial decision boundaries in environmental modeling (Tehrany et al., 2015; Pham et al., 2020; Hashim et al., 2021; Chen et al., 2022; Mosavi et al., 2023; Das &amp; Chatterjee, 2024)</w:t>
      </w:r>
      <w:r w:rsidR="00D302A5" w:rsidRPr="000876BF">
        <w:rPr>
          <w:szCs w:val="26"/>
        </w:rPr>
        <w:t>. The kernel function is expressed as</w:t>
      </w:r>
      <w:r w:rsidR="002403B0" w:rsidRPr="000876BF">
        <w:rPr>
          <w:szCs w:val="26"/>
        </w:rPr>
        <w:t xml:space="preserve"> (</w:t>
      </w:r>
      <w:r w:rsidR="002403B0" w:rsidRPr="000876BF">
        <w:rPr>
          <w:color w:val="0070C0"/>
          <w:szCs w:val="26"/>
        </w:rPr>
        <w:t xml:space="preserve">Tehrany et al., 2015; </w:t>
      </w:r>
      <w:r w:rsidR="002403B0" w:rsidRPr="000876BF">
        <w:rPr>
          <w:rFonts w:eastAsia="Times New Roman" w:cs="Times New Roman"/>
          <w:color w:val="0070C0"/>
          <w:kern w:val="0"/>
          <w:szCs w:val="26"/>
          <w14:ligatures w14:val="none"/>
        </w:rPr>
        <w:t>Pham et al., 2020</w:t>
      </w:r>
      <w:r w:rsidR="002403B0" w:rsidRPr="000876BF">
        <w:rPr>
          <w:rFonts w:eastAsia="Times New Roman" w:cs="Times New Roman"/>
          <w:kern w:val="0"/>
          <w:szCs w:val="26"/>
          <w14:ligatures w14:val="none"/>
        </w:rPr>
        <w:t>)</w:t>
      </w:r>
      <w:r w:rsidR="00D302A5" w:rsidRPr="000876BF">
        <w:rPr>
          <w:szCs w:val="26"/>
        </w:rPr>
        <w:t>:</w:t>
      </w:r>
    </w:p>
    <w:p w14:paraId="0437B251" w14:textId="0A66177F" w:rsidR="00C35954" w:rsidRPr="000876BF" w:rsidRDefault="00C35954" w:rsidP="007B1A57">
      <w:pPr>
        <w:spacing w:after="0" w:line="276" w:lineRule="auto"/>
        <w:jc w:val="right"/>
        <w:rPr>
          <w:szCs w:val="26"/>
        </w:rPr>
      </w:pPr>
      <m:oMath>
        <m:r>
          <w:rPr>
            <w:rFonts w:ascii="Cambria Math"/>
            <w:szCs w:val="26"/>
          </w:rPr>
          <m:t>K(</m:t>
        </m:r>
        <m:sSub>
          <m:sSubPr>
            <m:ctrlPr>
              <w:rPr>
                <w:rFonts w:ascii="Cambria Math" w:hAnsi="Cambria Math"/>
                <w:i/>
                <w:szCs w:val="26"/>
              </w:rPr>
            </m:ctrlPr>
          </m:sSubPr>
          <m:e>
            <m:r>
              <w:rPr>
                <w:rFonts w:ascii="Cambria Math"/>
                <w:szCs w:val="26"/>
              </w:rPr>
              <m:t>x</m:t>
            </m:r>
          </m:e>
          <m:sub>
            <m:r>
              <w:rPr>
                <w:rFonts w:ascii="Cambria Math"/>
                <w:szCs w:val="26"/>
              </w:rPr>
              <m:t>i</m:t>
            </m:r>
          </m:sub>
        </m:sSub>
        <m:r>
          <w:rPr>
            <w:rFonts w:ascii="Cambria Math"/>
            <w:szCs w:val="26"/>
          </w:rPr>
          <m:t>,</m:t>
        </m:r>
        <m:sSub>
          <m:sSubPr>
            <m:ctrlPr>
              <w:rPr>
                <w:rFonts w:ascii="Cambria Math" w:hAnsi="Cambria Math"/>
                <w:i/>
                <w:szCs w:val="26"/>
              </w:rPr>
            </m:ctrlPr>
          </m:sSubPr>
          <m:e>
            <m:r>
              <w:rPr>
                <w:rFonts w:ascii="Cambria Math"/>
                <w:szCs w:val="26"/>
              </w:rPr>
              <m:t>x</m:t>
            </m:r>
          </m:e>
          <m:sub>
            <m:r>
              <w:rPr>
                <w:rFonts w:ascii="Cambria Math"/>
                <w:szCs w:val="26"/>
              </w:rPr>
              <m:t>j</m:t>
            </m:r>
          </m:sub>
        </m:sSub>
        <m:r>
          <w:rPr>
            <w:rFonts w:ascii="Cambria Math"/>
            <w:szCs w:val="26"/>
          </w:rPr>
          <m:t>)=</m:t>
        </m:r>
        <m:func>
          <m:funcPr>
            <m:ctrlPr>
              <w:rPr>
                <w:rFonts w:ascii="Cambria Math" w:hAnsi="Cambria Math"/>
                <w:i/>
                <w:szCs w:val="26"/>
              </w:rPr>
            </m:ctrlPr>
          </m:funcPr>
          <m:fName>
            <m:r>
              <w:rPr>
                <w:rFonts w:ascii="Cambria Math"/>
                <w:szCs w:val="26"/>
              </w:rPr>
              <m:t>exp</m:t>
            </m:r>
          </m:fName>
          <m:e>
            <m:d>
              <m:dPr>
                <m:ctrlPr>
                  <w:rPr>
                    <w:rFonts w:ascii="Cambria Math" w:hAnsi="Cambria Math"/>
                    <w:i/>
                    <w:szCs w:val="26"/>
                  </w:rPr>
                </m:ctrlPr>
              </m:dPr>
              <m:e>
                <m:r>
                  <w:rPr>
                    <w:rFonts w:ascii="Cambria Math"/>
                    <w:szCs w:val="26"/>
                  </w:rPr>
                  <m:t>-</m:t>
                </m:r>
                <m:r>
                  <w:rPr>
                    <w:rFonts w:ascii="Cambria Math"/>
                    <w:szCs w:val="26"/>
                  </w:rPr>
                  <m:t>γ</m:t>
                </m:r>
                <m:r>
                  <w:rPr>
                    <w:rFonts w:ascii="Cambria Math"/>
                    <w:szCs w:val="26"/>
                  </w:rPr>
                  <m:t>​‖</m:t>
                </m:r>
                <m:sSub>
                  <m:sSubPr>
                    <m:ctrlPr>
                      <w:rPr>
                        <w:rFonts w:ascii="Cambria Math" w:hAnsi="Cambria Math"/>
                        <w:i/>
                        <w:szCs w:val="26"/>
                      </w:rPr>
                    </m:ctrlPr>
                  </m:sSubPr>
                  <m:e>
                    <m:r>
                      <w:rPr>
                        <w:rFonts w:ascii="Cambria Math"/>
                        <w:szCs w:val="26"/>
                      </w:rPr>
                      <m:t>x</m:t>
                    </m:r>
                  </m:e>
                  <m:sub>
                    <m:r>
                      <w:rPr>
                        <w:rFonts w:ascii="Cambria Math"/>
                        <w:szCs w:val="26"/>
                      </w:rPr>
                      <m:t>i</m:t>
                    </m:r>
                  </m:sub>
                </m:sSub>
                <m:r>
                  <w:rPr>
                    <w:rFonts w:ascii="Cambria Math"/>
                    <w:szCs w:val="26"/>
                  </w:rPr>
                  <m:t>-</m:t>
                </m:r>
                <m:sSub>
                  <m:sSubPr>
                    <m:ctrlPr>
                      <w:rPr>
                        <w:rFonts w:ascii="Cambria Math" w:hAnsi="Cambria Math"/>
                        <w:i/>
                        <w:szCs w:val="26"/>
                      </w:rPr>
                    </m:ctrlPr>
                  </m:sSubPr>
                  <m:e>
                    <m:r>
                      <w:rPr>
                        <w:rFonts w:ascii="Cambria Math"/>
                        <w:szCs w:val="26"/>
                      </w:rPr>
                      <m:t>x</m:t>
                    </m:r>
                  </m:e>
                  <m:sub>
                    <m:r>
                      <w:rPr>
                        <w:rFonts w:ascii="Cambria Math"/>
                        <w:szCs w:val="26"/>
                      </w:rPr>
                      <m:t>j</m:t>
                    </m:r>
                  </m:sub>
                </m:sSub>
                <m:sSup>
                  <m:sSupPr>
                    <m:ctrlPr>
                      <w:rPr>
                        <w:rFonts w:ascii="Cambria Math" w:hAnsi="Cambria Math"/>
                        <w:i/>
                        <w:szCs w:val="26"/>
                      </w:rPr>
                    </m:ctrlPr>
                  </m:sSupPr>
                  <m:e>
                    <m:r>
                      <w:rPr>
                        <w:rFonts w:ascii="Cambria Math"/>
                        <w:szCs w:val="26"/>
                      </w:rPr>
                      <m:t>‖</m:t>
                    </m:r>
                  </m:e>
                  <m:sup>
                    <m:r>
                      <w:rPr>
                        <w:rFonts w:ascii="Cambria Math"/>
                        <w:szCs w:val="26"/>
                      </w:rPr>
                      <m:t>2</m:t>
                    </m:r>
                  </m:sup>
                </m:sSup>
              </m:e>
            </m:d>
          </m:e>
        </m:func>
      </m:oMath>
      <w:r w:rsidR="00DD6DD3" w:rsidRPr="000876BF">
        <w:rPr>
          <w:rFonts w:eastAsiaTheme="minorEastAsia"/>
          <w:szCs w:val="26"/>
        </w:rPr>
        <w:t xml:space="preserve">                                             (7)</w:t>
      </w:r>
    </w:p>
    <w:p w14:paraId="05E70048" w14:textId="2F8F15FF" w:rsidR="00D302A5" w:rsidRPr="000876BF" w:rsidRDefault="009E14DA" w:rsidP="007B1A57">
      <w:pPr>
        <w:spacing w:after="0" w:line="276" w:lineRule="auto"/>
        <w:ind w:firstLine="720"/>
        <w:rPr>
          <w:szCs w:val="26"/>
        </w:rPr>
      </w:pPr>
      <w:r w:rsidRPr="000876BF">
        <w:rPr>
          <w:szCs w:val="26"/>
        </w:rPr>
        <w:t>W</w:t>
      </w:r>
      <w:r w:rsidR="00D302A5" w:rsidRPr="000876BF">
        <w:rPr>
          <w:szCs w:val="26"/>
        </w:rPr>
        <w:t xml:space="preserve">here </w:t>
      </w:r>
      <m:oMath>
        <m:sSub>
          <m:sSubPr>
            <m:ctrlPr>
              <w:rPr>
                <w:rFonts w:ascii="Cambria Math" w:hAnsi="Cambria Math"/>
                <w:i/>
                <w:szCs w:val="26"/>
              </w:rPr>
            </m:ctrlPr>
          </m:sSubPr>
          <m:e>
            <m:r>
              <w:rPr>
                <w:rFonts w:ascii="Cambria Math"/>
                <w:szCs w:val="26"/>
              </w:rPr>
              <m:t>x</m:t>
            </m:r>
          </m:e>
          <m:sub>
            <m:r>
              <w:rPr>
                <w:rFonts w:ascii="Cambria Math"/>
                <w:szCs w:val="26"/>
              </w:rPr>
              <m:t>i</m:t>
            </m:r>
          </m:sub>
        </m:sSub>
      </m:oMath>
      <w:r w:rsidR="00D302A5" w:rsidRPr="000876BF">
        <w:rPr>
          <w:szCs w:val="26"/>
        </w:rPr>
        <w:t xml:space="preserve">​ and </w:t>
      </w:r>
      <m:oMath>
        <m:sSub>
          <m:sSubPr>
            <m:ctrlPr>
              <w:rPr>
                <w:rFonts w:ascii="Cambria Math" w:hAnsi="Cambria Math"/>
                <w:i/>
                <w:szCs w:val="26"/>
              </w:rPr>
            </m:ctrlPr>
          </m:sSubPr>
          <m:e>
            <m:r>
              <w:rPr>
                <w:rFonts w:ascii="Cambria Math"/>
                <w:szCs w:val="26"/>
              </w:rPr>
              <m:t>x</m:t>
            </m:r>
          </m:e>
          <m:sub>
            <m:r>
              <w:rPr>
                <w:rFonts w:ascii="Cambria Math"/>
                <w:szCs w:val="26"/>
              </w:rPr>
              <m:t>j</m:t>
            </m:r>
          </m:sub>
        </m:sSub>
      </m:oMath>
      <w:r w:rsidR="00D302A5" w:rsidRPr="000876BF">
        <w:rPr>
          <w:szCs w:val="26"/>
        </w:rPr>
        <w:t>​ are feature vectors, and γ is the kernel parameter controlling the influence of a single training sample. The cost parameter C balances the trade-off between maximizing the margin and minimizing classification error. In this study,</w:t>
      </w:r>
      <w:r w:rsidR="005B36F7" w:rsidRPr="000876BF">
        <w:rPr>
          <w:szCs w:val="26"/>
        </w:rPr>
        <w:t xml:space="preserve"> </w:t>
      </w:r>
      <w:r w:rsidR="00D302A5" w:rsidRPr="000876BF">
        <w:rPr>
          <w:szCs w:val="26"/>
        </w:rPr>
        <w:t>γ</w:t>
      </w:r>
      <w:r w:rsidR="005834F8" w:rsidRPr="000876BF">
        <w:rPr>
          <w:szCs w:val="26"/>
        </w:rPr>
        <w:t xml:space="preserve"> </w:t>
      </w:r>
      <w:r w:rsidR="00D302A5" w:rsidRPr="000876BF">
        <w:rPr>
          <w:szCs w:val="26"/>
        </w:rPr>
        <w:t>=</w:t>
      </w:r>
      <w:r w:rsidR="005834F8" w:rsidRPr="000876BF">
        <w:rPr>
          <w:szCs w:val="26"/>
        </w:rPr>
        <w:t xml:space="preserve"> </w:t>
      </w:r>
      <w:r w:rsidR="00D302A5" w:rsidRPr="000876BF">
        <w:rPr>
          <w:szCs w:val="26"/>
        </w:rPr>
        <w:t>0.1 and C</w:t>
      </w:r>
      <w:r w:rsidR="005834F8" w:rsidRPr="000876BF">
        <w:rPr>
          <w:szCs w:val="26"/>
        </w:rPr>
        <w:t xml:space="preserve"> </w:t>
      </w:r>
      <w:r w:rsidR="00D302A5" w:rsidRPr="000876BF">
        <w:rPr>
          <w:szCs w:val="26"/>
        </w:rPr>
        <w:t>=</w:t>
      </w:r>
      <w:r w:rsidR="005834F8" w:rsidRPr="000876BF">
        <w:rPr>
          <w:szCs w:val="26"/>
        </w:rPr>
        <w:t xml:space="preserve"> </w:t>
      </w:r>
      <w:r w:rsidR="00D302A5" w:rsidRPr="000876BF">
        <w:rPr>
          <w:szCs w:val="26"/>
        </w:rPr>
        <w:t>100 were selected after preliminary testing. The model outputs class probabilities, which provide a continuous measure of flood risk.</w:t>
      </w:r>
      <w:r w:rsidR="005834F8" w:rsidRPr="000876BF">
        <w:rPr>
          <w:szCs w:val="26"/>
        </w:rPr>
        <w:t xml:space="preserve"> </w:t>
      </w:r>
      <w:r w:rsidR="00D302A5" w:rsidRPr="000876BF">
        <w:rPr>
          <w:szCs w:val="26"/>
        </w:rPr>
        <w:t xml:space="preserve">The training dataset (70% of samples) was used to fit the models, while the remaining 30% served as an independent </w:t>
      </w:r>
      <w:r w:rsidR="005834F8" w:rsidRPr="000876BF">
        <w:rPr>
          <w:szCs w:val="26"/>
        </w:rPr>
        <w:t>test</w:t>
      </w:r>
      <w:r w:rsidR="00D302A5" w:rsidRPr="000876BF">
        <w:rPr>
          <w:szCs w:val="26"/>
        </w:rPr>
        <w:t xml:space="preserve"> set. Both classifiers were set to output probability surfaces, which were later converted into susceptibility classes. This step enables the machine learning models to generalize from the labeled samples and generate spatially continuous flood risk maps across the study area</w:t>
      </w:r>
      <w:r w:rsidR="005834F8" w:rsidRPr="000876BF">
        <w:rPr>
          <w:szCs w:val="26"/>
        </w:rPr>
        <w:t xml:space="preserve"> (</w:t>
      </w:r>
      <w:r w:rsidR="005834F8" w:rsidRPr="000876BF">
        <w:rPr>
          <w:color w:val="0070C0"/>
          <w:szCs w:val="26"/>
        </w:rPr>
        <w:t>Antzoulatos et al., 2022</w:t>
      </w:r>
      <w:r w:rsidR="005834F8" w:rsidRPr="000876BF">
        <w:rPr>
          <w:szCs w:val="26"/>
        </w:rPr>
        <w:t>)</w:t>
      </w:r>
      <w:r w:rsidR="00D302A5" w:rsidRPr="000876BF">
        <w:rPr>
          <w:szCs w:val="26"/>
        </w:rPr>
        <w:t>.</w:t>
      </w:r>
    </w:p>
    <w:p w14:paraId="33871FAF" w14:textId="60A3AA19" w:rsidR="00D302A5" w:rsidRPr="000876BF" w:rsidRDefault="005834F8" w:rsidP="002F212A">
      <w:pPr>
        <w:pStyle w:val="111"/>
      </w:pPr>
      <w:r w:rsidRPr="000876BF">
        <w:t>2.3.</w:t>
      </w:r>
      <w:r w:rsidR="00D302A5" w:rsidRPr="000876BF">
        <w:t>9</w:t>
      </w:r>
      <w:r w:rsidRPr="000876BF">
        <w:t>.</w:t>
      </w:r>
      <w:r w:rsidR="00D302A5" w:rsidRPr="000876BF">
        <w:t xml:space="preserve"> Classification </w:t>
      </w:r>
      <w:r w:rsidRPr="000876BF">
        <w:t>o</w:t>
      </w:r>
      <w:r w:rsidR="00D302A5" w:rsidRPr="000876BF">
        <w:t>utput</w:t>
      </w:r>
    </w:p>
    <w:p w14:paraId="45EEE8E2" w14:textId="77777777" w:rsidR="00F407D9" w:rsidRPr="000876BF" w:rsidRDefault="00D302A5" w:rsidP="00F407D9">
      <w:pPr>
        <w:spacing w:line="276" w:lineRule="auto"/>
        <w:ind w:firstLine="720"/>
        <w:rPr>
          <w:szCs w:val="26"/>
        </w:rPr>
      </w:pPr>
      <w:r w:rsidRPr="000876BF">
        <w:rPr>
          <w:szCs w:val="26"/>
        </w:rPr>
        <w:t xml:space="preserve">After training the machine learning models, the next step is to generate spatially continuous flood susceptibility maps by applying the trained classifiers to the entire feature stack. In the SVM model, the RBF kernel outputs a probability value between 0 and 1, representing the likelihood of flood risk at each location. </w:t>
      </w:r>
    </w:p>
    <w:p w14:paraId="1D62CEF3" w14:textId="08BC96B9" w:rsidR="00D302A5" w:rsidRPr="000876BF" w:rsidRDefault="00D302A5" w:rsidP="00F407D9">
      <w:pPr>
        <w:spacing w:line="276" w:lineRule="auto"/>
        <w:ind w:firstLine="720"/>
        <w:rPr>
          <w:szCs w:val="26"/>
        </w:rPr>
      </w:pPr>
      <w:r w:rsidRPr="000876BF">
        <w:rPr>
          <w:szCs w:val="26"/>
        </w:rPr>
        <w:t>To make the results more interpretable, these continuous probability surfaces are transformed into discrete susceptibility classes. A five-level classification scheme was adopted, with thresholds defined as follows</w:t>
      </w:r>
      <w:r w:rsidR="00F407D9" w:rsidRPr="000876BF">
        <w:rPr>
          <w:szCs w:val="26"/>
        </w:rPr>
        <w:t xml:space="preserve"> (</w:t>
      </w:r>
      <w:r w:rsidR="00F407D9" w:rsidRPr="000876BF">
        <w:rPr>
          <w:color w:val="0070C0"/>
          <w:szCs w:val="26"/>
        </w:rPr>
        <w:t>Thammaboribal et al., 2025</w:t>
      </w:r>
      <w:r w:rsidR="00F407D9" w:rsidRPr="000876BF">
        <w:rPr>
          <w:szCs w:val="26"/>
        </w:rPr>
        <w:t>)</w:t>
      </w:r>
      <w:r w:rsidRPr="000876BF">
        <w:rPr>
          <w:szCs w:val="26"/>
        </w:rPr>
        <w:t>:</w:t>
      </w:r>
    </w:p>
    <w:p w14:paraId="0D7CAFF8" w14:textId="0C3D674E" w:rsidR="005834F8" w:rsidRPr="000876BF" w:rsidRDefault="005834F8" w:rsidP="007B1A57">
      <w:pPr>
        <w:spacing w:after="0" w:line="276" w:lineRule="auto"/>
        <w:ind w:firstLine="720"/>
        <w:rPr>
          <w:szCs w:val="26"/>
        </w:rPr>
      </w:pPr>
      <w:r w:rsidRPr="000876BF">
        <w:rPr>
          <w:szCs w:val="26"/>
        </w:rPr>
        <w:t xml:space="preserve">- Low Risk: </w:t>
      </w:r>
      <m:oMath>
        <m:r>
          <m:rPr>
            <m:sty m:val="p"/>
          </m:rPr>
          <w:rPr>
            <w:rFonts w:ascii="Cambria Math"/>
            <w:szCs w:val="26"/>
          </w:rPr>
          <m:t>0.0</m:t>
        </m:r>
        <m:r>
          <m:rPr>
            <m:sty m:val="p"/>
          </m:rPr>
          <w:rPr>
            <w:rFonts w:ascii="Cambria Math"/>
            <w:szCs w:val="26"/>
          </w:rPr>
          <m:t>≤</m:t>
        </m:r>
        <m:r>
          <m:rPr>
            <m:nor/>
          </m:rPr>
          <w:rPr>
            <w:szCs w:val="26"/>
          </w:rPr>
          <m:t>P</m:t>
        </m:r>
        <m:r>
          <m:rPr>
            <m:sty m:val="p"/>
          </m:rPr>
          <w:rPr>
            <w:rFonts w:ascii="Cambria Math"/>
            <w:szCs w:val="26"/>
          </w:rPr>
          <m:t>&lt;0.2</m:t>
        </m:r>
      </m:oMath>
    </w:p>
    <w:p w14:paraId="03776602" w14:textId="47462203" w:rsidR="005834F8" w:rsidRPr="000876BF" w:rsidRDefault="005834F8" w:rsidP="007B1A57">
      <w:pPr>
        <w:spacing w:after="0" w:line="276" w:lineRule="auto"/>
        <w:ind w:firstLine="720"/>
        <w:rPr>
          <w:szCs w:val="26"/>
        </w:rPr>
      </w:pPr>
      <w:r w:rsidRPr="000876BF">
        <w:rPr>
          <w:szCs w:val="26"/>
        </w:rPr>
        <w:t xml:space="preserve">- Moderate Risk: </w:t>
      </w:r>
      <m:oMath>
        <m:r>
          <m:rPr>
            <m:sty m:val="p"/>
          </m:rPr>
          <w:rPr>
            <w:rFonts w:ascii="Cambria Math"/>
            <w:szCs w:val="26"/>
          </w:rPr>
          <m:t>0.2</m:t>
        </m:r>
        <m:r>
          <m:rPr>
            <m:sty m:val="p"/>
          </m:rPr>
          <w:rPr>
            <w:rFonts w:ascii="Cambria Math"/>
            <w:szCs w:val="26"/>
          </w:rPr>
          <m:t>≤</m:t>
        </m:r>
        <m:r>
          <m:rPr>
            <m:nor/>
          </m:rPr>
          <w:rPr>
            <w:szCs w:val="26"/>
          </w:rPr>
          <m:t>P</m:t>
        </m:r>
        <m:r>
          <m:rPr>
            <m:sty m:val="p"/>
          </m:rPr>
          <w:rPr>
            <w:rFonts w:ascii="Cambria Math"/>
            <w:szCs w:val="26"/>
          </w:rPr>
          <m:t>&lt;0.4</m:t>
        </m:r>
      </m:oMath>
    </w:p>
    <w:p w14:paraId="169114F3" w14:textId="61C1CC42" w:rsidR="005834F8" w:rsidRPr="000876BF" w:rsidRDefault="005834F8" w:rsidP="007B1A57">
      <w:pPr>
        <w:spacing w:after="0" w:line="276" w:lineRule="auto"/>
        <w:ind w:firstLine="720"/>
        <w:rPr>
          <w:szCs w:val="26"/>
        </w:rPr>
      </w:pPr>
      <w:r w:rsidRPr="000876BF">
        <w:rPr>
          <w:szCs w:val="26"/>
        </w:rPr>
        <w:t xml:space="preserve">- Risky: </w:t>
      </w:r>
      <m:oMath>
        <m:r>
          <m:rPr>
            <m:sty m:val="p"/>
          </m:rPr>
          <w:rPr>
            <w:rFonts w:ascii="Cambria Math"/>
            <w:szCs w:val="26"/>
          </w:rPr>
          <m:t>0.4</m:t>
        </m:r>
        <m:r>
          <m:rPr>
            <m:sty m:val="p"/>
          </m:rPr>
          <w:rPr>
            <w:rFonts w:ascii="Cambria Math"/>
            <w:szCs w:val="26"/>
          </w:rPr>
          <m:t>≤</m:t>
        </m:r>
        <m:r>
          <m:rPr>
            <m:nor/>
          </m:rPr>
          <w:rPr>
            <w:szCs w:val="26"/>
          </w:rPr>
          <m:t>P</m:t>
        </m:r>
        <m:r>
          <m:rPr>
            <m:sty m:val="p"/>
          </m:rPr>
          <w:rPr>
            <w:rFonts w:ascii="Cambria Math"/>
            <w:szCs w:val="26"/>
          </w:rPr>
          <m:t>&lt;0.6</m:t>
        </m:r>
      </m:oMath>
    </w:p>
    <w:p w14:paraId="56DD66EC" w14:textId="78A0498C" w:rsidR="005834F8" w:rsidRPr="000876BF" w:rsidRDefault="005834F8" w:rsidP="007B1A57">
      <w:pPr>
        <w:spacing w:after="0" w:line="276" w:lineRule="auto"/>
        <w:ind w:firstLine="720"/>
        <w:rPr>
          <w:szCs w:val="26"/>
        </w:rPr>
      </w:pPr>
      <w:r w:rsidRPr="000876BF">
        <w:rPr>
          <w:szCs w:val="26"/>
        </w:rPr>
        <w:lastRenderedPageBreak/>
        <w:t xml:space="preserve">- High Risk: </w:t>
      </w:r>
      <m:oMath>
        <m:r>
          <m:rPr>
            <m:sty m:val="p"/>
          </m:rPr>
          <w:rPr>
            <w:rFonts w:ascii="Cambria Math"/>
            <w:szCs w:val="26"/>
          </w:rPr>
          <m:t>0.6</m:t>
        </m:r>
        <m:r>
          <m:rPr>
            <m:sty m:val="p"/>
          </m:rPr>
          <w:rPr>
            <w:rFonts w:ascii="Cambria Math"/>
            <w:szCs w:val="26"/>
          </w:rPr>
          <m:t>≤</m:t>
        </m:r>
        <m:r>
          <m:rPr>
            <m:nor/>
          </m:rPr>
          <w:rPr>
            <w:szCs w:val="26"/>
          </w:rPr>
          <m:t>P</m:t>
        </m:r>
        <m:r>
          <m:rPr>
            <m:sty m:val="p"/>
          </m:rPr>
          <w:rPr>
            <w:rFonts w:ascii="Cambria Math"/>
            <w:szCs w:val="26"/>
          </w:rPr>
          <m:t>&lt;0.8</m:t>
        </m:r>
      </m:oMath>
    </w:p>
    <w:p w14:paraId="2E46043A" w14:textId="77777777" w:rsidR="00F407D9" w:rsidRPr="000876BF" w:rsidRDefault="005834F8" w:rsidP="007B1A57">
      <w:pPr>
        <w:spacing w:after="0" w:line="276" w:lineRule="auto"/>
        <w:ind w:firstLine="720"/>
        <w:rPr>
          <w:szCs w:val="26"/>
        </w:rPr>
      </w:pPr>
      <w:r w:rsidRPr="000876BF">
        <w:rPr>
          <w:szCs w:val="26"/>
        </w:rPr>
        <w:t xml:space="preserve">- Very High Risk: </w:t>
      </w:r>
      <m:oMath>
        <m:r>
          <m:rPr>
            <m:sty m:val="p"/>
          </m:rPr>
          <w:rPr>
            <w:rFonts w:ascii="Cambria Math"/>
            <w:szCs w:val="26"/>
          </w:rPr>
          <m:t>0.8</m:t>
        </m:r>
        <m:r>
          <m:rPr>
            <m:sty m:val="p"/>
          </m:rPr>
          <w:rPr>
            <w:rFonts w:ascii="Cambria Math"/>
            <w:szCs w:val="26"/>
          </w:rPr>
          <m:t>≤</m:t>
        </m:r>
        <m:r>
          <m:rPr>
            <m:nor/>
          </m:rPr>
          <w:rPr>
            <w:szCs w:val="26"/>
          </w:rPr>
          <m:t>P</m:t>
        </m:r>
        <m:r>
          <m:rPr>
            <m:sty m:val="p"/>
          </m:rPr>
          <w:rPr>
            <w:rFonts w:ascii="Cambria Math"/>
            <w:szCs w:val="26"/>
          </w:rPr>
          <m:t>≤</m:t>
        </m:r>
        <m:r>
          <m:rPr>
            <m:sty m:val="p"/>
          </m:rPr>
          <w:rPr>
            <w:rFonts w:ascii="Cambria Math"/>
            <w:szCs w:val="26"/>
          </w:rPr>
          <m:t>1.0</m:t>
        </m:r>
      </m:oMath>
    </w:p>
    <w:p w14:paraId="733B259B" w14:textId="32047186" w:rsidR="00D302A5" w:rsidRPr="000876BF" w:rsidRDefault="00D302A5" w:rsidP="00F407D9">
      <w:pPr>
        <w:spacing w:line="276" w:lineRule="auto"/>
        <w:ind w:firstLine="720"/>
        <w:rPr>
          <w:szCs w:val="26"/>
        </w:rPr>
      </w:pPr>
      <w:r w:rsidRPr="000876BF">
        <w:rPr>
          <w:szCs w:val="26"/>
        </w:rPr>
        <w:t>where P is the model-derived probability of flood risk. This classification approach ensures consistency with the AHP-based flood risk map</w:t>
      </w:r>
      <w:r w:rsidR="00F407D9" w:rsidRPr="000876BF">
        <w:rPr>
          <w:szCs w:val="26"/>
        </w:rPr>
        <w:t xml:space="preserve">. </w:t>
      </w:r>
      <w:r w:rsidRPr="000876BF">
        <w:rPr>
          <w:szCs w:val="26"/>
        </w:rPr>
        <w:t>The classified output is visualized using a color palette ranging from green (low risk) to red (very high risk), which highlights spatial patterns of vulnerability across the study area. The raster maps are also exported in a standard coordinate system (EPSG:4326) for further analysis, reporting, and integration into Geographic Information Systems (GIS). By converting probabilistic outputs into susceptibility categories, this step bridges the gap between statistical modeling and practical decision-making, providing stakeholders with actionable spatial information on flood hazards.</w:t>
      </w:r>
    </w:p>
    <w:p w14:paraId="0B6A45C2" w14:textId="738BB672" w:rsidR="00D302A5" w:rsidRPr="000876BF" w:rsidRDefault="005834F8" w:rsidP="002F212A">
      <w:pPr>
        <w:pStyle w:val="111"/>
      </w:pPr>
      <w:r w:rsidRPr="000876BF">
        <w:t>2.3.</w:t>
      </w:r>
      <w:r w:rsidR="00D302A5" w:rsidRPr="000876BF">
        <w:t>1</w:t>
      </w:r>
      <w:r w:rsidR="00F407D9" w:rsidRPr="000876BF">
        <w:t>0</w:t>
      </w:r>
      <w:r w:rsidRPr="000876BF">
        <w:t>.</w:t>
      </w:r>
      <w:r w:rsidR="00D302A5" w:rsidRPr="000876BF">
        <w:t xml:space="preserve"> Comparison </w:t>
      </w:r>
      <w:r w:rsidRPr="000876BF">
        <w:t>and validation</w:t>
      </w:r>
    </w:p>
    <w:p w14:paraId="19EDCCC4" w14:textId="77777777" w:rsidR="003F7005" w:rsidRPr="003F7005" w:rsidRDefault="003F7005" w:rsidP="003F7005">
      <w:pPr>
        <w:spacing w:line="276" w:lineRule="auto"/>
        <w:ind w:firstLine="720"/>
        <w:rPr>
          <w:szCs w:val="26"/>
        </w:rPr>
      </w:pPr>
      <w:r w:rsidRPr="003F7005">
        <w:rPr>
          <w:szCs w:val="26"/>
        </w:rPr>
        <w:t>The final step of the methodology involved comparing and validating the results obtained from the AHP-based approach combined with the machine learning model. This step ensured that the generated flood risk maps were both reliable and scientifically sound. Validation was performed using an independent test dataset (30 % of the total samples) excluded from the training process. For each validation point, the predicted class values were extracted from the machine-learning-based flood risk map and compared with their actual labels to compute standard accuracy metrics. The key performance indicators included overall accuracy (OA) and the Kappa coefficient derived from the confusion matrix (</w:t>
      </w:r>
      <w:r w:rsidRPr="003F7005">
        <w:rPr>
          <w:color w:val="0070C0"/>
          <w:szCs w:val="26"/>
        </w:rPr>
        <w:t>Congalton, 1991; Foody, 2002</w:t>
      </w:r>
      <w:r w:rsidRPr="003F7005">
        <w:rPr>
          <w:szCs w:val="26"/>
        </w:rPr>
        <w:t>).</w:t>
      </w:r>
    </w:p>
    <w:p w14:paraId="52D52DB4" w14:textId="77777777" w:rsidR="003F7005" w:rsidRPr="003F7005" w:rsidRDefault="003F7005" w:rsidP="003F7005">
      <w:pPr>
        <w:spacing w:line="276" w:lineRule="auto"/>
        <w:ind w:firstLine="720"/>
        <w:rPr>
          <w:rFonts w:eastAsia="Times New Roman" w:cs="Times New Roman"/>
          <w:kern w:val="0"/>
          <w:szCs w:val="26"/>
          <w14:ligatures w14:val="none"/>
        </w:rPr>
      </w:pPr>
      <w:r w:rsidRPr="003F7005">
        <w:rPr>
          <w:szCs w:val="26"/>
        </w:rPr>
        <w:t>In addition to statistical validation, spatial comparisons were conducted by overlaying the flood risk maps with the province’s current land-use and planning maps to identify and analyze key vulnerable areas. Recent studies have emphasized the importance of rigorous quantitative validation—using OA and Kappa—together with spatial assessment to ensure the practical applicability of flood susceptibility mapping based on hybrid GIS–machine learning frameworks (</w:t>
      </w:r>
      <w:r w:rsidRPr="003F7005">
        <w:rPr>
          <w:color w:val="0070C0"/>
          <w:szCs w:val="26"/>
        </w:rPr>
        <w:t>Antzoulatos et al., 2022; Seydi et al., 2023; Mhangara et al., 2025; Arora et al.,</w:t>
      </w:r>
      <w:r w:rsidRPr="003F7005">
        <w:rPr>
          <w:rFonts w:eastAsia="Times New Roman" w:cs="Times New Roman"/>
          <w:color w:val="0070C0"/>
          <w:kern w:val="0"/>
          <w:szCs w:val="26"/>
          <w14:ligatures w14:val="none"/>
        </w:rPr>
        <w:t xml:space="preserve"> 2025</w:t>
      </w:r>
      <w:r w:rsidRPr="003F7005">
        <w:rPr>
          <w:rFonts w:eastAsia="Times New Roman" w:cs="Times New Roman"/>
          <w:kern w:val="0"/>
          <w:szCs w:val="26"/>
          <w14:ligatures w14:val="none"/>
        </w:rPr>
        <w:t>).</w:t>
      </w:r>
    </w:p>
    <w:p w14:paraId="341E0777" w14:textId="24C7C892" w:rsidR="00C926EB" w:rsidRPr="000876BF" w:rsidRDefault="00C926EB" w:rsidP="00B07007">
      <w:pPr>
        <w:pStyle w:val="1"/>
        <w:rPr>
          <w:sz w:val="26"/>
          <w:szCs w:val="26"/>
        </w:rPr>
      </w:pPr>
      <w:r w:rsidRPr="000876BF">
        <w:rPr>
          <w:sz w:val="26"/>
          <w:szCs w:val="26"/>
        </w:rPr>
        <w:t>3. RESULTS AND DISCUSSION</w:t>
      </w:r>
    </w:p>
    <w:p w14:paraId="1F664775" w14:textId="272B4047" w:rsidR="00632014" w:rsidRPr="0023052A" w:rsidRDefault="00632014" w:rsidP="002F212A">
      <w:pPr>
        <w:pStyle w:val="11"/>
      </w:pPr>
      <w:r w:rsidRPr="0023052A">
        <w:t xml:space="preserve">3.1. </w:t>
      </w:r>
      <w:r w:rsidR="001F02EE" w:rsidRPr="0023052A">
        <w:t>Land use and topographic characteristics of Ha Tinh Province</w:t>
      </w:r>
    </w:p>
    <w:p w14:paraId="43AB780E" w14:textId="4AC25B2B" w:rsidR="00956075" w:rsidRPr="00956075" w:rsidRDefault="00956075" w:rsidP="00956075">
      <w:pPr>
        <w:spacing w:line="276" w:lineRule="auto"/>
        <w:ind w:firstLine="720"/>
        <w:rPr>
          <w:szCs w:val="26"/>
        </w:rPr>
      </w:pPr>
      <w:r w:rsidRPr="00956075">
        <w:rPr>
          <w:rFonts w:eastAsia="Times New Roman" w:cs="Times New Roman"/>
          <w:kern w:val="0"/>
          <w:szCs w:val="26"/>
          <w14:ligatures w14:val="none"/>
        </w:rPr>
        <w:t xml:space="preserve">The land </w:t>
      </w:r>
      <w:r w:rsidRPr="00956075">
        <w:rPr>
          <w:szCs w:val="26"/>
        </w:rPr>
        <w:t>use and topographic structure of Ha Tinh Province illustrate the interaction between natural geomorphology and land-use transformation (Figure 3). Agricultural land remains dominant, accounting for about 41% of the provincial area, followed by forest and shrubland (36%), while built-up and industrial zones cover around 13% (</w:t>
      </w:r>
      <w:r w:rsidRPr="00956075">
        <w:rPr>
          <w:color w:val="0070C0"/>
          <w:szCs w:val="26"/>
        </w:rPr>
        <w:t>MONRE, 2024</w:t>
      </w:r>
      <w:r w:rsidRPr="00956075">
        <w:rPr>
          <w:szCs w:val="26"/>
        </w:rPr>
        <w:t>). This composition reveals a transition from upland forest ecosystems to intensively cultivated and urbanized coastal plains.</w:t>
      </w:r>
      <w:r w:rsidRPr="000876BF">
        <w:rPr>
          <w:szCs w:val="26"/>
        </w:rPr>
        <w:t xml:space="preserve"> </w:t>
      </w:r>
      <w:r w:rsidRPr="00956075">
        <w:rPr>
          <w:szCs w:val="26"/>
        </w:rPr>
        <w:t>The province’s terrain forms a distinct west–east gradient, with three main zones:</w:t>
      </w:r>
      <w:r w:rsidRPr="000876BF">
        <w:rPr>
          <w:szCs w:val="26"/>
        </w:rPr>
        <w:t xml:space="preserve"> </w:t>
      </w:r>
      <w:r w:rsidRPr="00956075">
        <w:rPr>
          <w:szCs w:val="26"/>
        </w:rPr>
        <w:t xml:space="preserve">The mountainous zone (e.g., Son Kim 1, Son Kim 2, Vu Quang, Huong Binh, Huong Khe, Huong Xuan, Mai Hoa) lies above 800 m a.s.l., dominated by steep slopes and dense forests that maintain slope </w:t>
      </w:r>
      <w:r w:rsidRPr="00956075">
        <w:rPr>
          <w:szCs w:val="26"/>
        </w:rPr>
        <w:lastRenderedPageBreak/>
        <w:t>stability and regulate watershed hydrology (</w:t>
      </w:r>
      <w:r w:rsidRPr="00956075">
        <w:rPr>
          <w:color w:val="0070C0"/>
          <w:szCs w:val="26"/>
        </w:rPr>
        <w:t>Nguyen &amp; Pham, 2022; Tran et al., 2021</w:t>
      </w:r>
      <w:r w:rsidRPr="00956075">
        <w:rPr>
          <w:szCs w:val="26"/>
        </w:rPr>
        <w:t>)</w:t>
      </w:r>
      <w:r w:rsidRPr="000876BF">
        <w:rPr>
          <w:szCs w:val="26"/>
        </w:rPr>
        <w:t xml:space="preserve">; </w:t>
      </w:r>
      <w:r w:rsidRPr="00956075">
        <w:rPr>
          <w:szCs w:val="26"/>
        </w:rPr>
        <w:t>The midland transition zone (e.g., Toan Luu, Viet Xuyen, Tung Loc, Gia Hanh, Truong Luu) includes undulating hills and mixed agricultural–forest land, serving as a buffer between uplands and floodplains</w:t>
      </w:r>
      <w:r w:rsidRPr="000876BF">
        <w:rPr>
          <w:szCs w:val="26"/>
        </w:rPr>
        <w:t>;</w:t>
      </w:r>
      <w:r w:rsidRPr="00956075">
        <w:rPr>
          <w:szCs w:val="26"/>
        </w:rPr>
        <w:t>The coastal plain zone (e.g., Thach Khe, Thach Lac, Dong Tien, Cam Binh, Cam Xuyen, Ky Anh, Ky Xuan) is a low-lying region shaped by alluvial deposition and intensive human modification.</w:t>
      </w:r>
    </w:p>
    <w:p w14:paraId="2429823C" w14:textId="77777777" w:rsidR="00956075" w:rsidRPr="00956075" w:rsidRDefault="00956075" w:rsidP="00956075">
      <w:pPr>
        <w:spacing w:line="276" w:lineRule="auto"/>
        <w:ind w:firstLine="720"/>
        <w:rPr>
          <w:szCs w:val="26"/>
        </w:rPr>
      </w:pPr>
      <w:r w:rsidRPr="00956075">
        <w:rPr>
          <w:szCs w:val="26"/>
        </w:rPr>
        <w:t>Hydrologically, this geomorphic sequence determines the pattern of runoff concentration and flood retention across the province. The combination of flat topography, dense infrastructure, and land conversion in the coastal communes amplifies flood susceptibility (</w:t>
      </w:r>
      <w:r w:rsidRPr="00956075">
        <w:rPr>
          <w:color w:val="0070C0"/>
          <w:szCs w:val="26"/>
        </w:rPr>
        <w:t>Vo et al., 2022; Antzoulatos et al., 2022</w:t>
      </w:r>
      <w:r w:rsidRPr="00956075">
        <w:rPr>
          <w:szCs w:val="26"/>
        </w:rPr>
        <w:t>). Conversely, the upland and midland areas retain higher infiltration capacity due to extensive vegetation and forest cover, mitigating downstream flood peaks.</w:t>
      </w:r>
    </w:p>
    <w:p w14:paraId="677606C5" w14:textId="161AC570" w:rsidR="00956075" w:rsidRPr="00956075" w:rsidRDefault="00956075" w:rsidP="00956075">
      <w:pPr>
        <w:spacing w:line="276" w:lineRule="auto"/>
        <w:ind w:firstLine="720"/>
        <w:rPr>
          <w:szCs w:val="26"/>
        </w:rPr>
      </w:pPr>
      <w:r w:rsidRPr="000876BF">
        <w:rPr>
          <w:szCs w:val="26"/>
        </w:rPr>
        <w:t>The land use/land cover (LULC) structure comprises eight surface categories—tree cover, shrubland, grassland, cropland, built-up area, bare vegetation, water bodies, herbaceous wetland, and mangroves (Figure 3). Tree cover and shrubland, concentrated in the western uplands and midland zones, contribute to slope stability and effective water regulation. In contrast, cropland and built-up areas, which dominate the coastal plains, limit infiltration and enhance surface runoff accumulation. Wetlands and mangroves distributed along estuarine and tidal zones act as natural buffers that moderate flood peaks and tidal surges. The spatial distribution of these classes illustrates the strong correlation between topographic gradients, land cover characteristics, and flood susceptibility patterns across Ha Tinh Province</w:t>
      </w:r>
      <w:r w:rsidRPr="000876BF">
        <w:rPr>
          <w:szCs w:val="26"/>
        </w:rPr>
        <w:t>.</w:t>
      </w:r>
    </w:p>
    <w:p w14:paraId="1DB8DF5A" w14:textId="103E444E" w:rsidR="00C926EB" w:rsidRPr="000876BF" w:rsidRDefault="00547C4D" w:rsidP="007B1A57">
      <w:pPr>
        <w:pStyle w:val="Figure"/>
        <w:spacing w:after="0" w:line="240" w:lineRule="auto"/>
        <w:rPr>
          <w:sz w:val="26"/>
          <w:szCs w:val="26"/>
        </w:rPr>
      </w:pPr>
      <w:r w:rsidRPr="000876BF">
        <w:rPr>
          <w:sz w:val="26"/>
          <w:szCs w:val="26"/>
        </w:rPr>
        <w:drawing>
          <wp:inline distT="0" distB="0" distL="0" distR="0" wp14:anchorId="6D93549D" wp14:editId="53A206F7">
            <wp:extent cx="4235953" cy="2880000"/>
            <wp:effectExtent l="0" t="0" r="0" b="0"/>
            <wp:docPr id="1205655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35953" cy="2880000"/>
                    </a:xfrm>
                    <a:prstGeom prst="rect">
                      <a:avLst/>
                    </a:prstGeom>
                    <a:noFill/>
                    <a:ln>
                      <a:noFill/>
                    </a:ln>
                  </pic:spPr>
                </pic:pic>
              </a:graphicData>
            </a:graphic>
          </wp:inline>
        </w:drawing>
      </w:r>
    </w:p>
    <w:p w14:paraId="71CF8C43" w14:textId="09F4F2CA" w:rsidR="00382AD1" w:rsidRPr="000876BF" w:rsidRDefault="00382AD1" w:rsidP="007B1A57">
      <w:pPr>
        <w:pStyle w:val="Figure"/>
        <w:spacing w:after="0" w:line="240" w:lineRule="auto"/>
        <w:rPr>
          <w:sz w:val="26"/>
          <w:szCs w:val="26"/>
        </w:rPr>
      </w:pPr>
      <w:bookmarkStart w:id="0" w:name="_Hlk206686919"/>
      <w:r w:rsidRPr="000876BF">
        <w:rPr>
          <w:sz w:val="26"/>
          <w:szCs w:val="26"/>
        </w:rPr>
        <w:t xml:space="preserve">Figure </w:t>
      </w:r>
      <w:r w:rsidRPr="000876BF">
        <w:rPr>
          <w:sz w:val="26"/>
          <w:szCs w:val="26"/>
        </w:rPr>
        <w:fldChar w:fldCharType="begin"/>
      </w:r>
      <w:r w:rsidRPr="000876BF">
        <w:rPr>
          <w:sz w:val="26"/>
          <w:szCs w:val="26"/>
        </w:rPr>
        <w:instrText xml:space="preserve"> SEQ Figure \* ARABIC </w:instrText>
      </w:r>
      <w:r w:rsidRPr="000876BF">
        <w:rPr>
          <w:sz w:val="26"/>
          <w:szCs w:val="26"/>
        </w:rPr>
        <w:fldChar w:fldCharType="separate"/>
      </w:r>
      <w:r w:rsidR="001D4056">
        <w:rPr>
          <w:noProof/>
          <w:sz w:val="26"/>
          <w:szCs w:val="26"/>
        </w:rPr>
        <w:t>3</w:t>
      </w:r>
      <w:r w:rsidRPr="000876BF">
        <w:rPr>
          <w:sz w:val="26"/>
          <w:szCs w:val="26"/>
        </w:rPr>
        <w:fldChar w:fldCharType="end"/>
      </w:r>
      <w:r w:rsidRPr="000876BF">
        <w:rPr>
          <w:sz w:val="26"/>
          <w:szCs w:val="26"/>
        </w:rPr>
        <w:t xml:space="preserve">: Land use/cover map of </w:t>
      </w:r>
      <w:r w:rsidR="001F02EE" w:rsidRPr="000876BF">
        <w:rPr>
          <w:sz w:val="26"/>
          <w:szCs w:val="26"/>
        </w:rPr>
        <w:t>Ha Tinh Province</w:t>
      </w:r>
    </w:p>
    <w:p w14:paraId="0598B3C5" w14:textId="737F83BF" w:rsidR="001F02EE" w:rsidRPr="000876BF" w:rsidRDefault="001F02EE" w:rsidP="00B07007">
      <w:pPr>
        <w:pStyle w:val="11"/>
        <w:rPr>
          <w:sz w:val="26"/>
          <w:szCs w:val="26"/>
        </w:rPr>
      </w:pPr>
      <w:r w:rsidRPr="000876BF">
        <w:rPr>
          <w:sz w:val="26"/>
          <w:szCs w:val="26"/>
        </w:rPr>
        <w:t xml:space="preserve">3.2. Spatial indicators </w:t>
      </w:r>
      <w:r w:rsidR="00E14334" w:rsidRPr="000876BF">
        <w:rPr>
          <w:sz w:val="26"/>
          <w:szCs w:val="26"/>
        </w:rPr>
        <w:t>and flood susceptibility analysis</w:t>
      </w:r>
    </w:p>
    <w:p w14:paraId="5D7C208D" w14:textId="77777777" w:rsidR="00E14334" w:rsidRPr="000876BF" w:rsidRDefault="00E14334" w:rsidP="00E14334">
      <w:pPr>
        <w:spacing w:line="276" w:lineRule="auto"/>
        <w:ind w:firstLine="720"/>
        <w:rPr>
          <w:szCs w:val="26"/>
        </w:rPr>
      </w:pPr>
      <w:r w:rsidRPr="000876BF">
        <w:rPr>
          <w:szCs w:val="26"/>
        </w:rPr>
        <w:t xml:space="preserve">Along with the LULC dataset, five spatial indicators—distance to rivers, slope, elevation, aspect, and precipitation (Figures 4–8)—were standardized to a common scale to evaluate their influence on flood susceptibility across Ha Tinh Province. The </w:t>
      </w:r>
      <w:r w:rsidRPr="000876BF">
        <w:rPr>
          <w:szCs w:val="26"/>
        </w:rPr>
        <w:lastRenderedPageBreak/>
        <w:t>spatial analysis revealed distinct differences in flood exposure among the province’s geomorphological zones.</w:t>
      </w:r>
    </w:p>
    <w:p w14:paraId="6D22F672" w14:textId="20B39AEC" w:rsidR="00E14334" w:rsidRPr="000876BF" w:rsidRDefault="00E14334" w:rsidP="00E14334">
      <w:pPr>
        <w:spacing w:line="276" w:lineRule="auto"/>
        <w:ind w:firstLine="720"/>
        <w:rPr>
          <w:szCs w:val="26"/>
        </w:rPr>
      </w:pPr>
      <w:r w:rsidRPr="000876BF">
        <w:rPr>
          <w:szCs w:val="26"/>
        </w:rPr>
        <w:t>Coastal and low-lying plains, including communes such as Thach Lac, Dong Tien, Thach Khe, Cam Binh, Ky Anh, and Ky Xuan, exhibit the highest flood exposure levels. These areas are characterized by flat terrain (slope &lt; 5°), low elevation (&lt; 25 m a.s.l.), and proximity to major rivers, estuaries, or the coastline (&lt; 1 km). Such conditions restrict natural drainage capacity while increasing the risk of storm surge and widespread inundation during the monsoon season.</w:t>
      </w:r>
    </w:p>
    <w:p w14:paraId="745E5BDE" w14:textId="0E9BC612" w:rsidR="00E14334" w:rsidRPr="000876BF" w:rsidRDefault="00E14334" w:rsidP="00E14334">
      <w:pPr>
        <w:spacing w:line="276" w:lineRule="auto"/>
        <w:ind w:firstLine="720"/>
        <w:rPr>
          <w:szCs w:val="26"/>
        </w:rPr>
      </w:pPr>
      <w:r w:rsidRPr="000876BF">
        <w:rPr>
          <w:szCs w:val="26"/>
        </w:rPr>
        <w:t>The midland and transitional zones show moderately lower flood susceptibility due to higher elevation and steeper slopes. However, localized flooding can still occur in downstream catchments where runoff converges from upland areas, particularly during peak rainfall months.</w:t>
      </w:r>
    </w:p>
    <w:p w14:paraId="469A9575" w14:textId="24EC6C67" w:rsidR="00E14334" w:rsidRPr="000876BF" w:rsidRDefault="00E14334" w:rsidP="00E14334">
      <w:pPr>
        <w:spacing w:line="276" w:lineRule="auto"/>
        <w:ind w:firstLine="720"/>
        <w:rPr>
          <w:szCs w:val="26"/>
        </w:rPr>
      </w:pPr>
      <w:r w:rsidRPr="000876BF">
        <w:rPr>
          <w:szCs w:val="26"/>
        </w:rPr>
        <w:t>The western mountainous communes, including Huong Khe, Huong Pho, and Huong Xuan, display low flood susceptibility. Steep slopes facilitate rapid water discharge, while high forest cover enhances infiltration and reduces surface runoff. Nevertheless, these areas remain vulnerable to flash floods and landslides under prolonged heavy rainfall conditions.</w:t>
      </w:r>
    </w:p>
    <w:p w14:paraId="7DEE3BD5" w14:textId="32DBAF76" w:rsidR="00E14334" w:rsidRPr="000876BF" w:rsidRDefault="00E14334" w:rsidP="00E14334">
      <w:pPr>
        <w:spacing w:line="276" w:lineRule="auto"/>
        <w:ind w:firstLine="720"/>
        <w:rPr>
          <w:szCs w:val="26"/>
        </w:rPr>
      </w:pPr>
      <w:r w:rsidRPr="000876BF">
        <w:rPr>
          <w:szCs w:val="26"/>
        </w:rPr>
        <w:t>Additionally, annual precipitation exceeding 2,000 mm in the western highlands intensifies surface runoff from upland to lowland regions, exerting hydrological pressure on downstream floodplains. This explains why flood events are typically more severe and prolonged in coastal and deltaic areas compared with the uplands.</w:t>
      </w:r>
    </w:p>
    <w:bookmarkEnd w:id="0"/>
    <w:p w14:paraId="2001C001" w14:textId="750001F5" w:rsidR="00382AD1" w:rsidRPr="000876BF" w:rsidRDefault="00547C4D" w:rsidP="007B1A57">
      <w:pPr>
        <w:pStyle w:val="Figure"/>
        <w:spacing w:after="0" w:line="240" w:lineRule="auto"/>
        <w:rPr>
          <w:sz w:val="26"/>
          <w:szCs w:val="26"/>
        </w:rPr>
      </w:pPr>
      <w:r w:rsidRPr="000876BF">
        <w:rPr>
          <w:sz w:val="26"/>
          <w:szCs w:val="26"/>
        </w:rPr>
        <w:drawing>
          <wp:inline distT="0" distB="0" distL="0" distR="0" wp14:anchorId="59830DCB" wp14:editId="24CF9BEE">
            <wp:extent cx="4235953" cy="2880000"/>
            <wp:effectExtent l="0" t="0" r="0" b="0"/>
            <wp:docPr id="1117582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35953" cy="2880000"/>
                    </a:xfrm>
                    <a:prstGeom prst="rect">
                      <a:avLst/>
                    </a:prstGeom>
                    <a:noFill/>
                    <a:ln>
                      <a:noFill/>
                    </a:ln>
                  </pic:spPr>
                </pic:pic>
              </a:graphicData>
            </a:graphic>
          </wp:inline>
        </w:drawing>
      </w:r>
    </w:p>
    <w:p w14:paraId="09CC3F32" w14:textId="340CF3DA" w:rsidR="00382AD1" w:rsidRPr="000876BF" w:rsidRDefault="00382AD1" w:rsidP="007B1A57">
      <w:pPr>
        <w:pStyle w:val="Figure"/>
        <w:spacing w:after="0" w:line="240" w:lineRule="auto"/>
        <w:rPr>
          <w:sz w:val="26"/>
          <w:szCs w:val="26"/>
        </w:rPr>
      </w:pPr>
      <w:r w:rsidRPr="000876BF">
        <w:rPr>
          <w:sz w:val="26"/>
          <w:szCs w:val="26"/>
        </w:rPr>
        <w:t xml:space="preserve">Figure </w:t>
      </w:r>
      <w:r w:rsidRPr="000876BF">
        <w:rPr>
          <w:sz w:val="26"/>
          <w:szCs w:val="26"/>
        </w:rPr>
        <w:fldChar w:fldCharType="begin"/>
      </w:r>
      <w:r w:rsidRPr="000876BF">
        <w:rPr>
          <w:sz w:val="26"/>
          <w:szCs w:val="26"/>
        </w:rPr>
        <w:instrText xml:space="preserve"> SEQ Figure \* ARABIC </w:instrText>
      </w:r>
      <w:r w:rsidRPr="000876BF">
        <w:rPr>
          <w:sz w:val="26"/>
          <w:szCs w:val="26"/>
        </w:rPr>
        <w:fldChar w:fldCharType="separate"/>
      </w:r>
      <w:r w:rsidR="001D4056">
        <w:rPr>
          <w:noProof/>
          <w:sz w:val="26"/>
          <w:szCs w:val="26"/>
        </w:rPr>
        <w:t>4</w:t>
      </w:r>
      <w:r w:rsidRPr="000876BF">
        <w:rPr>
          <w:sz w:val="26"/>
          <w:szCs w:val="26"/>
        </w:rPr>
        <w:fldChar w:fldCharType="end"/>
      </w:r>
      <w:r w:rsidRPr="000876BF">
        <w:rPr>
          <w:sz w:val="26"/>
          <w:szCs w:val="26"/>
        </w:rPr>
        <w:t xml:space="preserve">: Proximity </w:t>
      </w:r>
      <w:proofErr w:type="gramStart"/>
      <w:r w:rsidRPr="000876BF">
        <w:rPr>
          <w:sz w:val="26"/>
          <w:szCs w:val="26"/>
        </w:rPr>
        <w:t>to  stream</w:t>
      </w:r>
      <w:proofErr w:type="gramEnd"/>
      <w:r w:rsidRPr="000876BF">
        <w:rPr>
          <w:sz w:val="26"/>
          <w:szCs w:val="26"/>
        </w:rPr>
        <w:t xml:space="preserve"> map of the study area</w:t>
      </w:r>
    </w:p>
    <w:p w14:paraId="080D26A7" w14:textId="66F4AF31" w:rsidR="00382AD1" w:rsidRPr="000876BF" w:rsidRDefault="00547C4D" w:rsidP="002E55A5">
      <w:pPr>
        <w:spacing w:line="276" w:lineRule="auto"/>
        <w:jc w:val="center"/>
        <w:rPr>
          <w:b/>
          <w:bCs/>
          <w:szCs w:val="26"/>
        </w:rPr>
      </w:pPr>
      <w:r w:rsidRPr="000876BF">
        <w:rPr>
          <w:b/>
          <w:bCs/>
          <w:noProof/>
          <w:szCs w:val="26"/>
        </w:rPr>
        <w:lastRenderedPageBreak/>
        <w:drawing>
          <wp:inline distT="0" distB="0" distL="0" distR="0" wp14:anchorId="0B664743" wp14:editId="55073242">
            <wp:extent cx="0" cy="0"/>
            <wp:effectExtent l="0" t="0" r="0" b="0"/>
            <wp:docPr id="93622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002E55A5" w:rsidRPr="000876BF">
        <w:rPr>
          <w:b/>
          <w:bCs/>
          <w:noProof/>
          <w:szCs w:val="26"/>
        </w:rPr>
        <w:drawing>
          <wp:inline distT="0" distB="0" distL="0" distR="0" wp14:anchorId="53F1E1DC" wp14:editId="7DBAC56E">
            <wp:extent cx="4235953" cy="288000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35953" cy="2880000"/>
                    </a:xfrm>
                    <a:prstGeom prst="rect">
                      <a:avLst/>
                    </a:prstGeom>
                    <a:noFill/>
                    <a:ln>
                      <a:noFill/>
                    </a:ln>
                  </pic:spPr>
                </pic:pic>
              </a:graphicData>
            </a:graphic>
          </wp:inline>
        </w:drawing>
      </w:r>
    </w:p>
    <w:p w14:paraId="3DB2AEB8" w14:textId="79ED9EDA" w:rsidR="00382AD1" w:rsidRPr="000876BF" w:rsidRDefault="00382AD1" w:rsidP="007B1A57">
      <w:pPr>
        <w:pStyle w:val="Figure"/>
        <w:spacing w:after="0" w:line="240" w:lineRule="auto"/>
        <w:rPr>
          <w:sz w:val="26"/>
          <w:szCs w:val="26"/>
        </w:rPr>
      </w:pPr>
      <w:r w:rsidRPr="000876BF">
        <w:rPr>
          <w:sz w:val="26"/>
          <w:szCs w:val="26"/>
        </w:rPr>
        <w:t xml:space="preserve">Figure </w:t>
      </w:r>
      <w:r w:rsidRPr="000876BF">
        <w:rPr>
          <w:sz w:val="26"/>
          <w:szCs w:val="26"/>
        </w:rPr>
        <w:fldChar w:fldCharType="begin"/>
      </w:r>
      <w:r w:rsidRPr="000876BF">
        <w:rPr>
          <w:sz w:val="26"/>
          <w:szCs w:val="26"/>
        </w:rPr>
        <w:instrText xml:space="preserve"> SEQ Figure \* ARABIC </w:instrText>
      </w:r>
      <w:r w:rsidRPr="000876BF">
        <w:rPr>
          <w:sz w:val="26"/>
          <w:szCs w:val="26"/>
        </w:rPr>
        <w:fldChar w:fldCharType="separate"/>
      </w:r>
      <w:r w:rsidR="001D4056">
        <w:rPr>
          <w:noProof/>
          <w:sz w:val="26"/>
          <w:szCs w:val="26"/>
        </w:rPr>
        <w:t>5</w:t>
      </w:r>
      <w:r w:rsidRPr="000876BF">
        <w:rPr>
          <w:sz w:val="26"/>
          <w:szCs w:val="26"/>
        </w:rPr>
        <w:fldChar w:fldCharType="end"/>
      </w:r>
      <w:r w:rsidRPr="000876BF">
        <w:rPr>
          <w:sz w:val="26"/>
          <w:szCs w:val="26"/>
        </w:rPr>
        <w:t>: Precipitation map of the study area</w:t>
      </w:r>
    </w:p>
    <w:p w14:paraId="000D1901" w14:textId="77777777" w:rsidR="00382AD1" w:rsidRPr="000876BF" w:rsidRDefault="00547C4D" w:rsidP="007B1A57">
      <w:pPr>
        <w:pStyle w:val="Figure"/>
        <w:spacing w:after="0" w:line="240" w:lineRule="auto"/>
        <w:rPr>
          <w:noProof/>
          <w:sz w:val="26"/>
          <w:szCs w:val="26"/>
        </w:rPr>
      </w:pPr>
      <w:r w:rsidRPr="000876BF">
        <w:rPr>
          <w:noProof/>
          <w:sz w:val="26"/>
          <w:szCs w:val="26"/>
        </w:rPr>
        <w:drawing>
          <wp:inline distT="0" distB="0" distL="0" distR="0" wp14:anchorId="3AB8BF56" wp14:editId="6A9D3D8F">
            <wp:extent cx="4235953" cy="2880000"/>
            <wp:effectExtent l="0" t="0" r="0" b="0"/>
            <wp:docPr id="781726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35953" cy="2880000"/>
                    </a:xfrm>
                    <a:prstGeom prst="rect">
                      <a:avLst/>
                    </a:prstGeom>
                    <a:noFill/>
                    <a:ln>
                      <a:noFill/>
                    </a:ln>
                  </pic:spPr>
                </pic:pic>
              </a:graphicData>
            </a:graphic>
          </wp:inline>
        </w:drawing>
      </w:r>
    </w:p>
    <w:p w14:paraId="390A2967" w14:textId="5FAC00F3" w:rsidR="00382AD1" w:rsidRPr="000876BF" w:rsidRDefault="00382AD1" w:rsidP="007B1A57">
      <w:pPr>
        <w:pStyle w:val="Figure"/>
        <w:spacing w:after="0" w:line="240" w:lineRule="auto"/>
        <w:rPr>
          <w:noProof/>
          <w:sz w:val="26"/>
          <w:szCs w:val="26"/>
        </w:rPr>
      </w:pPr>
      <w:r w:rsidRPr="000876BF">
        <w:rPr>
          <w:noProof/>
          <w:sz w:val="26"/>
          <w:szCs w:val="26"/>
        </w:rPr>
        <w:t xml:space="preserve">Figure </w:t>
      </w:r>
      <w:r w:rsidRPr="000876BF">
        <w:rPr>
          <w:noProof/>
          <w:sz w:val="26"/>
          <w:szCs w:val="26"/>
        </w:rPr>
        <w:fldChar w:fldCharType="begin"/>
      </w:r>
      <w:r w:rsidRPr="000876BF">
        <w:rPr>
          <w:noProof/>
          <w:sz w:val="26"/>
          <w:szCs w:val="26"/>
        </w:rPr>
        <w:instrText xml:space="preserve"> SEQ Figure \* ARABIC </w:instrText>
      </w:r>
      <w:r w:rsidRPr="000876BF">
        <w:rPr>
          <w:noProof/>
          <w:sz w:val="26"/>
          <w:szCs w:val="26"/>
        </w:rPr>
        <w:fldChar w:fldCharType="separate"/>
      </w:r>
      <w:r w:rsidR="001D4056">
        <w:rPr>
          <w:noProof/>
          <w:sz w:val="26"/>
          <w:szCs w:val="26"/>
        </w:rPr>
        <w:t>6</w:t>
      </w:r>
      <w:r w:rsidRPr="000876BF">
        <w:rPr>
          <w:noProof/>
          <w:sz w:val="26"/>
          <w:szCs w:val="26"/>
        </w:rPr>
        <w:fldChar w:fldCharType="end"/>
      </w:r>
      <w:r w:rsidRPr="000876BF">
        <w:rPr>
          <w:noProof/>
          <w:sz w:val="26"/>
          <w:szCs w:val="26"/>
        </w:rPr>
        <w:t>: Slope map of the study area</w:t>
      </w:r>
    </w:p>
    <w:p w14:paraId="773B4FF5" w14:textId="77777777" w:rsidR="00382AD1" w:rsidRPr="000876BF" w:rsidRDefault="00547C4D" w:rsidP="002E55A5">
      <w:pPr>
        <w:spacing w:line="276" w:lineRule="auto"/>
        <w:jc w:val="center"/>
        <w:rPr>
          <w:b/>
          <w:bCs/>
          <w:szCs w:val="26"/>
        </w:rPr>
      </w:pPr>
      <w:r w:rsidRPr="000876BF">
        <w:rPr>
          <w:b/>
          <w:bCs/>
          <w:noProof/>
          <w:szCs w:val="26"/>
        </w:rPr>
        <w:drawing>
          <wp:inline distT="0" distB="0" distL="0" distR="0" wp14:anchorId="655274FA" wp14:editId="5D86DCEB">
            <wp:extent cx="4235953" cy="2880000"/>
            <wp:effectExtent l="0" t="0" r="0" b="0"/>
            <wp:docPr id="518350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35953" cy="2880000"/>
                    </a:xfrm>
                    <a:prstGeom prst="rect">
                      <a:avLst/>
                    </a:prstGeom>
                    <a:noFill/>
                    <a:ln>
                      <a:noFill/>
                    </a:ln>
                  </pic:spPr>
                </pic:pic>
              </a:graphicData>
            </a:graphic>
          </wp:inline>
        </w:drawing>
      </w:r>
    </w:p>
    <w:p w14:paraId="397762A4" w14:textId="4D005076" w:rsidR="00382AD1" w:rsidRPr="000876BF" w:rsidRDefault="00382AD1" w:rsidP="007B1A57">
      <w:pPr>
        <w:pStyle w:val="Figure"/>
        <w:spacing w:after="0" w:line="240" w:lineRule="auto"/>
        <w:rPr>
          <w:sz w:val="26"/>
          <w:szCs w:val="26"/>
        </w:rPr>
      </w:pPr>
      <w:r w:rsidRPr="000876BF">
        <w:rPr>
          <w:sz w:val="26"/>
          <w:szCs w:val="26"/>
        </w:rPr>
        <w:lastRenderedPageBreak/>
        <w:t xml:space="preserve">Figure </w:t>
      </w:r>
      <w:r w:rsidRPr="000876BF">
        <w:rPr>
          <w:sz w:val="26"/>
          <w:szCs w:val="26"/>
        </w:rPr>
        <w:fldChar w:fldCharType="begin"/>
      </w:r>
      <w:r w:rsidRPr="000876BF">
        <w:rPr>
          <w:sz w:val="26"/>
          <w:szCs w:val="26"/>
        </w:rPr>
        <w:instrText xml:space="preserve"> SEQ Figure \* ARABIC </w:instrText>
      </w:r>
      <w:r w:rsidRPr="000876BF">
        <w:rPr>
          <w:sz w:val="26"/>
          <w:szCs w:val="26"/>
        </w:rPr>
        <w:fldChar w:fldCharType="separate"/>
      </w:r>
      <w:r w:rsidR="001D4056">
        <w:rPr>
          <w:noProof/>
          <w:sz w:val="26"/>
          <w:szCs w:val="26"/>
        </w:rPr>
        <w:t>7</w:t>
      </w:r>
      <w:r w:rsidRPr="000876BF">
        <w:rPr>
          <w:sz w:val="26"/>
          <w:szCs w:val="26"/>
        </w:rPr>
        <w:fldChar w:fldCharType="end"/>
      </w:r>
      <w:r w:rsidRPr="000876BF">
        <w:rPr>
          <w:sz w:val="26"/>
          <w:szCs w:val="26"/>
        </w:rPr>
        <w:t>: Aspect map of the study area</w:t>
      </w:r>
    </w:p>
    <w:p w14:paraId="1E2D5C19" w14:textId="4BFE5623" w:rsidR="00547C4D" w:rsidRPr="000876BF" w:rsidRDefault="00547C4D" w:rsidP="007B1A57">
      <w:pPr>
        <w:pStyle w:val="Figure"/>
        <w:spacing w:after="0" w:line="240" w:lineRule="auto"/>
        <w:rPr>
          <w:sz w:val="26"/>
          <w:szCs w:val="26"/>
        </w:rPr>
      </w:pPr>
      <w:r w:rsidRPr="000876BF">
        <w:rPr>
          <w:sz w:val="26"/>
          <w:szCs w:val="26"/>
        </w:rPr>
        <w:drawing>
          <wp:inline distT="0" distB="0" distL="0" distR="0" wp14:anchorId="65494080" wp14:editId="4633DAAE">
            <wp:extent cx="4235953" cy="2880000"/>
            <wp:effectExtent l="0" t="0" r="0" b="0"/>
            <wp:docPr id="1405275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35953" cy="2880000"/>
                    </a:xfrm>
                    <a:prstGeom prst="rect">
                      <a:avLst/>
                    </a:prstGeom>
                    <a:noFill/>
                    <a:ln>
                      <a:noFill/>
                    </a:ln>
                  </pic:spPr>
                </pic:pic>
              </a:graphicData>
            </a:graphic>
          </wp:inline>
        </w:drawing>
      </w:r>
    </w:p>
    <w:p w14:paraId="75648A29" w14:textId="6395267D" w:rsidR="001F02EE" w:rsidRPr="000876BF" w:rsidRDefault="00382AD1" w:rsidP="007B1A57">
      <w:pPr>
        <w:pStyle w:val="Figure"/>
        <w:spacing w:after="0" w:line="240" w:lineRule="auto"/>
        <w:rPr>
          <w:sz w:val="26"/>
          <w:szCs w:val="26"/>
        </w:rPr>
      </w:pPr>
      <w:r w:rsidRPr="000876BF">
        <w:rPr>
          <w:sz w:val="26"/>
          <w:szCs w:val="26"/>
        </w:rPr>
        <w:t xml:space="preserve">Figure </w:t>
      </w:r>
      <w:r w:rsidRPr="000876BF">
        <w:rPr>
          <w:sz w:val="26"/>
          <w:szCs w:val="26"/>
        </w:rPr>
        <w:fldChar w:fldCharType="begin"/>
      </w:r>
      <w:r w:rsidRPr="000876BF">
        <w:rPr>
          <w:sz w:val="26"/>
          <w:szCs w:val="26"/>
        </w:rPr>
        <w:instrText xml:space="preserve"> SEQ Figure \* ARABIC </w:instrText>
      </w:r>
      <w:r w:rsidRPr="000876BF">
        <w:rPr>
          <w:sz w:val="26"/>
          <w:szCs w:val="26"/>
        </w:rPr>
        <w:fldChar w:fldCharType="separate"/>
      </w:r>
      <w:r w:rsidR="001D4056">
        <w:rPr>
          <w:noProof/>
          <w:sz w:val="26"/>
          <w:szCs w:val="26"/>
        </w:rPr>
        <w:t>8</w:t>
      </w:r>
      <w:r w:rsidRPr="000876BF">
        <w:rPr>
          <w:sz w:val="26"/>
          <w:szCs w:val="26"/>
        </w:rPr>
        <w:fldChar w:fldCharType="end"/>
      </w:r>
      <w:r w:rsidRPr="000876BF">
        <w:rPr>
          <w:sz w:val="26"/>
          <w:szCs w:val="26"/>
        </w:rPr>
        <w:t>: Elevation map of the study area</w:t>
      </w:r>
    </w:p>
    <w:p w14:paraId="5DFF8B25" w14:textId="62F3E655" w:rsidR="001F02EE" w:rsidRPr="000876BF" w:rsidRDefault="001F02EE" w:rsidP="00897C1F">
      <w:pPr>
        <w:pStyle w:val="11"/>
        <w:rPr>
          <w:sz w:val="26"/>
          <w:szCs w:val="26"/>
        </w:rPr>
      </w:pPr>
      <w:r w:rsidRPr="000876BF">
        <w:rPr>
          <w:sz w:val="26"/>
          <w:szCs w:val="26"/>
        </w:rPr>
        <w:t>3.3. Weighting of flood-related indicators (AHP results)</w:t>
      </w:r>
    </w:p>
    <w:p w14:paraId="21A03F05" w14:textId="77777777" w:rsidR="00E441D6" w:rsidRPr="00E441D6" w:rsidRDefault="00E441D6" w:rsidP="00E441D6">
      <w:pPr>
        <w:ind w:firstLine="720"/>
      </w:pPr>
      <w:r w:rsidRPr="00E441D6">
        <w:t>The relative importance of the six indicators—proximity to river, slope, elevation, aspect, land use/land cover, and precipitation—was determined using the Analytic Hierarchy Process (AHP) based on expert consultation (Figure 9). Nine experts representing hydrology (3), GIS and remote sensing (3), and land-use planning (3) conducted pairwise comparisons using the Saaty 1–9 scale. Individual consistency ratios (CR) were computed, and matrices with CR &gt; 0.1 were refined through group discussion to achieve acceptable coherence. Final weights were derived from the geometric mean of all consistent matrices.</w:t>
      </w:r>
    </w:p>
    <w:p w14:paraId="1B9E5E50" w14:textId="77777777" w:rsidR="00E441D6" w:rsidRPr="00E441D6" w:rsidRDefault="00E441D6" w:rsidP="00E441D6">
      <w:pPr>
        <w:ind w:firstLine="720"/>
      </w:pPr>
      <w:r w:rsidRPr="00E441D6">
        <w:t>According to the results, proximity to river (0.524) had the highest weight, highlighting its dominant influence on flood susceptibility. Slope (0.193) and land use/land cover (0.152) followed as key contributors, confirming the strong geomorphic and anthropogenic control over flood dynamics. The calculated Consistency Ratio (CR = 0.078) satisfied the acceptable limit (&lt;0.1), ensuring logical reliability of expert judgments. The adopted expert panel size (9 specialists) conforms with international AHP recommendations: 3–5 experts for small-scale studies (</w:t>
      </w:r>
      <w:r w:rsidRPr="00E441D6">
        <w:rPr>
          <w:color w:val="0070C0"/>
        </w:rPr>
        <w:t>Saaty, 2008</w:t>
      </w:r>
      <w:r w:rsidRPr="00E441D6">
        <w:t>), 7–12 for provincial or regional analyses (</w:t>
      </w:r>
      <w:r w:rsidRPr="00E441D6">
        <w:rPr>
          <w:color w:val="0070C0"/>
        </w:rPr>
        <w:t>Forman &amp; Gass, 2001; Luu et al., 2020</w:t>
      </w:r>
      <w:r w:rsidRPr="00E441D6">
        <w:t>), and 15–20 for national-level assessments (</w:t>
      </w:r>
      <w:r w:rsidRPr="00E441D6">
        <w:rPr>
          <w:color w:val="0070C0"/>
        </w:rPr>
        <w:t>Vargas, 2010; Rahmati et al., 2021</w:t>
      </w:r>
      <w:r w:rsidRPr="00E441D6">
        <w:t>).</w:t>
      </w:r>
    </w:p>
    <w:p w14:paraId="2594DF15" w14:textId="77777777" w:rsidR="00E441D6" w:rsidRPr="00E441D6" w:rsidRDefault="00E441D6" w:rsidP="00E441D6">
      <w:pPr>
        <w:ind w:firstLine="720"/>
      </w:pPr>
      <w:r w:rsidRPr="00E441D6">
        <w:t>These validated weights were subsequently applied to compute the flood hazard index, providing a balanced integration of hydrological, spatial, and land-use factors for subsequent modeling.</w:t>
      </w:r>
    </w:p>
    <w:p w14:paraId="2045CF3C" w14:textId="77777777" w:rsidR="00382AD1" w:rsidRPr="000876BF" w:rsidRDefault="00547C4D" w:rsidP="002E55A5">
      <w:pPr>
        <w:spacing w:line="276" w:lineRule="auto"/>
        <w:jc w:val="center"/>
        <w:rPr>
          <w:b/>
          <w:bCs/>
          <w:szCs w:val="26"/>
        </w:rPr>
      </w:pPr>
      <w:r w:rsidRPr="000876BF">
        <w:rPr>
          <w:b/>
          <w:bCs/>
          <w:noProof/>
          <w:szCs w:val="26"/>
        </w:rPr>
        <w:lastRenderedPageBreak/>
        <w:drawing>
          <wp:inline distT="0" distB="0" distL="0" distR="0" wp14:anchorId="491876EF" wp14:editId="4ADE14D8">
            <wp:extent cx="4235953" cy="2880000"/>
            <wp:effectExtent l="0" t="0" r="0" b="0"/>
            <wp:docPr id="1450703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35953" cy="2880000"/>
                    </a:xfrm>
                    <a:prstGeom prst="rect">
                      <a:avLst/>
                    </a:prstGeom>
                    <a:noFill/>
                    <a:ln>
                      <a:noFill/>
                    </a:ln>
                  </pic:spPr>
                </pic:pic>
              </a:graphicData>
            </a:graphic>
          </wp:inline>
        </w:drawing>
      </w:r>
    </w:p>
    <w:p w14:paraId="312BF907" w14:textId="66D74776" w:rsidR="00382AD1" w:rsidRPr="000876BF" w:rsidRDefault="00382AD1" w:rsidP="007B1A57">
      <w:pPr>
        <w:pStyle w:val="Figure"/>
        <w:spacing w:after="0" w:line="240" w:lineRule="auto"/>
        <w:rPr>
          <w:sz w:val="26"/>
          <w:szCs w:val="26"/>
        </w:rPr>
      </w:pPr>
      <w:r w:rsidRPr="000876BF">
        <w:rPr>
          <w:sz w:val="26"/>
          <w:szCs w:val="26"/>
        </w:rPr>
        <w:t xml:space="preserve">Figure </w:t>
      </w:r>
      <w:r w:rsidRPr="000876BF">
        <w:rPr>
          <w:sz w:val="26"/>
          <w:szCs w:val="26"/>
        </w:rPr>
        <w:fldChar w:fldCharType="begin"/>
      </w:r>
      <w:r w:rsidRPr="000876BF">
        <w:rPr>
          <w:sz w:val="26"/>
          <w:szCs w:val="26"/>
        </w:rPr>
        <w:instrText xml:space="preserve"> SEQ Figure \* ARABIC </w:instrText>
      </w:r>
      <w:r w:rsidRPr="000876BF">
        <w:rPr>
          <w:sz w:val="26"/>
          <w:szCs w:val="26"/>
        </w:rPr>
        <w:fldChar w:fldCharType="separate"/>
      </w:r>
      <w:r w:rsidR="001D4056">
        <w:rPr>
          <w:noProof/>
          <w:sz w:val="26"/>
          <w:szCs w:val="26"/>
        </w:rPr>
        <w:t>9</w:t>
      </w:r>
      <w:r w:rsidRPr="000876BF">
        <w:rPr>
          <w:sz w:val="26"/>
          <w:szCs w:val="26"/>
        </w:rPr>
        <w:fldChar w:fldCharType="end"/>
      </w:r>
      <w:r w:rsidRPr="000876BF">
        <w:rPr>
          <w:sz w:val="26"/>
          <w:szCs w:val="26"/>
        </w:rPr>
        <w:t xml:space="preserve">: </w:t>
      </w:r>
      <w:r w:rsidR="00B51F61" w:rsidRPr="000876BF">
        <w:rPr>
          <w:sz w:val="26"/>
          <w:szCs w:val="26"/>
        </w:rPr>
        <w:t>Weights of flood-related indicators derived from AHP</w:t>
      </w:r>
    </w:p>
    <w:p w14:paraId="664C1FE7" w14:textId="55A6CF5D" w:rsidR="002B0C28" w:rsidRPr="000876BF" w:rsidRDefault="002B0C28" w:rsidP="004A1777">
      <w:pPr>
        <w:pStyle w:val="11"/>
        <w:rPr>
          <w:sz w:val="26"/>
          <w:szCs w:val="26"/>
        </w:rPr>
      </w:pPr>
      <w:r w:rsidRPr="000876BF">
        <w:rPr>
          <w:sz w:val="26"/>
          <w:szCs w:val="26"/>
        </w:rPr>
        <w:t xml:space="preserve">3.4. Flood risk mapping from AHP and machine learning </w:t>
      </w:r>
    </w:p>
    <w:p w14:paraId="582452F6" w14:textId="1E05F753" w:rsidR="002B0C28" w:rsidRPr="000876BF" w:rsidRDefault="009B1A48" w:rsidP="002B0C28">
      <w:pPr>
        <w:ind w:firstLine="720"/>
        <w:rPr>
          <w:szCs w:val="26"/>
        </w:rPr>
      </w:pPr>
      <w:r w:rsidRPr="000876BF">
        <w:rPr>
          <w:szCs w:val="26"/>
        </w:rPr>
        <w:t>The AHP-derived and SVM-based flood risk maps (Figure 10) exhibit strong spatial consistency, with the integrated model providing a refined delineation of flood-prone zones across Ha Tinh Province. The hybrid AHP–SVM model significantly improved classification performance compared to AHP alone (OA = 0.87; Kappa = 0.81), confirming the effectiveness of combining expert-based and data-driven approaches. This integration allowed the model to capture nonlinear interactions among topography, rainfall, and land cover, which are typically oversimplified in conventional AHP models (</w:t>
      </w:r>
      <w:r w:rsidRPr="000876BF">
        <w:rPr>
          <w:color w:val="0070C0"/>
          <w:szCs w:val="26"/>
        </w:rPr>
        <w:t>Tehrany et al., 2015; Antzoulatos et al., 2022</w:t>
      </w:r>
      <w:r w:rsidRPr="000876BF">
        <w:rPr>
          <w:szCs w:val="26"/>
        </w:rPr>
        <w:t>)</w:t>
      </w:r>
    </w:p>
    <w:p w14:paraId="10386853" w14:textId="497B750A" w:rsidR="00547C4D" w:rsidRPr="000876BF" w:rsidRDefault="00547C4D" w:rsidP="007B1A57">
      <w:pPr>
        <w:pStyle w:val="Figure"/>
        <w:spacing w:after="0" w:line="240" w:lineRule="auto"/>
        <w:rPr>
          <w:sz w:val="26"/>
          <w:szCs w:val="26"/>
        </w:rPr>
      </w:pPr>
      <w:r w:rsidRPr="000876BF">
        <w:rPr>
          <w:sz w:val="26"/>
          <w:szCs w:val="26"/>
        </w:rPr>
        <w:drawing>
          <wp:inline distT="0" distB="0" distL="0" distR="0" wp14:anchorId="5FB18EB3" wp14:editId="64F67C78">
            <wp:extent cx="4235953" cy="2880000"/>
            <wp:effectExtent l="0" t="0" r="0" b="0"/>
            <wp:docPr id="8182597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35953" cy="2880000"/>
                    </a:xfrm>
                    <a:prstGeom prst="rect">
                      <a:avLst/>
                    </a:prstGeom>
                    <a:noFill/>
                    <a:ln>
                      <a:noFill/>
                    </a:ln>
                  </pic:spPr>
                </pic:pic>
              </a:graphicData>
            </a:graphic>
          </wp:inline>
        </w:drawing>
      </w:r>
    </w:p>
    <w:p w14:paraId="15569B7F" w14:textId="1C120933" w:rsidR="00382AD1" w:rsidRPr="000876BF" w:rsidRDefault="00382AD1" w:rsidP="007B1A57">
      <w:pPr>
        <w:pStyle w:val="Figure"/>
        <w:spacing w:after="0" w:line="240" w:lineRule="auto"/>
        <w:rPr>
          <w:sz w:val="26"/>
          <w:szCs w:val="26"/>
        </w:rPr>
      </w:pPr>
      <w:r w:rsidRPr="000876BF">
        <w:rPr>
          <w:sz w:val="26"/>
          <w:szCs w:val="26"/>
        </w:rPr>
        <w:t xml:space="preserve">Figure </w:t>
      </w:r>
      <w:r w:rsidRPr="000876BF">
        <w:rPr>
          <w:sz w:val="26"/>
          <w:szCs w:val="26"/>
        </w:rPr>
        <w:fldChar w:fldCharType="begin"/>
      </w:r>
      <w:r w:rsidRPr="000876BF">
        <w:rPr>
          <w:sz w:val="26"/>
          <w:szCs w:val="26"/>
        </w:rPr>
        <w:instrText xml:space="preserve"> SEQ Figure \* ARABIC </w:instrText>
      </w:r>
      <w:r w:rsidRPr="000876BF">
        <w:rPr>
          <w:sz w:val="26"/>
          <w:szCs w:val="26"/>
        </w:rPr>
        <w:fldChar w:fldCharType="separate"/>
      </w:r>
      <w:r w:rsidR="001D4056">
        <w:rPr>
          <w:noProof/>
          <w:sz w:val="26"/>
          <w:szCs w:val="26"/>
        </w:rPr>
        <w:t>10</w:t>
      </w:r>
      <w:r w:rsidRPr="000876BF">
        <w:rPr>
          <w:sz w:val="26"/>
          <w:szCs w:val="26"/>
        </w:rPr>
        <w:fldChar w:fldCharType="end"/>
      </w:r>
      <w:r w:rsidRPr="000876BF">
        <w:rPr>
          <w:sz w:val="26"/>
          <w:szCs w:val="26"/>
        </w:rPr>
        <w:t xml:space="preserve">: </w:t>
      </w:r>
      <w:r w:rsidR="002B0C28" w:rsidRPr="000876BF">
        <w:rPr>
          <w:sz w:val="26"/>
          <w:szCs w:val="26"/>
        </w:rPr>
        <w:t>Flood risk map derived from AHP and AHP–SVM integration</w:t>
      </w:r>
    </w:p>
    <w:p w14:paraId="64D7C75B" w14:textId="77777777" w:rsidR="009B1A48" w:rsidRPr="000876BF" w:rsidRDefault="009B1A48" w:rsidP="009B1A48">
      <w:pPr>
        <w:spacing w:before="120" w:after="120" w:line="276" w:lineRule="auto"/>
        <w:ind w:firstLine="720"/>
        <w:rPr>
          <w:szCs w:val="26"/>
        </w:rPr>
      </w:pPr>
      <w:r w:rsidRPr="000876BF">
        <w:rPr>
          <w:szCs w:val="26"/>
        </w:rPr>
        <w:t xml:space="preserve">Spatially, very high-risk areas (in red) are concentrated along major river valleys and low-lying floodplains, particularly within the La, Ngan Pho, and </w:t>
      </w:r>
      <w:proofErr w:type="gramStart"/>
      <w:r w:rsidRPr="000876BF">
        <w:rPr>
          <w:szCs w:val="26"/>
        </w:rPr>
        <w:t>Ngan Sau river</w:t>
      </w:r>
      <w:proofErr w:type="gramEnd"/>
      <w:r w:rsidRPr="000876BF">
        <w:rPr>
          <w:szCs w:val="26"/>
        </w:rPr>
        <w:t xml:space="preserve"> </w:t>
      </w:r>
      <w:r w:rsidRPr="000876BF">
        <w:rPr>
          <w:szCs w:val="26"/>
        </w:rPr>
        <w:lastRenderedPageBreak/>
        <w:t>basins, as well as the eastern coastal corridor from Thach Ha to Ky Anh. These zones correspond to areas of high population density, agricultural concentration, and infrastructure expansion. Frequent flooding is also recorded in the western foothills of Huong Khe and Vu Quang, where steep terrain combined with localized heavy rainfall triggers flash floods and landslides.</w:t>
      </w:r>
    </w:p>
    <w:p w14:paraId="5869BEC2" w14:textId="77777777" w:rsidR="009B1A48" w:rsidRPr="000876BF" w:rsidRDefault="009B1A48" w:rsidP="009B1A48">
      <w:pPr>
        <w:spacing w:before="120" w:after="120" w:line="276" w:lineRule="auto"/>
        <w:ind w:firstLine="720"/>
        <w:rPr>
          <w:szCs w:val="26"/>
        </w:rPr>
      </w:pPr>
      <w:r w:rsidRPr="000876BF">
        <w:rPr>
          <w:szCs w:val="26"/>
        </w:rPr>
        <w:t>High-risk areas (in orange) form transitional belts surrounding the very high-risk zones, primarily within the middle reaches of river systems and in peri-urban communes undergoing rapid land-use change. Moderate-risk areas (in yellow) represent mixed-use landscapes with intermediate slopes and partial vegetation cover, serving as hydrological buffers. Conversely, low and very low-risk areas (in green) dominate the elevated midland and mountainous zones, where steep slopes, high forest cover, and permeable soils enhance infiltration and reduce surface runoff.</w:t>
      </w:r>
    </w:p>
    <w:p w14:paraId="71ADB638" w14:textId="718DD4C0" w:rsidR="009B1A48" w:rsidRPr="000876BF" w:rsidRDefault="009B1A48" w:rsidP="009B1A48">
      <w:pPr>
        <w:spacing w:before="120" w:after="120" w:line="276" w:lineRule="auto"/>
        <w:ind w:firstLine="720"/>
        <w:rPr>
          <w:szCs w:val="26"/>
        </w:rPr>
      </w:pPr>
      <w:r w:rsidRPr="000876BF">
        <w:rPr>
          <w:szCs w:val="26"/>
        </w:rPr>
        <w:t>Overall, the spatial structure of flood risk closely aligns with the province’s topographic gradient and land-use dynamics. The AHP–SVM integration demonstrates high reliability for mapping complex flood patterns in mixed terrain, offering an operational tool for spatial planning and disaster risk management in central Vietnam.</w:t>
      </w:r>
    </w:p>
    <w:p w14:paraId="31E56721" w14:textId="35E7E949" w:rsidR="00AD57D2" w:rsidRPr="000876BF" w:rsidRDefault="00AD57D2" w:rsidP="004A1777">
      <w:pPr>
        <w:pStyle w:val="11"/>
        <w:rPr>
          <w:sz w:val="26"/>
          <w:szCs w:val="26"/>
        </w:rPr>
      </w:pPr>
      <w:r w:rsidRPr="000876BF">
        <w:rPr>
          <w:sz w:val="26"/>
          <w:szCs w:val="26"/>
        </w:rPr>
        <w:t xml:space="preserve">3.5. </w:t>
      </w:r>
      <w:r w:rsidR="00E66165" w:rsidRPr="000876BF">
        <w:rPr>
          <w:sz w:val="26"/>
          <w:szCs w:val="26"/>
        </w:rPr>
        <w:t>Flood Risk Zonation Based on AHP–SVM Integration</w:t>
      </w:r>
    </w:p>
    <w:p w14:paraId="026A59D2" w14:textId="42A0FA10" w:rsidR="00AD57D2" w:rsidRPr="000876BF" w:rsidRDefault="0082544C" w:rsidP="001C1782">
      <w:pPr>
        <w:spacing w:before="120" w:after="120" w:line="276" w:lineRule="auto"/>
        <w:ind w:firstLine="720"/>
        <w:rPr>
          <w:color w:val="C00000"/>
          <w:szCs w:val="26"/>
        </w:rPr>
      </w:pPr>
      <w:r w:rsidRPr="000876BF">
        <w:rPr>
          <w:szCs w:val="26"/>
        </w:rPr>
        <w:t>The spatial distribution of flood risk across the study area demonstrates a clear west–east gradient associated with elevation, terrain morphology, and hydrological connectivity. The very high-risk zone, accounting for 3,011.27 km² (47.66%), is predominantly concentrated in low-lying coastal and deltaic communes. These areas are characterized by flat topography, low elevation, dense river–canal networks, and direct exposure to tidal influence, which collectively limit drainage efficiency and intensify flood vulnerability.</w:t>
      </w:r>
      <w:r w:rsidR="00AD57D2" w:rsidRPr="000876BF">
        <w:rPr>
          <w:szCs w:val="26"/>
        </w:rPr>
        <w:t xml:space="preserve"> The pattern aligns with hydrological conditions and land development trends (</w:t>
      </w:r>
      <w:r w:rsidR="00AD57D2" w:rsidRPr="000876BF">
        <w:rPr>
          <w:color w:val="0070C0"/>
          <w:szCs w:val="26"/>
        </w:rPr>
        <w:t>Le et al., 2023; Nguyen et al., 2023</w:t>
      </w:r>
      <w:r w:rsidR="00AD57D2" w:rsidRPr="000876BF">
        <w:rPr>
          <w:szCs w:val="26"/>
        </w:rPr>
        <w:t>).</w:t>
      </w:r>
    </w:p>
    <w:p w14:paraId="52DA54AD" w14:textId="3ED9BA6B" w:rsidR="001D37CB" w:rsidRPr="000876BF" w:rsidRDefault="001D37CB" w:rsidP="002F212A">
      <w:pPr>
        <w:pStyle w:val="111"/>
      </w:pPr>
      <w:r w:rsidRPr="000876BF">
        <w:t>Table 2. Area and percentage of flood risk levels in the study area</w:t>
      </w:r>
    </w:p>
    <w:tbl>
      <w:tblPr>
        <w:tblStyle w:val="TableGrid"/>
        <w:tblW w:w="0" w:type="auto"/>
        <w:jc w:val="center"/>
        <w:tblLook w:val="04A0" w:firstRow="1" w:lastRow="0" w:firstColumn="1" w:lastColumn="0" w:noHBand="0" w:noVBand="1"/>
      </w:tblPr>
      <w:tblGrid>
        <w:gridCol w:w="1690"/>
        <w:gridCol w:w="1438"/>
        <w:gridCol w:w="1937"/>
      </w:tblGrid>
      <w:tr w:rsidR="001D37CB" w:rsidRPr="000876BF" w14:paraId="52238D48" w14:textId="77777777" w:rsidTr="001D37CB">
        <w:trPr>
          <w:jc w:val="center"/>
        </w:trPr>
        <w:tc>
          <w:tcPr>
            <w:tcW w:w="0" w:type="auto"/>
            <w:vAlign w:val="center"/>
          </w:tcPr>
          <w:p w14:paraId="4A71D242" w14:textId="234BE6B6" w:rsidR="001D37CB" w:rsidRPr="000876BF" w:rsidRDefault="001D37CB" w:rsidP="007B1A57">
            <w:pPr>
              <w:pStyle w:val="Caption"/>
              <w:rPr>
                <w:sz w:val="26"/>
                <w:szCs w:val="26"/>
              </w:rPr>
            </w:pPr>
            <w:r w:rsidRPr="000876BF">
              <w:rPr>
                <w:sz w:val="26"/>
                <w:szCs w:val="26"/>
              </w:rPr>
              <w:t>Level</w:t>
            </w:r>
          </w:p>
        </w:tc>
        <w:tc>
          <w:tcPr>
            <w:tcW w:w="0" w:type="auto"/>
            <w:vAlign w:val="center"/>
          </w:tcPr>
          <w:p w14:paraId="0B9C0220" w14:textId="41BD49F9" w:rsidR="001D37CB" w:rsidRPr="000876BF" w:rsidRDefault="001D37CB" w:rsidP="007B1A57">
            <w:pPr>
              <w:pStyle w:val="Caption"/>
              <w:rPr>
                <w:sz w:val="26"/>
                <w:szCs w:val="26"/>
              </w:rPr>
            </w:pPr>
            <w:r w:rsidRPr="000876BF">
              <w:rPr>
                <w:sz w:val="26"/>
                <w:szCs w:val="26"/>
              </w:rPr>
              <w:t>Area (km²)</w:t>
            </w:r>
          </w:p>
        </w:tc>
        <w:tc>
          <w:tcPr>
            <w:tcW w:w="0" w:type="auto"/>
            <w:vAlign w:val="center"/>
          </w:tcPr>
          <w:p w14:paraId="7B0A386C" w14:textId="02C83E12" w:rsidR="001D37CB" w:rsidRPr="000876BF" w:rsidRDefault="001D37CB" w:rsidP="007B1A57">
            <w:pPr>
              <w:pStyle w:val="Caption"/>
              <w:rPr>
                <w:sz w:val="26"/>
                <w:szCs w:val="26"/>
              </w:rPr>
            </w:pPr>
            <w:r w:rsidRPr="000876BF">
              <w:rPr>
                <w:sz w:val="26"/>
                <w:szCs w:val="26"/>
              </w:rPr>
              <w:t>Percentage (%)</w:t>
            </w:r>
          </w:p>
        </w:tc>
      </w:tr>
      <w:tr w:rsidR="001D37CB" w:rsidRPr="000876BF" w14:paraId="2921E01F" w14:textId="77777777" w:rsidTr="001D37CB">
        <w:trPr>
          <w:jc w:val="center"/>
        </w:trPr>
        <w:tc>
          <w:tcPr>
            <w:tcW w:w="0" w:type="auto"/>
            <w:vAlign w:val="center"/>
          </w:tcPr>
          <w:p w14:paraId="38EFDB59" w14:textId="34CF7490" w:rsidR="001D37CB" w:rsidRPr="000876BF" w:rsidRDefault="001D37CB" w:rsidP="007B1A57">
            <w:pPr>
              <w:jc w:val="center"/>
              <w:rPr>
                <w:szCs w:val="26"/>
              </w:rPr>
            </w:pPr>
            <w:r w:rsidRPr="000876BF">
              <w:rPr>
                <w:szCs w:val="26"/>
              </w:rPr>
              <w:t>Low risk</w:t>
            </w:r>
          </w:p>
        </w:tc>
        <w:tc>
          <w:tcPr>
            <w:tcW w:w="0" w:type="auto"/>
            <w:vAlign w:val="center"/>
          </w:tcPr>
          <w:p w14:paraId="64BEB727" w14:textId="3C877904" w:rsidR="001D37CB" w:rsidRPr="000876BF" w:rsidRDefault="001D37CB" w:rsidP="007B1A57">
            <w:pPr>
              <w:jc w:val="center"/>
              <w:rPr>
                <w:szCs w:val="26"/>
              </w:rPr>
            </w:pPr>
            <w:r w:rsidRPr="000876BF">
              <w:rPr>
                <w:szCs w:val="26"/>
              </w:rPr>
              <w:t>884.14</w:t>
            </w:r>
          </w:p>
        </w:tc>
        <w:tc>
          <w:tcPr>
            <w:tcW w:w="0" w:type="auto"/>
            <w:vAlign w:val="center"/>
          </w:tcPr>
          <w:p w14:paraId="03853A80" w14:textId="3DDCECA5" w:rsidR="001D37CB" w:rsidRPr="000876BF" w:rsidRDefault="001D37CB" w:rsidP="007B1A57">
            <w:pPr>
              <w:jc w:val="center"/>
              <w:rPr>
                <w:szCs w:val="26"/>
              </w:rPr>
            </w:pPr>
            <w:r w:rsidRPr="000876BF">
              <w:rPr>
                <w:szCs w:val="26"/>
              </w:rPr>
              <w:t>13.99</w:t>
            </w:r>
          </w:p>
        </w:tc>
      </w:tr>
      <w:tr w:rsidR="001D37CB" w:rsidRPr="000876BF" w14:paraId="6DF72317" w14:textId="77777777" w:rsidTr="001D37CB">
        <w:trPr>
          <w:jc w:val="center"/>
        </w:trPr>
        <w:tc>
          <w:tcPr>
            <w:tcW w:w="0" w:type="auto"/>
            <w:vAlign w:val="center"/>
          </w:tcPr>
          <w:p w14:paraId="139FD1C4" w14:textId="62E36FD9" w:rsidR="001D37CB" w:rsidRPr="000876BF" w:rsidRDefault="001D37CB" w:rsidP="007B1A57">
            <w:pPr>
              <w:jc w:val="center"/>
              <w:rPr>
                <w:szCs w:val="26"/>
              </w:rPr>
            </w:pPr>
            <w:r w:rsidRPr="000876BF">
              <w:rPr>
                <w:szCs w:val="26"/>
              </w:rPr>
              <w:t>Moderate risk</w:t>
            </w:r>
          </w:p>
        </w:tc>
        <w:tc>
          <w:tcPr>
            <w:tcW w:w="0" w:type="auto"/>
            <w:vAlign w:val="center"/>
          </w:tcPr>
          <w:p w14:paraId="753F1122" w14:textId="4C883B00" w:rsidR="001D37CB" w:rsidRPr="000876BF" w:rsidRDefault="001D37CB" w:rsidP="007B1A57">
            <w:pPr>
              <w:jc w:val="center"/>
              <w:rPr>
                <w:szCs w:val="26"/>
              </w:rPr>
            </w:pPr>
            <w:r w:rsidRPr="000876BF">
              <w:rPr>
                <w:szCs w:val="26"/>
              </w:rPr>
              <w:t>620.16</w:t>
            </w:r>
          </w:p>
        </w:tc>
        <w:tc>
          <w:tcPr>
            <w:tcW w:w="0" w:type="auto"/>
            <w:vAlign w:val="center"/>
          </w:tcPr>
          <w:p w14:paraId="0F8149C1" w14:textId="06E3AE29" w:rsidR="001D37CB" w:rsidRPr="000876BF" w:rsidRDefault="001D37CB" w:rsidP="007B1A57">
            <w:pPr>
              <w:jc w:val="center"/>
              <w:rPr>
                <w:szCs w:val="26"/>
              </w:rPr>
            </w:pPr>
            <w:r w:rsidRPr="000876BF">
              <w:rPr>
                <w:szCs w:val="26"/>
              </w:rPr>
              <w:t>9.82</w:t>
            </w:r>
          </w:p>
        </w:tc>
      </w:tr>
      <w:tr w:rsidR="001D37CB" w:rsidRPr="000876BF" w14:paraId="352DEF61" w14:textId="77777777" w:rsidTr="001D37CB">
        <w:trPr>
          <w:jc w:val="center"/>
        </w:trPr>
        <w:tc>
          <w:tcPr>
            <w:tcW w:w="0" w:type="auto"/>
            <w:vAlign w:val="center"/>
          </w:tcPr>
          <w:p w14:paraId="3D0A091D" w14:textId="42F8B978" w:rsidR="001D37CB" w:rsidRPr="000876BF" w:rsidRDefault="001D37CB" w:rsidP="007B1A57">
            <w:pPr>
              <w:jc w:val="center"/>
              <w:rPr>
                <w:szCs w:val="26"/>
              </w:rPr>
            </w:pPr>
            <w:r w:rsidRPr="000876BF">
              <w:rPr>
                <w:szCs w:val="26"/>
              </w:rPr>
              <w:t>Risky</w:t>
            </w:r>
          </w:p>
        </w:tc>
        <w:tc>
          <w:tcPr>
            <w:tcW w:w="0" w:type="auto"/>
            <w:vAlign w:val="center"/>
          </w:tcPr>
          <w:p w14:paraId="450C7CC5" w14:textId="0F20657B" w:rsidR="001D37CB" w:rsidRPr="000876BF" w:rsidRDefault="001D37CB" w:rsidP="007B1A57">
            <w:pPr>
              <w:jc w:val="center"/>
              <w:rPr>
                <w:szCs w:val="26"/>
              </w:rPr>
            </w:pPr>
            <w:r w:rsidRPr="000876BF">
              <w:rPr>
                <w:szCs w:val="26"/>
              </w:rPr>
              <w:t>713.47</w:t>
            </w:r>
          </w:p>
        </w:tc>
        <w:tc>
          <w:tcPr>
            <w:tcW w:w="0" w:type="auto"/>
            <w:vAlign w:val="center"/>
          </w:tcPr>
          <w:p w14:paraId="0B1B663D" w14:textId="3ACA996E" w:rsidR="001D37CB" w:rsidRPr="000876BF" w:rsidRDefault="001D37CB" w:rsidP="007B1A57">
            <w:pPr>
              <w:jc w:val="center"/>
              <w:rPr>
                <w:szCs w:val="26"/>
              </w:rPr>
            </w:pPr>
            <w:r w:rsidRPr="000876BF">
              <w:rPr>
                <w:szCs w:val="26"/>
              </w:rPr>
              <w:t>11.29</w:t>
            </w:r>
          </w:p>
        </w:tc>
      </w:tr>
      <w:tr w:rsidR="001D37CB" w:rsidRPr="000876BF" w14:paraId="2DBEBBE5" w14:textId="77777777" w:rsidTr="001D37CB">
        <w:trPr>
          <w:jc w:val="center"/>
        </w:trPr>
        <w:tc>
          <w:tcPr>
            <w:tcW w:w="0" w:type="auto"/>
            <w:vAlign w:val="center"/>
          </w:tcPr>
          <w:p w14:paraId="3E451F13" w14:textId="2647EDFD" w:rsidR="001D37CB" w:rsidRPr="000876BF" w:rsidRDefault="001D37CB" w:rsidP="007B1A57">
            <w:pPr>
              <w:jc w:val="center"/>
              <w:rPr>
                <w:szCs w:val="26"/>
              </w:rPr>
            </w:pPr>
            <w:r w:rsidRPr="000876BF">
              <w:rPr>
                <w:szCs w:val="26"/>
              </w:rPr>
              <w:t>High risk</w:t>
            </w:r>
          </w:p>
        </w:tc>
        <w:tc>
          <w:tcPr>
            <w:tcW w:w="0" w:type="auto"/>
            <w:vAlign w:val="center"/>
          </w:tcPr>
          <w:p w14:paraId="7CC5F6A3" w14:textId="2FE369E4" w:rsidR="001D37CB" w:rsidRPr="000876BF" w:rsidRDefault="001D37CB" w:rsidP="007B1A57">
            <w:pPr>
              <w:jc w:val="center"/>
              <w:rPr>
                <w:szCs w:val="26"/>
              </w:rPr>
            </w:pPr>
            <w:r w:rsidRPr="000876BF">
              <w:rPr>
                <w:szCs w:val="26"/>
              </w:rPr>
              <w:t>1,089.38</w:t>
            </w:r>
          </w:p>
        </w:tc>
        <w:tc>
          <w:tcPr>
            <w:tcW w:w="0" w:type="auto"/>
            <w:vAlign w:val="center"/>
          </w:tcPr>
          <w:p w14:paraId="5193CA25" w14:textId="4924EAF8" w:rsidR="001D37CB" w:rsidRPr="000876BF" w:rsidRDefault="001D37CB" w:rsidP="007B1A57">
            <w:pPr>
              <w:jc w:val="center"/>
              <w:rPr>
                <w:szCs w:val="26"/>
              </w:rPr>
            </w:pPr>
            <w:r w:rsidRPr="000876BF">
              <w:rPr>
                <w:szCs w:val="26"/>
              </w:rPr>
              <w:t>17.24</w:t>
            </w:r>
          </w:p>
        </w:tc>
      </w:tr>
      <w:tr w:rsidR="001D37CB" w:rsidRPr="000876BF" w14:paraId="18C31865" w14:textId="77777777" w:rsidTr="001D37CB">
        <w:trPr>
          <w:jc w:val="center"/>
        </w:trPr>
        <w:tc>
          <w:tcPr>
            <w:tcW w:w="0" w:type="auto"/>
            <w:vAlign w:val="center"/>
          </w:tcPr>
          <w:p w14:paraId="093AFA7D" w14:textId="62F5D6DC" w:rsidR="001D37CB" w:rsidRPr="000876BF" w:rsidRDefault="001D37CB" w:rsidP="007B1A57">
            <w:pPr>
              <w:jc w:val="center"/>
              <w:rPr>
                <w:szCs w:val="26"/>
              </w:rPr>
            </w:pPr>
            <w:r w:rsidRPr="000876BF">
              <w:rPr>
                <w:szCs w:val="26"/>
              </w:rPr>
              <w:t>Very high risk</w:t>
            </w:r>
          </w:p>
        </w:tc>
        <w:tc>
          <w:tcPr>
            <w:tcW w:w="0" w:type="auto"/>
            <w:vAlign w:val="center"/>
          </w:tcPr>
          <w:p w14:paraId="36A84D06" w14:textId="2C15C44F" w:rsidR="001D37CB" w:rsidRPr="000876BF" w:rsidRDefault="001D37CB" w:rsidP="007B1A57">
            <w:pPr>
              <w:jc w:val="center"/>
              <w:rPr>
                <w:szCs w:val="26"/>
              </w:rPr>
            </w:pPr>
            <w:r w:rsidRPr="000876BF">
              <w:rPr>
                <w:szCs w:val="26"/>
              </w:rPr>
              <w:t>3,011.27</w:t>
            </w:r>
          </w:p>
        </w:tc>
        <w:tc>
          <w:tcPr>
            <w:tcW w:w="0" w:type="auto"/>
            <w:vAlign w:val="center"/>
          </w:tcPr>
          <w:p w14:paraId="719FC12F" w14:textId="07BF56EA" w:rsidR="001D37CB" w:rsidRPr="000876BF" w:rsidRDefault="001D37CB" w:rsidP="007B1A57">
            <w:pPr>
              <w:jc w:val="center"/>
              <w:rPr>
                <w:szCs w:val="26"/>
              </w:rPr>
            </w:pPr>
            <w:r w:rsidRPr="000876BF">
              <w:rPr>
                <w:szCs w:val="26"/>
              </w:rPr>
              <w:t>47.66</w:t>
            </w:r>
          </w:p>
        </w:tc>
      </w:tr>
    </w:tbl>
    <w:p w14:paraId="273B92A8" w14:textId="77777777" w:rsidR="00E66165" w:rsidRPr="000876BF" w:rsidRDefault="00E66165" w:rsidP="00E66165">
      <w:pPr>
        <w:spacing w:before="120" w:after="120" w:line="276" w:lineRule="auto"/>
        <w:ind w:firstLine="720"/>
        <w:rPr>
          <w:szCs w:val="26"/>
        </w:rPr>
      </w:pPr>
      <w:r w:rsidRPr="000876BF">
        <w:rPr>
          <w:szCs w:val="26"/>
        </w:rPr>
        <w:t xml:space="preserve">According to Table 2, the high-risk zone (1,089.38 km²; 17.24%) is mainly distributed across transitional mid-slope communes, where the terrain begins to rise but remains influenced by downstream flow accumulation. These areas function as receiving basins for runoff originating from upstream mountainous catchments, resulting in recurrent overbank flooding during intense rainfall. The topographic concavity and moderate slopes promote temporary water retention, explaining the </w:t>
      </w:r>
      <w:r w:rsidRPr="000876BF">
        <w:rPr>
          <w:szCs w:val="26"/>
        </w:rPr>
        <w:lastRenderedPageBreak/>
        <w:t>spatial clustering of high-risk zones along the mid-reaches of the La, Ngan Pho, and Ngan Sau rivers.</w:t>
      </w:r>
    </w:p>
    <w:p w14:paraId="510248BF" w14:textId="77777777" w:rsidR="00E66165" w:rsidRPr="000876BF" w:rsidRDefault="00E66165" w:rsidP="00E66165">
      <w:pPr>
        <w:spacing w:before="120" w:after="120" w:line="276" w:lineRule="auto"/>
        <w:ind w:firstLine="720"/>
        <w:rPr>
          <w:szCs w:val="26"/>
        </w:rPr>
      </w:pPr>
      <w:r w:rsidRPr="000876BF">
        <w:rPr>
          <w:szCs w:val="26"/>
        </w:rPr>
        <w:t>The moderate-risk (620.16 km²; 9.82%) and risky (713.47 km²; 11.29%) zones are prevalent in intermediate elevation areas characterized by mixed land-use structures and fragmented vegetation cover. These areas partially buffer flood impacts due to infiltration capacity and vegetation interception. However, rapid urban expansion and agricultural intensification are increasing the extent of impervious surfaces, which may disrupt natural drainage networks. Without adaptive land-use control, these transitional zones are likely to experience expanding flood exposure under future rainfall extremes and sea-level rise conditions.</w:t>
      </w:r>
    </w:p>
    <w:p w14:paraId="753AD8D7" w14:textId="24C6CBF5" w:rsidR="00430A95" w:rsidRPr="000876BF" w:rsidRDefault="00E66165" w:rsidP="00E66165">
      <w:pPr>
        <w:spacing w:before="120" w:after="120" w:line="276" w:lineRule="auto"/>
        <w:ind w:firstLine="720"/>
        <w:rPr>
          <w:szCs w:val="26"/>
        </w:rPr>
      </w:pPr>
      <w:r w:rsidRPr="000876BF">
        <w:rPr>
          <w:szCs w:val="26"/>
        </w:rPr>
        <w:t>The low-risk zone (884.14 km²; 13.99%) is located mainly in upland communes with steeper slopes (&gt;15°) and dense forest cover, promoting rapid surface runoff dispersion and minimizing water accumulation. Nevertheless, these regions remain vulnerable to secondary hazards such as flash floods and landslides, especially under prolonged high-intensity rainfall. The spatial gradient from low- to high-risk areas therefore reflects the combined influence of elevation, slope morphology, hydrological connectivity, and human land-use pressure within Ha Tinh’s dynamic landscape.</w:t>
      </w:r>
    </w:p>
    <w:p w14:paraId="04848D83" w14:textId="140200FA" w:rsidR="00AD57D2" w:rsidRPr="000876BF" w:rsidRDefault="00AD57D2" w:rsidP="004A1777">
      <w:pPr>
        <w:pStyle w:val="11"/>
        <w:rPr>
          <w:sz w:val="26"/>
          <w:szCs w:val="26"/>
        </w:rPr>
      </w:pPr>
      <w:r w:rsidRPr="000876BF">
        <w:rPr>
          <w:sz w:val="26"/>
          <w:szCs w:val="26"/>
        </w:rPr>
        <w:t>3.6. Model validation and performance assessment</w:t>
      </w:r>
    </w:p>
    <w:p w14:paraId="75B032AF" w14:textId="7DEC1BA8" w:rsidR="00AD57D2" w:rsidRPr="000876BF" w:rsidRDefault="005F7853" w:rsidP="000876BF">
      <w:pPr>
        <w:spacing w:before="120" w:after="120" w:line="276" w:lineRule="auto"/>
        <w:ind w:firstLine="720"/>
        <w:rPr>
          <w:szCs w:val="26"/>
        </w:rPr>
      </w:pPr>
      <w:r w:rsidRPr="000876BF">
        <w:t>Model validation was conducted using an independent 30% test dataset, where predicted flood risk classes from the SVM model were compared with reference samples to compute overall accuracy (OA = 0.87) and Kappa coefficient (0.81). These results confirm a high degree of reliability, indicating that the hybrid AHP–SVM framework effectively captures nonlinear relationships among geomorphological, hydrological, and land-use factors</w:t>
      </w:r>
      <w:r w:rsidRPr="000876BF">
        <w:rPr>
          <w:szCs w:val="26"/>
        </w:rPr>
        <w:t xml:space="preserve"> </w:t>
      </w:r>
      <w:r w:rsidR="00AD57D2" w:rsidRPr="000876BF">
        <w:rPr>
          <w:szCs w:val="26"/>
        </w:rPr>
        <w:t>(</w:t>
      </w:r>
      <w:r w:rsidR="00AD57D2" w:rsidRPr="000876BF">
        <w:rPr>
          <w:color w:val="0070C0"/>
          <w:szCs w:val="26"/>
        </w:rPr>
        <w:t>Congalton, 1991; Foody, 2002</w:t>
      </w:r>
      <w:r w:rsidR="00AD57D2" w:rsidRPr="000876BF">
        <w:rPr>
          <w:szCs w:val="26"/>
        </w:rPr>
        <w:t xml:space="preserve">). </w:t>
      </w:r>
    </w:p>
    <w:p w14:paraId="306BB56F" w14:textId="3CA3DBFA" w:rsidR="00430A95" w:rsidRPr="000876BF" w:rsidRDefault="00430A95" w:rsidP="002E55A5">
      <w:pPr>
        <w:spacing w:before="120" w:after="120" w:line="276" w:lineRule="auto"/>
        <w:jc w:val="center"/>
        <w:rPr>
          <w:szCs w:val="26"/>
        </w:rPr>
      </w:pPr>
      <w:r w:rsidRPr="000876BF">
        <w:rPr>
          <w:noProof/>
          <w:szCs w:val="26"/>
        </w:rPr>
        <w:drawing>
          <wp:inline distT="0" distB="0" distL="0" distR="0" wp14:anchorId="5A158D4F" wp14:editId="1B8611B6">
            <wp:extent cx="4235953" cy="2880000"/>
            <wp:effectExtent l="0" t="0" r="0" b="0"/>
            <wp:docPr id="179313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35953" cy="2880000"/>
                    </a:xfrm>
                    <a:prstGeom prst="rect">
                      <a:avLst/>
                    </a:prstGeom>
                    <a:noFill/>
                    <a:ln>
                      <a:noFill/>
                    </a:ln>
                  </pic:spPr>
                </pic:pic>
              </a:graphicData>
            </a:graphic>
          </wp:inline>
        </w:drawing>
      </w:r>
    </w:p>
    <w:p w14:paraId="0412D363" w14:textId="472C0EAF" w:rsidR="00430A95" w:rsidRPr="000876BF" w:rsidRDefault="00430A95" w:rsidP="007B1A57">
      <w:pPr>
        <w:pStyle w:val="Figure"/>
        <w:spacing w:after="0" w:line="240" w:lineRule="auto"/>
        <w:rPr>
          <w:sz w:val="26"/>
          <w:szCs w:val="26"/>
        </w:rPr>
      </w:pPr>
      <w:r w:rsidRPr="000876BF">
        <w:rPr>
          <w:sz w:val="26"/>
          <w:szCs w:val="26"/>
        </w:rPr>
        <w:t xml:space="preserve">Figure </w:t>
      </w:r>
      <w:r w:rsidRPr="000876BF">
        <w:rPr>
          <w:sz w:val="26"/>
          <w:szCs w:val="26"/>
        </w:rPr>
        <w:fldChar w:fldCharType="begin"/>
      </w:r>
      <w:r w:rsidRPr="000876BF">
        <w:rPr>
          <w:sz w:val="26"/>
          <w:szCs w:val="26"/>
        </w:rPr>
        <w:instrText xml:space="preserve"> SEQ Figure \* ARABIC </w:instrText>
      </w:r>
      <w:r w:rsidRPr="000876BF">
        <w:rPr>
          <w:sz w:val="26"/>
          <w:szCs w:val="26"/>
        </w:rPr>
        <w:fldChar w:fldCharType="separate"/>
      </w:r>
      <w:r w:rsidR="001D4056">
        <w:rPr>
          <w:noProof/>
          <w:sz w:val="26"/>
          <w:szCs w:val="26"/>
        </w:rPr>
        <w:t>11</w:t>
      </w:r>
      <w:r w:rsidRPr="000876BF">
        <w:rPr>
          <w:sz w:val="26"/>
          <w:szCs w:val="26"/>
        </w:rPr>
        <w:fldChar w:fldCharType="end"/>
      </w:r>
      <w:r w:rsidRPr="000876BF">
        <w:rPr>
          <w:sz w:val="26"/>
          <w:szCs w:val="26"/>
        </w:rPr>
        <w:t>: Land use planning map of Ha Tinh province in 2030</w:t>
      </w:r>
    </w:p>
    <w:p w14:paraId="513D4997" w14:textId="016228EB" w:rsidR="00430A95" w:rsidRPr="000876BF" w:rsidRDefault="00430A95" w:rsidP="000876BF">
      <w:pPr>
        <w:spacing w:before="120" w:after="120" w:line="276" w:lineRule="auto"/>
        <w:jc w:val="center"/>
        <w:rPr>
          <w:szCs w:val="26"/>
        </w:rPr>
      </w:pPr>
      <w:r w:rsidRPr="000876BF">
        <w:rPr>
          <w:noProof/>
          <w:szCs w:val="26"/>
        </w:rPr>
        <w:lastRenderedPageBreak/>
        <w:drawing>
          <wp:inline distT="0" distB="0" distL="0" distR="0" wp14:anchorId="28BE4F8B" wp14:editId="4D162495">
            <wp:extent cx="4235953" cy="2880000"/>
            <wp:effectExtent l="0" t="0" r="0" b="0"/>
            <wp:docPr id="1770002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35953" cy="2880000"/>
                    </a:xfrm>
                    <a:prstGeom prst="rect">
                      <a:avLst/>
                    </a:prstGeom>
                    <a:noFill/>
                    <a:ln>
                      <a:noFill/>
                    </a:ln>
                  </pic:spPr>
                </pic:pic>
              </a:graphicData>
            </a:graphic>
          </wp:inline>
        </w:drawing>
      </w:r>
    </w:p>
    <w:p w14:paraId="4AB40A3F" w14:textId="5E4907D7" w:rsidR="00887693" w:rsidRPr="000876BF" w:rsidRDefault="00887693" w:rsidP="007B1A57">
      <w:pPr>
        <w:pStyle w:val="Figure"/>
        <w:spacing w:after="0" w:line="240" w:lineRule="auto"/>
        <w:rPr>
          <w:sz w:val="26"/>
          <w:szCs w:val="26"/>
        </w:rPr>
      </w:pPr>
      <w:r w:rsidRPr="000876BF">
        <w:rPr>
          <w:sz w:val="26"/>
          <w:szCs w:val="26"/>
        </w:rPr>
        <w:t xml:space="preserve">Figure </w:t>
      </w:r>
      <w:r w:rsidRPr="000876BF">
        <w:rPr>
          <w:sz w:val="26"/>
          <w:szCs w:val="26"/>
        </w:rPr>
        <w:fldChar w:fldCharType="begin"/>
      </w:r>
      <w:r w:rsidRPr="000876BF">
        <w:rPr>
          <w:sz w:val="26"/>
          <w:szCs w:val="26"/>
        </w:rPr>
        <w:instrText xml:space="preserve"> SEQ Figure \* ARABIC </w:instrText>
      </w:r>
      <w:r w:rsidRPr="000876BF">
        <w:rPr>
          <w:sz w:val="26"/>
          <w:szCs w:val="26"/>
        </w:rPr>
        <w:fldChar w:fldCharType="separate"/>
      </w:r>
      <w:r w:rsidR="001D4056">
        <w:rPr>
          <w:noProof/>
          <w:sz w:val="26"/>
          <w:szCs w:val="26"/>
        </w:rPr>
        <w:t>12</w:t>
      </w:r>
      <w:r w:rsidRPr="000876BF">
        <w:rPr>
          <w:sz w:val="26"/>
          <w:szCs w:val="26"/>
        </w:rPr>
        <w:fldChar w:fldCharType="end"/>
      </w:r>
      <w:r w:rsidRPr="000876BF">
        <w:rPr>
          <w:sz w:val="26"/>
          <w:szCs w:val="26"/>
        </w:rPr>
        <w:t>: Spatial overlap between the 2030 land use planning and high flood risk zones in Ha Tinh province</w:t>
      </w:r>
    </w:p>
    <w:p w14:paraId="1E8E69C2" w14:textId="77777777" w:rsidR="005F7853" w:rsidRPr="000876BF" w:rsidRDefault="00870F13" w:rsidP="005F7853">
      <w:pPr>
        <w:spacing w:before="120" w:after="120" w:line="276" w:lineRule="auto"/>
        <w:rPr>
          <w:szCs w:val="26"/>
        </w:rPr>
      </w:pPr>
      <w:r w:rsidRPr="000876BF">
        <w:rPr>
          <w:szCs w:val="26"/>
        </w:rPr>
        <w:tab/>
      </w:r>
      <w:r w:rsidR="005F7853" w:rsidRPr="000876BF">
        <w:rPr>
          <w:szCs w:val="26"/>
        </w:rPr>
        <w:t>Beyond statistical validation, spatial verification was performed by overlaying the flood risk map with the 2030 land-use planning map (Figures 11–12). The overlay analysis revealed distinct spatial conflicts between planned development zones and high flood hazard areas, particularly within the urban expansion corridor of central Ha Tinh, the coastal agricultural lowlands, and the industrial–urban coastal belt of Ky Anh. These overlapping zones represent areas of rapid land transformation where population growth, infrastructure development, and economic activities coincide with flood-prone terrain, posing significant challenges for sustainable spatial planning (</w:t>
      </w:r>
      <w:r w:rsidR="005F7853" w:rsidRPr="000876BF">
        <w:rPr>
          <w:color w:val="0070C0"/>
          <w:szCs w:val="26"/>
        </w:rPr>
        <w:t>Antzoulatos et al., 2022; Seydi et al., 2023; Mhangara et al., 2025; Arora et al., 2025</w:t>
      </w:r>
      <w:r w:rsidR="005F7853" w:rsidRPr="000876BF">
        <w:rPr>
          <w:szCs w:val="26"/>
        </w:rPr>
        <w:t>).</w:t>
      </w:r>
    </w:p>
    <w:p w14:paraId="25BA6683" w14:textId="50C4E716" w:rsidR="00BA5F3D" w:rsidRPr="000876BF" w:rsidRDefault="00BA5F3D" w:rsidP="00BA5F3D">
      <w:pPr>
        <w:spacing w:before="120" w:after="120" w:line="276" w:lineRule="auto"/>
        <w:jc w:val="center"/>
        <w:rPr>
          <w:szCs w:val="26"/>
        </w:rPr>
      </w:pPr>
      <w:r w:rsidRPr="000876BF">
        <w:rPr>
          <w:szCs w:val="26"/>
        </w:rPr>
        <w:t>Table 3. The area of land use classes according to the 2030 land use planning map of Ha Tinh province located in high flood risk zones</w:t>
      </w:r>
    </w:p>
    <w:tbl>
      <w:tblPr>
        <w:tblStyle w:val="TableGrid"/>
        <w:tblW w:w="5000" w:type="pct"/>
        <w:tblLook w:val="04A0" w:firstRow="1" w:lastRow="0" w:firstColumn="1" w:lastColumn="0" w:noHBand="0" w:noVBand="1"/>
      </w:tblPr>
      <w:tblGrid>
        <w:gridCol w:w="779"/>
        <w:gridCol w:w="1330"/>
        <w:gridCol w:w="794"/>
        <w:gridCol w:w="897"/>
        <w:gridCol w:w="1021"/>
        <w:gridCol w:w="897"/>
        <w:gridCol w:w="1151"/>
        <w:gridCol w:w="1083"/>
        <w:gridCol w:w="1110"/>
      </w:tblGrid>
      <w:tr w:rsidR="00BA5F3D" w:rsidRPr="000876BF" w14:paraId="2171973F" w14:textId="77777777" w:rsidTr="00BA5F3D">
        <w:tc>
          <w:tcPr>
            <w:tcW w:w="421" w:type="pct"/>
            <w:vAlign w:val="center"/>
          </w:tcPr>
          <w:p w14:paraId="48484CAE" w14:textId="56C29FC6" w:rsidR="00BA5F3D" w:rsidRPr="000876BF" w:rsidRDefault="00BA5F3D" w:rsidP="007B1A57">
            <w:pPr>
              <w:spacing w:line="240" w:lineRule="auto"/>
              <w:jc w:val="center"/>
              <w:rPr>
                <w:rFonts w:cs="Times New Roman"/>
                <w:szCs w:val="26"/>
              </w:rPr>
            </w:pPr>
            <w:r w:rsidRPr="000876BF">
              <w:rPr>
                <w:rFonts w:cs="Times New Roman"/>
                <w:szCs w:val="26"/>
              </w:rPr>
              <w:t>Class</w:t>
            </w:r>
          </w:p>
        </w:tc>
        <w:tc>
          <w:tcPr>
            <w:tcW w:w="715" w:type="pct"/>
            <w:vAlign w:val="center"/>
          </w:tcPr>
          <w:p w14:paraId="18B296FD" w14:textId="6D428331" w:rsidR="00BA5F3D" w:rsidRPr="000876BF" w:rsidRDefault="00BA5F3D" w:rsidP="007B1A57">
            <w:pPr>
              <w:spacing w:line="240" w:lineRule="auto"/>
              <w:jc w:val="center"/>
              <w:rPr>
                <w:rFonts w:cs="Times New Roman"/>
                <w:szCs w:val="26"/>
              </w:rPr>
            </w:pPr>
            <w:r w:rsidRPr="000876BF">
              <w:rPr>
                <w:rFonts w:cs="Times New Roman"/>
                <w:szCs w:val="26"/>
              </w:rPr>
              <w:t>Residential land</w:t>
            </w:r>
          </w:p>
        </w:tc>
        <w:tc>
          <w:tcPr>
            <w:tcW w:w="547" w:type="pct"/>
            <w:vAlign w:val="center"/>
          </w:tcPr>
          <w:p w14:paraId="5644249C" w14:textId="60B5051E" w:rsidR="00BA5F3D" w:rsidRPr="000876BF" w:rsidRDefault="00BA5F3D" w:rsidP="007B1A57">
            <w:pPr>
              <w:spacing w:line="240" w:lineRule="auto"/>
              <w:jc w:val="center"/>
              <w:rPr>
                <w:rFonts w:cs="Times New Roman"/>
                <w:szCs w:val="26"/>
              </w:rPr>
            </w:pPr>
            <w:r w:rsidRPr="000876BF">
              <w:rPr>
                <w:rFonts w:cs="Times New Roman"/>
                <w:szCs w:val="26"/>
              </w:rPr>
              <w:t>Built-up land</w:t>
            </w:r>
          </w:p>
        </w:tc>
        <w:tc>
          <w:tcPr>
            <w:tcW w:w="483" w:type="pct"/>
            <w:vAlign w:val="center"/>
          </w:tcPr>
          <w:p w14:paraId="2A0CB0BF" w14:textId="1DF83634" w:rsidR="00BA5F3D" w:rsidRPr="000876BF" w:rsidRDefault="00BA5F3D" w:rsidP="007B1A57">
            <w:pPr>
              <w:spacing w:line="240" w:lineRule="auto"/>
              <w:jc w:val="center"/>
              <w:rPr>
                <w:rFonts w:cs="Times New Roman"/>
                <w:szCs w:val="26"/>
              </w:rPr>
            </w:pPr>
            <w:r w:rsidRPr="000876BF">
              <w:rPr>
                <w:rFonts w:cs="Times New Roman"/>
                <w:szCs w:val="26"/>
              </w:rPr>
              <w:t>Water bodies</w:t>
            </w:r>
          </w:p>
        </w:tc>
        <w:tc>
          <w:tcPr>
            <w:tcW w:w="550" w:type="pct"/>
            <w:vAlign w:val="center"/>
          </w:tcPr>
          <w:p w14:paraId="43E55692" w14:textId="6B3A0778" w:rsidR="00BA5F3D" w:rsidRPr="000876BF" w:rsidRDefault="00BA5F3D" w:rsidP="007B1A57">
            <w:pPr>
              <w:spacing w:line="240" w:lineRule="auto"/>
              <w:jc w:val="center"/>
              <w:rPr>
                <w:rFonts w:cs="Times New Roman"/>
                <w:szCs w:val="26"/>
              </w:rPr>
            </w:pPr>
            <w:r w:rsidRPr="000876BF">
              <w:rPr>
                <w:rFonts w:cs="Times New Roman"/>
                <w:szCs w:val="26"/>
              </w:rPr>
              <w:t>Forest</w:t>
            </w:r>
          </w:p>
        </w:tc>
        <w:tc>
          <w:tcPr>
            <w:tcW w:w="483" w:type="pct"/>
            <w:vAlign w:val="center"/>
          </w:tcPr>
          <w:p w14:paraId="0EB44766" w14:textId="0AD5FDE1" w:rsidR="00BA5F3D" w:rsidRPr="000876BF" w:rsidRDefault="00BA5F3D" w:rsidP="007B1A57">
            <w:pPr>
              <w:spacing w:line="240" w:lineRule="auto"/>
              <w:jc w:val="center"/>
              <w:rPr>
                <w:rFonts w:cs="Times New Roman"/>
                <w:szCs w:val="26"/>
              </w:rPr>
            </w:pPr>
            <w:r w:rsidRPr="000876BF">
              <w:rPr>
                <w:rFonts w:cs="Times New Roman"/>
                <w:szCs w:val="26"/>
              </w:rPr>
              <w:t>Paddy land</w:t>
            </w:r>
          </w:p>
        </w:tc>
        <w:tc>
          <w:tcPr>
            <w:tcW w:w="620" w:type="pct"/>
            <w:vAlign w:val="center"/>
          </w:tcPr>
          <w:p w14:paraId="560A7ED5" w14:textId="1F8D2427" w:rsidR="00BA5F3D" w:rsidRPr="000876BF" w:rsidRDefault="00BA5F3D" w:rsidP="007B1A57">
            <w:pPr>
              <w:spacing w:line="240" w:lineRule="auto"/>
              <w:jc w:val="center"/>
              <w:rPr>
                <w:rFonts w:cs="Times New Roman"/>
                <w:szCs w:val="26"/>
              </w:rPr>
            </w:pPr>
            <w:r w:rsidRPr="000876BF">
              <w:rPr>
                <w:rFonts w:cs="Times New Roman"/>
                <w:szCs w:val="26"/>
              </w:rPr>
              <w:t>Perennial cropland</w:t>
            </w:r>
          </w:p>
        </w:tc>
        <w:tc>
          <w:tcPr>
            <w:tcW w:w="583" w:type="pct"/>
            <w:vAlign w:val="center"/>
          </w:tcPr>
          <w:p w14:paraId="7DB05929" w14:textId="7DEAB2DB" w:rsidR="00BA5F3D" w:rsidRPr="000876BF" w:rsidRDefault="00BA5F3D" w:rsidP="007B1A57">
            <w:pPr>
              <w:spacing w:line="240" w:lineRule="auto"/>
              <w:jc w:val="center"/>
              <w:rPr>
                <w:rFonts w:cs="Times New Roman"/>
                <w:szCs w:val="26"/>
              </w:rPr>
            </w:pPr>
            <w:r w:rsidRPr="000876BF">
              <w:rPr>
                <w:rFonts w:cs="Times New Roman"/>
                <w:szCs w:val="26"/>
              </w:rPr>
              <w:t>Annual cropland</w:t>
            </w:r>
          </w:p>
        </w:tc>
        <w:tc>
          <w:tcPr>
            <w:tcW w:w="598" w:type="pct"/>
            <w:vAlign w:val="center"/>
          </w:tcPr>
          <w:p w14:paraId="5036E7F2" w14:textId="23E808E9" w:rsidR="00BA5F3D" w:rsidRPr="000876BF" w:rsidRDefault="00BA5F3D" w:rsidP="007B1A57">
            <w:pPr>
              <w:spacing w:line="240" w:lineRule="auto"/>
              <w:jc w:val="center"/>
              <w:rPr>
                <w:rFonts w:cs="Times New Roman"/>
                <w:szCs w:val="26"/>
              </w:rPr>
            </w:pPr>
            <w:r w:rsidRPr="000876BF">
              <w:rPr>
                <w:rFonts w:cs="Times New Roman"/>
                <w:szCs w:val="26"/>
              </w:rPr>
              <w:t>Bareland</w:t>
            </w:r>
          </w:p>
        </w:tc>
      </w:tr>
      <w:tr w:rsidR="00BA5F3D" w:rsidRPr="000876BF" w14:paraId="66A0DECB" w14:textId="77777777" w:rsidTr="00BA5F3D">
        <w:tc>
          <w:tcPr>
            <w:tcW w:w="421" w:type="pct"/>
          </w:tcPr>
          <w:p w14:paraId="42ACEFBD" w14:textId="53A95099" w:rsidR="00BA5F3D" w:rsidRPr="000876BF" w:rsidRDefault="00BA5F3D" w:rsidP="007B1A57">
            <w:pPr>
              <w:spacing w:line="240" w:lineRule="auto"/>
              <w:jc w:val="center"/>
              <w:rPr>
                <w:rFonts w:cs="Times New Roman"/>
                <w:szCs w:val="26"/>
              </w:rPr>
            </w:pPr>
            <w:r w:rsidRPr="000876BF">
              <w:rPr>
                <w:rFonts w:cs="Times New Roman"/>
                <w:szCs w:val="26"/>
              </w:rPr>
              <w:t>Area (km</w:t>
            </w:r>
            <w:r w:rsidRPr="000876BF">
              <w:rPr>
                <w:rFonts w:cs="Times New Roman"/>
                <w:szCs w:val="26"/>
                <w:vertAlign w:val="superscript"/>
              </w:rPr>
              <w:t>2</w:t>
            </w:r>
            <w:r w:rsidRPr="000876BF">
              <w:rPr>
                <w:rFonts w:cs="Times New Roman"/>
                <w:szCs w:val="26"/>
              </w:rPr>
              <w:t>)</w:t>
            </w:r>
          </w:p>
        </w:tc>
        <w:tc>
          <w:tcPr>
            <w:tcW w:w="715" w:type="pct"/>
            <w:vAlign w:val="center"/>
          </w:tcPr>
          <w:p w14:paraId="7F7608A3" w14:textId="48FE7F71" w:rsidR="00BA5F3D" w:rsidRPr="000876BF" w:rsidRDefault="00BA5F3D" w:rsidP="007B1A57">
            <w:pPr>
              <w:spacing w:line="240" w:lineRule="auto"/>
              <w:jc w:val="center"/>
              <w:rPr>
                <w:rFonts w:cs="Times New Roman"/>
                <w:szCs w:val="26"/>
              </w:rPr>
            </w:pPr>
            <w:r w:rsidRPr="000876BF">
              <w:rPr>
                <w:rFonts w:cs="Times New Roman"/>
                <w:color w:val="000000"/>
                <w:szCs w:val="26"/>
              </w:rPr>
              <w:t>613.77</w:t>
            </w:r>
          </w:p>
        </w:tc>
        <w:tc>
          <w:tcPr>
            <w:tcW w:w="547" w:type="pct"/>
            <w:vAlign w:val="center"/>
          </w:tcPr>
          <w:p w14:paraId="3CA3B8A7" w14:textId="4AD6BE6F" w:rsidR="00BA5F3D" w:rsidRPr="000876BF" w:rsidRDefault="00BA5F3D" w:rsidP="007B1A57">
            <w:pPr>
              <w:spacing w:line="240" w:lineRule="auto"/>
              <w:jc w:val="center"/>
              <w:rPr>
                <w:rFonts w:cs="Times New Roman"/>
                <w:color w:val="000000"/>
                <w:szCs w:val="26"/>
              </w:rPr>
            </w:pPr>
            <w:r w:rsidRPr="000876BF">
              <w:rPr>
                <w:rFonts w:cs="Times New Roman"/>
                <w:color w:val="000000"/>
                <w:szCs w:val="26"/>
              </w:rPr>
              <w:t>55.71</w:t>
            </w:r>
          </w:p>
        </w:tc>
        <w:tc>
          <w:tcPr>
            <w:tcW w:w="483" w:type="pct"/>
            <w:vAlign w:val="center"/>
          </w:tcPr>
          <w:p w14:paraId="352A1F09" w14:textId="0F3D4599" w:rsidR="00BA5F3D" w:rsidRPr="000876BF" w:rsidRDefault="00BA5F3D" w:rsidP="007B1A57">
            <w:pPr>
              <w:spacing w:line="240" w:lineRule="auto"/>
              <w:jc w:val="center"/>
              <w:rPr>
                <w:rFonts w:cs="Times New Roman"/>
                <w:szCs w:val="26"/>
              </w:rPr>
            </w:pPr>
            <w:r w:rsidRPr="000876BF">
              <w:rPr>
                <w:rFonts w:cs="Times New Roman"/>
                <w:color w:val="000000"/>
                <w:szCs w:val="26"/>
              </w:rPr>
              <w:t>138.24</w:t>
            </w:r>
          </w:p>
        </w:tc>
        <w:tc>
          <w:tcPr>
            <w:tcW w:w="550" w:type="pct"/>
            <w:vAlign w:val="center"/>
          </w:tcPr>
          <w:p w14:paraId="2BF571EA" w14:textId="77815769" w:rsidR="00BA5F3D" w:rsidRPr="000876BF" w:rsidRDefault="0038645D" w:rsidP="007B1A57">
            <w:pPr>
              <w:spacing w:line="240" w:lineRule="auto"/>
              <w:jc w:val="center"/>
              <w:rPr>
                <w:rFonts w:cs="Times New Roman"/>
                <w:szCs w:val="26"/>
              </w:rPr>
            </w:pPr>
            <w:r w:rsidRPr="000876BF">
              <w:rPr>
                <w:rFonts w:cs="Times New Roman"/>
                <w:color w:val="000000"/>
                <w:szCs w:val="26"/>
              </w:rPr>
              <w:t>2412.12</w:t>
            </w:r>
          </w:p>
        </w:tc>
        <w:tc>
          <w:tcPr>
            <w:tcW w:w="483" w:type="pct"/>
            <w:vAlign w:val="center"/>
          </w:tcPr>
          <w:p w14:paraId="39C9F125" w14:textId="742C3985" w:rsidR="00BA5F3D" w:rsidRPr="000876BF" w:rsidRDefault="00BA5F3D" w:rsidP="007B1A57">
            <w:pPr>
              <w:spacing w:line="240" w:lineRule="auto"/>
              <w:jc w:val="center"/>
              <w:rPr>
                <w:rFonts w:cs="Times New Roman"/>
                <w:szCs w:val="26"/>
              </w:rPr>
            </w:pPr>
            <w:r w:rsidRPr="000876BF">
              <w:rPr>
                <w:rFonts w:cs="Times New Roman"/>
                <w:color w:val="000000"/>
                <w:szCs w:val="26"/>
              </w:rPr>
              <w:t>622.83</w:t>
            </w:r>
          </w:p>
        </w:tc>
        <w:tc>
          <w:tcPr>
            <w:tcW w:w="620" w:type="pct"/>
            <w:vAlign w:val="center"/>
          </w:tcPr>
          <w:p w14:paraId="6E8C1881" w14:textId="5FA7A491" w:rsidR="00BA5F3D" w:rsidRPr="000876BF" w:rsidRDefault="00BA5F3D" w:rsidP="007B1A57">
            <w:pPr>
              <w:spacing w:line="240" w:lineRule="auto"/>
              <w:jc w:val="center"/>
              <w:rPr>
                <w:rFonts w:cs="Times New Roman"/>
                <w:szCs w:val="26"/>
              </w:rPr>
            </w:pPr>
            <w:r w:rsidRPr="000876BF">
              <w:rPr>
                <w:rFonts w:cs="Times New Roman"/>
                <w:color w:val="000000"/>
                <w:szCs w:val="26"/>
              </w:rPr>
              <w:t>63.87</w:t>
            </w:r>
          </w:p>
        </w:tc>
        <w:tc>
          <w:tcPr>
            <w:tcW w:w="583" w:type="pct"/>
            <w:vAlign w:val="center"/>
          </w:tcPr>
          <w:p w14:paraId="0E74BC70" w14:textId="3D613541" w:rsidR="00BA5F3D" w:rsidRPr="000876BF" w:rsidRDefault="00BA5F3D" w:rsidP="007B1A57">
            <w:pPr>
              <w:spacing w:line="240" w:lineRule="auto"/>
              <w:jc w:val="center"/>
              <w:rPr>
                <w:rFonts w:cs="Times New Roman"/>
                <w:szCs w:val="26"/>
              </w:rPr>
            </w:pPr>
            <w:r w:rsidRPr="000876BF">
              <w:rPr>
                <w:rFonts w:cs="Times New Roman"/>
                <w:color w:val="000000"/>
                <w:szCs w:val="26"/>
              </w:rPr>
              <w:t>164.03</w:t>
            </w:r>
          </w:p>
        </w:tc>
        <w:tc>
          <w:tcPr>
            <w:tcW w:w="598" w:type="pct"/>
            <w:vAlign w:val="center"/>
          </w:tcPr>
          <w:p w14:paraId="021FE917" w14:textId="5544CBA3" w:rsidR="00BA5F3D" w:rsidRPr="000876BF" w:rsidRDefault="00BA5F3D" w:rsidP="007B1A57">
            <w:pPr>
              <w:spacing w:line="240" w:lineRule="auto"/>
              <w:jc w:val="center"/>
              <w:rPr>
                <w:rFonts w:cs="Times New Roman"/>
                <w:szCs w:val="26"/>
              </w:rPr>
            </w:pPr>
            <w:r w:rsidRPr="000876BF">
              <w:rPr>
                <w:rFonts w:cs="Times New Roman"/>
                <w:color w:val="000000"/>
                <w:szCs w:val="26"/>
              </w:rPr>
              <w:t>30.08</w:t>
            </w:r>
          </w:p>
        </w:tc>
      </w:tr>
      <w:tr w:rsidR="00BA5F3D" w:rsidRPr="000876BF" w14:paraId="39BD7E67" w14:textId="77777777" w:rsidTr="00BA5F3D">
        <w:tc>
          <w:tcPr>
            <w:tcW w:w="421" w:type="pct"/>
          </w:tcPr>
          <w:p w14:paraId="546B4263" w14:textId="38B31FBD" w:rsidR="00BA5F3D" w:rsidRPr="000876BF" w:rsidRDefault="00BA5F3D" w:rsidP="007B1A57">
            <w:pPr>
              <w:spacing w:line="240" w:lineRule="auto"/>
              <w:jc w:val="center"/>
              <w:rPr>
                <w:rFonts w:cs="Times New Roman"/>
                <w:szCs w:val="26"/>
              </w:rPr>
            </w:pPr>
            <w:r w:rsidRPr="000876BF">
              <w:rPr>
                <w:rFonts w:cs="Times New Roman"/>
                <w:szCs w:val="26"/>
              </w:rPr>
              <w:t>Total</w:t>
            </w:r>
          </w:p>
        </w:tc>
        <w:tc>
          <w:tcPr>
            <w:tcW w:w="4579" w:type="pct"/>
            <w:gridSpan w:val="8"/>
            <w:vAlign w:val="center"/>
          </w:tcPr>
          <w:p w14:paraId="3F51A1EB" w14:textId="31C98B55" w:rsidR="00BA5F3D" w:rsidRPr="000876BF" w:rsidRDefault="0038645D" w:rsidP="007B1A57">
            <w:pPr>
              <w:spacing w:line="240" w:lineRule="auto"/>
              <w:jc w:val="left"/>
              <w:rPr>
                <w:rFonts w:cs="Times New Roman"/>
                <w:color w:val="000000"/>
                <w:szCs w:val="26"/>
              </w:rPr>
            </w:pPr>
            <w:bookmarkStart w:id="1" w:name="_Hlk209976454"/>
            <w:r w:rsidRPr="000876BF">
              <w:rPr>
                <w:rFonts w:cs="Times New Roman"/>
                <w:color w:val="000000"/>
                <w:szCs w:val="26"/>
              </w:rPr>
              <w:t xml:space="preserve">4,100.65 </w:t>
            </w:r>
            <w:bookmarkEnd w:id="1"/>
            <w:r w:rsidR="00BA5F3D" w:rsidRPr="000876BF">
              <w:rPr>
                <w:rFonts w:cs="Times New Roman"/>
                <w:color w:val="000000"/>
                <w:szCs w:val="26"/>
              </w:rPr>
              <w:t>km</w:t>
            </w:r>
            <w:r w:rsidR="00BA5F3D" w:rsidRPr="000876BF">
              <w:rPr>
                <w:rFonts w:cs="Times New Roman"/>
                <w:color w:val="000000"/>
                <w:szCs w:val="26"/>
                <w:vertAlign w:val="superscript"/>
              </w:rPr>
              <w:t>2</w:t>
            </w:r>
          </w:p>
        </w:tc>
      </w:tr>
    </w:tbl>
    <w:p w14:paraId="750743DE" w14:textId="77777777" w:rsidR="005F7853" w:rsidRPr="000876BF" w:rsidRDefault="00BA5F3D" w:rsidP="005F7853">
      <w:pPr>
        <w:spacing w:before="240"/>
        <w:rPr>
          <w:szCs w:val="26"/>
        </w:rPr>
      </w:pPr>
      <w:r w:rsidRPr="000876BF">
        <w:rPr>
          <w:szCs w:val="26"/>
        </w:rPr>
        <w:tab/>
      </w:r>
      <w:r w:rsidR="005F7853" w:rsidRPr="000876BF">
        <w:rPr>
          <w:szCs w:val="26"/>
        </w:rPr>
        <w:t xml:space="preserve">According to Table 3, a total of 4,100.65 km² of planned land-use classes are located within high and very high flood-risk zones, accounting for a substantial proportion of Ha Tinh’s territory. Forest land (2,412.12 km²) occupies the largest share, indicating that flood hazards extend beyond the coastal plains into mountainous and hilly catchments, where flash floods and landslides occur. Paddy land (622.83 km²) and residential land (613.77 km²) are also highly exposed, representing serious threats to </w:t>
      </w:r>
      <w:r w:rsidR="005F7853" w:rsidRPr="000876BF">
        <w:rPr>
          <w:szCs w:val="26"/>
        </w:rPr>
        <w:lastRenderedPageBreak/>
        <w:t>food security, livelihoods, and built infrastructure if adaptive measures are not integrated into planning.</w:t>
      </w:r>
    </w:p>
    <w:p w14:paraId="32C39BA1" w14:textId="77777777" w:rsidR="005F7853" w:rsidRPr="000876BF" w:rsidRDefault="005F7853" w:rsidP="005F7853">
      <w:pPr>
        <w:rPr>
          <w:szCs w:val="26"/>
        </w:rPr>
      </w:pPr>
      <w:r w:rsidRPr="000876BF">
        <w:rPr>
          <w:szCs w:val="26"/>
        </w:rPr>
        <w:t>Other land-use types—annual cropland (164.03 km²), perennial cropland (63.87 km²), built-up land (55.71 km²), water bodies (138.24 km²), and bare land (30.08 km²)—occupy smaller areas but remain vulnerable due to their socio-economic importance. These findings highlight the need to embed flood risk information into land-use and regional planning frameworks, reinforcing climate-resilient zoning, adaptive infrastructure design, and ecosystem-based land management.</w:t>
      </w:r>
    </w:p>
    <w:p w14:paraId="15362C42" w14:textId="77777777" w:rsidR="005F7853" w:rsidRPr="000876BF" w:rsidRDefault="005F7853" w:rsidP="005F7853">
      <w:pPr>
        <w:rPr>
          <w:szCs w:val="26"/>
        </w:rPr>
      </w:pPr>
      <w:r w:rsidRPr="000876BF">
        <w:rPr>
          <w:szCs w:val="26"/>
        </w:rPr>
        <w:t>Overall, the integrated AHP–SVM–GIS framework not only demonstrates strong predictive performance but also provides a spatial decision-support system for reconciling development and disaster mitigation objectives. This approach offers actionable insights for local authorities to align land-use planning, climate adaptation, and disaster management strategies across Ha Tinh Province.</w:t>
      </w:r>
    </w:p>
    <w:p w14:paraId="0BE8407E" w14:textId="49F1D0A9" w:rsidR="00C926EB" w:rsidRPr="000876BF" w:rsidRDefault="00C926EB" w:rsidP="00B07007">
      <w:pPr>
        <w:pStyle w:val="1"/>
        <w:rPr>
          <w:sz w:val="26"/>
          <w:szCs w:val="26"/>
        </w:rPr>
      </w:pPr>
      <w:r w:rsidRPr="000876BF">
        <w:rPr>
          <w:sz w:val="26"/>
          <w:szCs w:val="26"/>
        </w:rPr>
        <w:t>4. CONCLUSION</w:t>
      </w:r>
    </w:p>
    <w:p w14:paraId="6904AF74" w14:textId="13D2977B" w:rsidR="000876BF" w:rsidRPr="005F492F" w:rsidRDefault="0038645D" w:rsidP="005F492F">
      <w:pPr>
        <w:spacing w:after="0"/>
      </w:pPr>
      <w:r w:rsidRPr="000876BF">
        <w:tab/>
      </w:r>
      <w:r w:rsidR="000876BF" w:rsidRPr="005F492F">
        <w:t>This study developed an integrated AHP–SVM–GIS framework to assess flood risk and evaluate the spatial compatibility of land-use planning in Ha Tinh Province, Vietnam. By combining expert-based weighting (AHP) and data-driven classification (SVM), the framework successfully quantified the complex interactions among topographic, hydrological, and land-use variables, providing a robust and transparent basis for flood susceptibility mapping.</w:t>
      </w:r>
      <w:r w:rsidR="005F492F">
        <w:t xml:space="preserve"> </w:t>
      </w:r>
      <w:r w:rsidR="000876BF" w:rsidRPr="005F492F">
        <w:t>The results indicate that approximately 4,100.65 km² of Ha Tinh’s territory falls under high or very high flood risk, with the most affected land classes being forest land, residential areas, and paddy fields. Overlay analysis with the 2030 land-use plan revealed considerable spatial conflicts, as substantial portions of planned residential and agricultural zones coincide with flood-prone areas. These findings demonstrate that current land-use planning frameworks remain insufficiently aligned with hydro-meteorological risk realities.</w:t>
      </w:r>
      <w:r w:rsidR="005F492F">
        <w:t xml:space="preserve"> </w:t>
      </w:r>
      <w:r w:rsidR="000876BF" w:rsidRPr="005F492F">
        <w:t>From a methodological perspective, the proposed AHP–SVM integration improved the accuracy, consistency, and interpretability of flood hazard mapping compared with traditional AHP-only approaches. This highlights the potential of hybrid GIS–multicriteria–machine learning models to bridge the gap between expert judgment and data analytics in spatial risk assessment.</w:t>
      </w:r>
      <w:r w:rsidR="005F492F">
        <w:t xml:space="preserve"> </w:t>
      </w:r>
      <w:r w:rsidR="000876BF" w:rsidRPr="005F492F">
        <w:t xml:space="preserve">For policy and planning, the study underscores the need to embed disaster risk reduction and climate adaptation measures into land-use decision-making—through stricter control in high-risk zones, restoration of forest ecosystems, and investment in climate-resilient infrastructure. Although the current framework was applied to Ha Tinh, </w:t>
      </w:r>
      <w:r w:rsidR="000876BF" w:rsidRPr="005F492F">
        <w:lastRenderedPageBreak/>
        <w:t>its methodological design is scalable and transferable to other flood-prone regions with comparable data conditions.</w:t>
      </w:r>
    </w:p>
    <w:p w14:paraId="6ADD1823" w14:textId="45BEFE98" w:rsidR="00C926EB" w:rsidRPr="00B364CE" w:rsidRDefault="000876BF" w:rsidP="00B364CE">
      <w:pPr>
        <w:spacing w:after="0"/>
        <w:ind w:firstLine="720"/>
      </w:pPr>
      <w:r w:rsidRPr="005F492F">
        <w:t>Future research should focus on integrating hydrodynamic simulation models, socio-economic vulnerability indicators, and climate projection scenarios, to enhance dynamic flood forecasting and adaptive spatial planning at regional scales.</w:t>
      </w:r>
    </w:p>
    <w:p w14:paraId="2B58208A" w14:textId="535CE6AA" w:rsidR="00C926EB" w:rsidRPr="000876BF" w:rsidRDefault="00C926EB" w:rsidP="00917B0E">
      <w:pPr>
        <w:spacing w:line="276" w:lineRule="auto"/>
        <w:jc w:val="center"/>
        <w:outlineLvl w:val="0"/>
        <w:rPr>
          <w:b/>
          <w:bCs/>
          <w:szCs w:val="26"/>
        </w:rPr>
      </w:pPr>
      <w:r w:rsidRPr="000876BF">
        <w:rPr>
          <w:b/>
          <w:bCs/>
          <w:szCs w:val="26"/>
        </w:rPr>
        <w:t>REFERENCES</w:t>
      </w:r>
    </w:p>
    <w:p w14:paraId="3D8C3029" w14:textId="77777777" w:rsidR="006750B4" w:rsidRPr="006750B4" w:rsidRDefault="006750B4" w:rsidP="00547C4D">
      <w:pPr>
        <w:pStyle w:val="ListParagraph"/>
        <w:numPr>
          <w:ilvl w:val="0"/>
          <w:numId w:val="5"/>
        </w:numPr>
        <w:spacing w:line="276" w:lineRule="auto"/>
        <w:rPr>
          <w:szCs w:val="26"/>
        </w:rPr>
      </w:pPr>
      <w:r w:rsidRPr="006750B4">
        <w:rPr>
          <w:szCs w:val="26"/>
          <w:lang w:val="pt-BR"/>
        </w:rPr>
        <w:t xml:space="preserve">Aguarón, J., &amp; Moreno-Jiménez, J. M. (2003). </w:t>
      </w:r>
      <w:r w:rsidRPr="006750B4">
        <w:rPr>
          <w:szCs w:val="26"/>
        </w:rPr>
        <w:t>The geometric consistency index: Approximated thresholds. </w:t>
      </w:r>
      <w:r w:rsidRPr="006750B4">
        <w:rPr>
          <w:i/>
          <w:iCs/>
          <w:szCs w:val="26"/>
        </w:rPr>
        <w:t>European journal of operational research</w:t>
      </w:r>
      <w:r w:rsidRPr="006750B4">
        <w:rPr>
          <w:szCs w:val="26"/>
        </w:rPr>
        <w:t>, </w:t>
      </w:r>
      <w:r w:rsidRPr="006750B4">
        <w:rPr>
          <w:i/>
          <w:iCs/>
          <w:szCs w:val="26"/>
        </w:rPr>
        <w:t>147</w:t>
      </w:r>
      <w:r w:rsidRPr="006750B4">
        <w:rPr>
          <w:szCs w:val="26"/>
        </w:rPr>
        <w:t>(1), 137-145.</w:t>
      </w:r>
    </w:p>
    <w:p w14:paraId="46207B79" w14:textId="77777777" w:rsidR="006750B4" w:rsidRPr="006750B4" w:rsidRDefault="006750B4" w:rsidP="00547C4D">
      <w:pPr>
        <w:pStyle w:val="ListParagraph"/>
        <w:numPr>
          <w:ilvl w:val="0"/>
          <w:numId w:val="5"/>
        </w:numPr>
        <w:spacing w:line="276" w:lineRule="auto"/>
        <w:rPr>
          <w:szCs w:val="26"/>
        </w:rPr>
      </w:pPr>
      <w:r w:rsidRPr="006750B4">
        <w:rPr>
          <w:szCs w:val="26"/>
          <w:lang w:val="it-IT"/>
        </w:rPr>
        <w:t xml:space="preserve">Al-Kindi, K. M., &amp; Alabri, Z. (2024). </w:t>
      </w:r>
      <w:r w:rsidRPr="006750B4">
        <w:rPr>
          <w:szCs w:val="26"/>
        </w:rPr>
        <w:t>Investigating the role of the key conditioning factors in flood susceptibility mapping through machine learning approaches. </w:t>
      </w:r>
      <w:r w:rsidRPr="006750B4">
        <w:rPr>
          <w:i/>
          <w:iCs/>
          <w:szCs w:val="26"/>
        </w:rPr>
        <w:t>Earth Systems and Environment</w:t>
      </w:r>
      <w:r w:rsidRPr="006750B4">
        <w:rPr>
          <w:szCs w:val="26"/>
        </w:rPr>
        <w:t>, </w:t>
      </w:r>
      <w:r w:rsidRPr="006750B4">
        <w:rPr>
          <w:i/>
          <w:iCs/>
          <w:szCs w:val="26"/>
        </w:rPr>
        <w:t>8</w:t>
      </w:r>
      <w:r w:rsidRPr="006750B4">
        <w:rPr>
          <w:szCs w:val="26"/>
        </w:rPr>
        <w:t>(1), 63-81. https://doi.org/10.1007/s41748-023-00369-7.</w:t>
      </w:r>
    </w:p>
    <w:p w14:paraId="672D9DFB" w14:textId="77777777" w:rsidR="006750B4" w:rsidRPr="006750B4" w:rsidRDefault="006750B4" w:rsidP="00547C4D">
      <w:pPr>
        <w:pStyle w:val="ListParagraph"/>
        <w:numPr>
          <w:ilvl w:val="0"/>
          <w:numId w:val="5"/>
        </w:numPr>
        <w:spacing w:line="276" w:lineRule="auto"/>
        <w:rPr>
          <w:szCs w:val="26"/>
        </w:rPr>
      </w:pPr>
      <w:r w:rsidRPr="006750B4">
        <w:rPr>
          <w:szCs w:val="26"/>
        </w:rPr>
        <w:t>Amatebelle, C. E., Owolabi, S. T., Ogundeji, A. A., &amp; Okolie, C. C. (2025). A systematic analysis of remote sensing and geographic information system applications for flood disaster risk management. </w:t>
      </w:r>
      <w:r w:rsidRPr="006750B4">
        <w:rPr>
          <w:i/>
          <w:iCs/>
          <w:szCs w:val="26"/>
        </w:rPr>
        <w:t>Journal of Spatial Science</w:t>
      </w:r>
      <w:r w:rsidRPr="006750B4">
        <w:rPr>
          <w:szCs w:val="26"/>
        </w:rPr>
        <w:t xml:space="preserve">, 1-27. https://doi.org/10.1080/14498596.2025.2476973. </w:t>
      </w:r>
    </w:p>
    <w:p w14:paraId="5C129BE5" w14:textId="77777777" w:rsidR="006750B4" w:rsidRPr="006750B4" w:rsidRDefault="006750B4" w:rsidP="00B364CE">
      <w:pPr>
        <w:pStyle w:val="ListParagraph"/>
        <w:numPr>
          <w:ilvl w:val="0"/>
          <w:numId w:val="5"/>
        </w:numPr>
        <w:spacing w:after="0" w:line="276" w:lineRule="auto"/>
        <w:ind w:left="714" w:hanging="357"/>
        <w:rPr>
          <w:szCs w:val="26"/>
        </w:rPr>
      </w:pPr>
      <w:r w:rsidRPr="006750B4">
        <w:rPr>
          <w:szCs w:val="26"/>
        </w:rPr>
        <w:t xml:space="preserve">Antzoulatos, G., Kouloglou, I.-O., Bakratsas, M., Moumtzidou, A., Gialampoukidis, I., Karakostas, A., … Kompatsiaris, I. (2022). Flood hazard and risk mapping by applying an explainable machine-learning framework using satellite imagery and GIS data. </w:t>
      </w:r>
      <w:r w:rsidRPr="006750B4">
        <w:rPr>
          <w:i/>
          <w:iCs/>
          <w:szCs w:val="26"/>
        </w:rPr>
        <w:t>Sustainability, 14</w:t>
      </w:r>
      <w:r w:rsidRPr="006750B4">
        <w:rPr>
          <w:szCs w:val="26"/>
        </w:rPr>
        <w:t xml:space="preserve">(6), 3251. </w:t>
      </w:r>
      <w:hyperlink r:id="rId19" w:tgtFrame="_new" w:history="1">
        <w:r w:rsidRPr="006750B4">
          <w:rPr>
            <w:szCs w:val="26"/>
          </w:rPr>
          <w:t>https://doi.org/10.3390/su14063251</w:t>
        </w:r>
      </w:hyperlink>
    </w:p>
    <w:p w14:paraId="50F387BE" w14:textId="77777777" w:rsidR="006750B4" w:rsidRPr="006750B4" w:rsidRDefault="006750B4" w:rsidP="00B364CE">
      <w:pPr>
        <w:pStyle w:val="NormalWeb"/>
        <w:numPr>
          <w:ilvl w:val="0"/>
          <w:numId w:val="5"/>
        </w:numPr>
        <w:jc w:val="both"/>
        <w:rPr>
          <w:sz w:val="26"/>
          <w:szCs w:val="26"/>
        </w:rPr>
      </w:pPr>
      <w:r w:rsidRPr="00B364CE">
        <w:rPr>
          <w:rFonts w:eastAsiaTheme="majorEastAsia"/>
          <w:sz w:val="26"/>
          <w:szCs w:val="26"/>
        </w:rPr>
        <w:t>Antzoulatos, G., Kouloglou, I.-O., Bakratsas, M., Moumtzidou, A., Gialampoukidis, I., Karakostas, A., … Kompatsiaris, I. (2022).</w:t>
      </w:r>
      <w:r w:rsidRPr="006750B4">
        <w:rPr>
          <w:sz w:val="26"/>
          <w:szCs w:val="26"/>
        </w:rPr>
        <w:br/>
      </w:r>
      <w:r w:rsidRPr="006750B4">
        <w:rPr>
          <w:i/>
          <w:iCs/>
          <w:sz w:val="26"/>
          <w:szCs w:val="26"/>
        </w:rPr>
        <w:t>Flood hazard and risk mapping by applying an explainable machine-learning framework using satellite imagery and GIS data.</w:t>
      </w:r>
      <w:r w:rsidRPr="006750B4">
        <w:rPr>
          <w:sz w:val="26"/>
          <w:szCs w:val="26"/>
        </w:rPr>
        <w:t xml:space="preserve"> </w:t>
      </w:r>
      <w:r w:rsidRPr="00B364CE">
        <w:rPr>
          <w:rFonts w:eastAsiaTheme="majorEastAsia"/>
          <w:sz w:val="26"/>
          <w:szCs w:val="26"/>
        </w:rPr>
        <w:t>Sustainability, 14</w:t>
      </w:r>
      <w:r w:rsidRPr="006750B4">
        <w:rPr>
          <w:sz w:val="26"/>
          <w:szCs w:val="26"/>
        </w:rPr>
        <w:t xml:space="preserve">(6), 3251. </w:t>
      </w:r>
      <w:hyperlink r:id="rId20" w:tgtFrame="_new" w:history="1">
        <w:r w:rsidRPr="006750B4">
          <w:rPr>
            <w:rFonts w:eastAsiaTheme="majorEastAsia"/>
            <w:sz w:val="26"/>
            <w:szCs w:val="26"/>
          </w:rPr>
          <w:t>https://doi.org/10.3390/su14063251</w:t>
        </w:r>
      </w:hyperlink>
    </w:p>
    <w:p w14:paraId="29AB5EEA" w14:textId="77777777" w:rsidR="006750B4" w:rsidRPr="006750B4" w:rsidRDefault="006750B4" w:rsidP="00B364CE">
      <w:pPr>
        <w:pStyle w:val="NormalWeb"/>
        <w:numPr>
          <w:ilvl w:val="0"/>
          <w:numId w:val="5"/>
        </w:numPr>
        <w:jc w:val="both"/>
        <w:rPr>
          <w:sz w:val="26"/>
          <w:szCs w:val="26"/>
        </w:rPr>
      </w:pPr>
      <w:r w:rsidRPr="006750B4">
        <w:rPr>
          <w:sz w:val="26"/>
          <w:szCs w:val="26"/>
        </w:rPr>
        <w:t xml:space="preserve">Antzoulatos, G., Kouloglou, I.-O., Bakratsas, M., Moumtzidou, A., Gialampoukidis, I., Karakostas, A., &amp; Kompatsiaris, I. (2022). </w:t>
      </w:r>
      <w:r w:rsidRPr="006750B4">
        <w:rPr>
          <w:rStyle w:val="Emphasis"/>
          <w:rFonts w:eastAsiaTheme="majorEastAsia"/>
          <w:sz w:val="26"/>
          <w:szCs w:val="26"/>
        </w:rPr>
        <w:t>Flood hazard and risk mapping by applying an explainable machine-learning framework using satellite imagery and GIS data.</w:t>
      </w:r>
      <w:r w:rsidRPr="006750B4">
        <w:rPr>
          <w:sz w:val="26"/>
          <w:szCs w:val="26"/>
        </w:rPr>
        <w:t xml:space="preserve"> </w:t>
      </w:r>
      <w:r w:rsidRPr="00B364CE">
        <w:rPr>
          <w:rStyle w:val="Strong"/>
          <w:b w:val="0"/>
          <w:bCs w:val="0"/>
          <w:sz w:val="26"/>
          <w:szCs w:val="26"/>
        </w:rPr>
        <w:t>Sustainability, 14</w:t>
      </w:r>
      <w:r w:rsidRPr="006750B4">
        <w:rPr>
          <w:sz w:val="26"/>
          <w:szCs w:val="26"/>
        </w:rPr>
        <w:t>(6), 3251.</w:t>
      </w:r>
    </w:p>
    <w:p w14:paraId="2E64F726" w14:textId="77777777" w:rsidR="006750B4" w:rsidRPr="006750B4" w:rsidRDefault="006750B4" w:rsidP="00B364CE">
      <w:pPr>
        <w:pStyle w:val="NormalWeb"/>
        <w:numPr>
          <w:ilvl w:val="0"/>
          <w:numId w:val="5"/>
        </w:numPr>
        <w:jc w:val="both"/>
        <w:rPr>
          <w:sz w:val="26"/>
          <w:szCs w:val="26"/>
        </w:rPr>
      </w:pPr>
      <w:r w:rsidRPr="006750B4">
        <w:rPr>
          <w:rFonts w:eastAsiaTheme="majorEastAsia"/>
          <w:sz w:val="26"/>
          <w:szCs w:val="26"/>
        </w:rPr>
        <w:t>Arora, A., Purna Durga, G., Pandey, M., &amp; Arabameri, A. (2025).</w:t>
      </w:r>
      <w:r w:rsidRPr="006750B4">
        <w:rPr>
          <w:sz w:val="26"/>
          <w:szCs w:val="26"/>
        </w:rPr>
        <w:t xml:space="preserve"> </w:t>
      </w:r>
      <w:r w:rsidRPr="006750B4">
        <w:rPr>
          <w:i/>
          <w:iCs/>
          <w:sz w:val="26"/>
          <w:szCs w:val="26"/>
        </w:rPr>
        <w:t>Machine learning model optimization for flood susceptibility zonation over the Kosi megafan, Himalayan foreland basin, India.</w:t>
      </w:r>
      <w:r w:rsidRPr="006750B4">
        <w:rPr>
          <w:sz w:val="26"/>
          <w:szCs w:val="26"/>
        </w:rPr>
        <w:t xml:space="preserve"> </w:t>
      </w:r>
      <w:r w:rsidRPr="006750B4">
        <w:rPr>
          <w:rFonts w:eastAsiaTheme="majorEastAsia"/>
          <w:sz w:val="26"/>
          <w:szCs w:val="26"/>
        </w:rPr>
        <w:t>Scientific Reports</w:t>
      </w:r>
      <w:r w:rsidRPr="006750B4">
        <w:rPr>
          <w:sz w:val="26"/>
          <w:szCs w:val="26"/>
        </w:rPr>
        <w:t xml:space="preserve">, 15, 32757. </w:t>
      </w:r>
      <w:hyperlink r:id="rId21" w:history="1">
        <w:r w:rsidRPr="006750B4">
          <w:rPr>
            <w:sz w:val="26"/>
            <w:szCs w:val="26"/>
          </w:rPr>
          <w:t>https://doi.org/10.1038/s41598-025-07403-w</w:t>
        </w:r>
      </w:hyperlink>
    </w:p>
    <w:p w14:paraId="726A32DC" w14:textId="77777777" w:rsidR="006750B4" w:rsidRPr="006750B4" w:rsidRDefault="006750B4" w:rsidP="00B364CE">
      <w:pPr>
        <w:pStyle w:val="NormalWeb"/>
        <w:numPr>
          <w:ilvl w:val="0"/>
          <w:numId w:val="5"/>
        </w:numPr>
        <w:jc w:val="both"/>
        <w:rPr>
          <w:sz w:val="26"/>
          <w:szCs w:val="26"/>
        </w:rPr>
      </w:pPr>
      <w:r w:rsidRPr="006750B4">
        <w:rPr>
          <w:sz w:val="26"/>
          <w:szCs w:val="26"/>
          <w:lang w:val="it-IT"/>
        </w:rPr>
        <w:t xml:space="preserve">Bojer, A. K., Abshare, M. W., Mesfin, F., &amp; Al-Quraishi, A. M. F. (2025). </w:t>
      </w:r>
      <w:r w:rsidRPr="006750B4">
        <w:rPr>
          <w:sz w:val="26"/>
          <w:szCs w:val="26"/>
        </w:rPr>
        <w:t>Assessing climate and land use impacts on surface water yield using remote sensing and machine learning. </w:t>
      </w:r>
      <w:r w:rsidRPr="006750B4">
        <w:rPr>
          <w:i/>
          <w:iCs/>
          <w:sz w:val="26"/>
          <w:szCs w:val="26"/>
        </w:rPr>
        <w:t>Scientific Reports</w:t>
      </w:r>
      <w:r w:rsidRPr="006750B4">
        <w:rPr>
          <w:sz w:val="26"/>
          <w:szCs w:val="26"/>
        </w:rPr>
        <w:t>, </w:t>
      </w:r>
      <w:r w:rsidRPr="006750B4">
        <w:rPr>
          <w:i/>
          <w:iCs/>
          <w:sz w:val="26"/>
          <w:szCs w:val="26"/>
        </w:rPr>
        <w:t>15</w:t>
      </w:r>
      <w:r w:rsidRPr="006750B4">
        <w:rPr>
          <w:sz w:val="26"/>
          <w:szCs w:val="26"/>
        </w:rPr>
        <w:t>(1), 18477. https://doi.org/10.1038/s41598-025-03493-8.</w:t>
      </w:r>
    </w:p>
    <w:p w14:paraId="6F2E1BC1" w14:textId="77777777" w:rsidR="006750B4" w:rsidRPr="006750B4" w:rsidRDefault="006750B4" w:rsidP="00B364CE">
      <w:pPr>
        <w:pStyle w:val="NormalWeb"/>
        <w:numPr>
          <w:ilvl w:val="0"/>
          <w:numId w:val="5"/>
        </w:numPr>
        <w:jc w:val="both"/>
        <w:rPr>
          <w:sz w:val="26"/>
          <w:szCs w:val="26"/>
        </w:rPr>
      </w:pPr>
      <w:r w:rsidRPr="006750B4">
        <w:rPr>
          <w:sz w:val="26"/>
          <w:szCs w:val="26"/>
        </w:rPr>
        <w:t xml:space="preserve">Congalton, R. G. (1991). A review of assessing the accuracy of classifications of remotely sensed data. </w:t>
      </w:r>
      <w:r w:rsidRPr="006750B4">
        <w:rPr>
          <w:rStyle w:val="Emphasis"/>
          <w:rFonts w:eastAsiaTheme="majorEastAsia"/>
          <w:sz w:val="26"/>
          <w:szCs w:val="26"/>
        </w:rPr>
        <w:t>Remote Sensing of Environment, 37</w:t>
      </w:r>
      <w:r w:rsidRPr="006750B4">
        <w:rPr>
          <w:sz w:val="26"/>
          <w:szCs w:val="26"/>
        </w:rPr>
        <w:t>(1), 35–46. https://doi.org/10.1016/0034-4257(91)90048-B</w:t>
      </w:r>
    </w:p>
    <w:p w14:paraId="56EBA270" w14:textId="7561F8CE" w:rsidR="006750B4" w:rsidRPr="00B71C42" w:rsidRDefault="006750B4" w:rsidP="00B364CE">
      <w:pPr>
        <w:pStyle w:val="NormalWeb"/>
        <w:numPr>
          <w:ilvl w:val="0"/>
          <w:numId w:val="5"/>
        </w:numPr>
        <w:jc w:val="both"/>
        <w:rPr>
          <w:szCs w:val="26"/>
        </w:rPr>
      </w:pPr>
      <w:r w:rsidRPr="00B71C42">
        <w:rPr>
          <w:rFonts w:eastAsiaTheme="majorEastAsia"/>
          <w:sz w:val="26"/>
          <w:szCs w:val="26"/>
        </w:rPr>
        <w:lastRenderedPageBreak/>
        <w:t>Dang, T. T., Nguyen, H. T., &amp; Pham, M. Q. (2022).</w:t>
      </w:r>
      <w:r w:rsidR="00B71C42">
        <w:rPr>
          <w:b/>
          <w:bCs/>
          <w:szCs w:val="26"/>
        </w:rPr>
        <w:t xml:space="preserve"> </w:t>
      </w:r>
      <w:r w:rsidRPr="00B71C42">
        <w:rPr>
          <w:i/>
          <w:iCs/>
          <w:szCs w:val="26"/>
        </w:rPr>
        <w:t>Rainfall variability and flood regime in north-central Vietnam under climate change scenarios.</w:t>
      </w:r>
      <w:r w:rsidRPr="00B71C42">
        <w:rPr>
          <w:szCs w:val="26"/>
        </w:rPr>
        <w:t xml:space="preserve"> </w:t>
      </w:r>
      <w:r w:rsidRPr="00B71C42">
        <w:rPr>
          <w:rFonts w:eastAsiaTheme="majorEastAsia"/>
          <w:szCs w:val="26"/>
        </w:rPr>
        <w:t>Journal of Hydrology: Regional Studies, 43</w:t>
      </w:r>
      <w:r w:rsidRPr="00B71C42">
        <w:rPr>
          <w:szCs w:val="26"/>
        </w:rPr>
        <w:t>, 101147. https://doi.org/10.1016/j.ejrh.2022.101147</w:t>
      </w:r>
    </w:p>
    <w:p w14:paraId="28C38F1C" w14:textId="4A92ECB3" w:rsidR="006750B4" w:rsidRPr="006750B4" w:rsidRDefault="006750B4" w:rsidP="00B364CE">
      <w:pPr>
        <w:pStyle w:val="NormalWeb"/>
        <w:numPr>
          <w:ilvl w:val="0"/>
          <w:numId w:val="5"/>
        </w:numPr>
        <w:jc w:val="both"/>
        <w:rPr>
          <w:sz w:val="26"/>
          <w:szCs w:val="26"/>
        </w:rPr>
      </w:pPr>
      <w:r w:rsidRPr="006750B4">
        <w:rPr>
          <w:sz w:val="26"/>
          <w:szCs w:val="26"/>
          <w:lang w:val="it-IT"/>
        </w:rPr>
        <w:t xml:space="preserve">Dano Umar, L., Matori, A. N., Hashim, A. M., Chandio, I. A., Sabri, S., Balogun, A. L., &amp; Abba, H. A. (2011). </w:t>
      </w:r>
      <w:r w:rsidRPr="006750B4">
        <w:rPr>
          <w:sz w:val="26"/>
          <w:szCs w:val="26"/>
        </w:rPr>
        <w:t>Geographic information system and remote sensing applications in flood hazards management: A review. </w:t>
      </w:r>
      <w:r w:rsidRPr="006750B4">
        <w:rPr>
          <w:i/>
          <w:iCs/>
          <w:sz w:val="26"/>
          <w:szCs w:val="26"/>
        </w:rPr>
        <w:t>Research Journal of Applied Sciences, Engineering and Technology</w:t>
      </w:r>
      <w:r w:rsidRPr="006750B4">
        <w:rPr>
          <w:sz w:val="26"/>
          <w:szCs w:val="26"/>
        </w:rPr>
        <w:t>, </w:t>
      </w:r>
      <w:r w:rsidRPr="006750B4">
        <w:rPr>
          <w:i/>
          <w:iCs/>
          <w:sz w:val="26"/>
          <w:szCs w:val="26"/>
        </w:rPr>
        <w:t>3</w:t>
      </w:r>
      <w:r w:rsidRPr="006750B4">
        <w:rPr>
          <w:sz w:val="26"/>
          <w:szCs w:val="26"/>
        </w:rPr>
        <w:t>(9), 933-947</w:t>
      </w:r>
    </w:p>
    <w:p w14:paraId="7155F8A4" w14:textId="77777777" w:rsidR="006750B4" w:rsidRPr="006750B4" w:rsidRDefault="006750B4" w:rsidP="00B364CE">
      <w:pPr>
        <w:pStyle w:val="NormalWeb"/>
        <w:numPr>
          <w:ilvl w:val="0"/>
          <w:numId w:val="5"/>
        </w:numPr>
        <w:jc w:val="both"/>
        <w:rPr>
          <w:sz w:val="26"/>
          <w:szCs w:val="26"/>
        </w:rPr>
      </w:pPr>
      <w:r w:rsidRPr="006750B4">
        <w:rPr>
          <w:sz w:val="26"/>
          <w:szCs w:val="26"/>
        </w:rPr>
        <w:t xml:space="preserve">Foody, G. M. (2002). Status of land-cover classification accuracy assessment. </w:t>
      </w:r>
      <w:r w:rsidRPr="006750B4">
        <w:rPr>
          <w:rStyle w:val="Emphasis"/>
          <w:rFonts w:eastAsiaTheme="majorEastAsia"/>
          <w:sz w:val="26"/>
          <w:szCs w:val="26"/>
        </w:rPr>
        <w:t>Remote Sensing of Environment, 80</w:t>
      </w:r>
      <w:r w:rsidRPr="006750B4">
        <w:rPr>
          <w:sz w:val="26"/>
          <w:szCs w:val="26"/>
        </w:rPr>
        <w:t>(1), 185–201. https://doi.org/10.1016/S0034-4257(01)00295-4</w:t>
      </w:r>
    </w:p>
    <w:p w14:paraId="0A3092C2" w14:textId="77777777" w:rsidR="006750B4" w:rsidRPr="006750B4" w:rsidRDefault="006750B4" w:rsidP="00B364CE">
      <w:pPr>
        <w:pStyle w:val="ListParagraph"/>
        <w:numPr>
          <w:ilvl w:val="0"/>
          <w:numId w:val="5"/>
        </w:numPr>
        <w:spacing w:line="276" w:lineRule="auto"/>
        <w:rPr>
          <w:szCs w:val="26"/>
        </w:rPr>
      </w:pPr>
      <w:r w:rsidRPr="006750B4">
        <w:rPr>
          <w:szCs w:val="26"/>
        </w:rPr>
        <w:t xml:space="preserve">Funk, Chris, Pete Peterson, Martin Landsfeld, Diego Pedreros, James Verdin, Shraddhanand Shukla, Gregory Husak, James Rowland, Laura Harrison, Andrew Hoell &amp; Joel Michaelsen. (2015). The climate hazards infrared precipitation with stations-a new environmental record for monitoring extremes. </w:t>
      </w:r>
      <w:r w:rsidRPr="006750B4">
        <w:rPr>
          <w:i/>
          <w:iCs/>
          <w:szCs w:val="26"/>
        </w:rPr>
        <w:t>Scientific Data 2,</w:t>
      </w:r>
      <w:r w:rsidRPr="006750B4">
        <w:rPr>
          <w:szCs w:val="26"/>
        </w:rPr>
        <w:t xml:space="preserve"> 150066. doi:10.1038/sdata.2015.66 2015.</w:t>
      </w:r>
    </w:p>
    <w:p w14:paraId="047AD49A" w14:textId="77777777" w:rsidR="006750B4" w:rsidRPr="006750B4" w:rsidRDefault="006750B4" w:rsidP="00547C4D">
      <w:pPr>
        <w:pStyle w:val="ListParagraph"/>
        <w:numPr>
          <w:ilvl w:val="0"/>
          <w:numId w:val="5"/>
        </w:numPr>
        <w:spacing w:line="276" w:lineRule="auto"/>
        <w:rPr>
          <w:szCs w:val="26"/>
        </w:rPr>
      </w:pPr>
      <w:r w:rsidRPr="006750B4">
        <w:rPr>
          <w:szCs w:val="26"/>
          <w:lang w:val="sv-SE"/>
        </w:rPr>
        <w:t xml:space="preserve">Ghosh, A., &amp; Kar, S. K. (2018). </w:t>
      </w:r>
      <w:r w:rsidRPr="006750B4">
        <w:rPr>
          <w:szCs w:val="26"/>
        </w:rPr>
        <w:t>Application of analytical hierarchy process (AHP) for flood risk assessment: a case study in Malda district of West Bengal, India. </w:t>
      </w:r>
      <w:r w:rsidRPr="006750B4">
        <w:rPr>
          <w:i/>
          <w:iCs/>
          <w:szCs w:val="26"/>
        </w:rPr>
        <w:t>Natural Hazards</w:t>
      </w:r>
      <w:r w:rsidRPr="006750B4">
        <w:rPr>
          <w:szCs w:val="26"/>
        </w:rPr>
        <w:t>, </w:t>
      </w:r>
      <w:r w:rsidRPr="006750B4">
        <w:rPr>
          <w:i/>
          <w:iCs/>
          <w:szCs w:val="26"/>
        </w:rPr>
        <w:t>94</w:t>
      </w:r>
      <w:r w:rsidRPr="006750B4">
        <w:rPr>
          <w:szCs w:val="26"/>
        </w:rPr>
        <w:t>(1), 349-368. https://doi.org/10.1007/s11069-018-3392-y.</w:t>
      </w:r>
    </w:p>
    <w:p w14:paraId="773ACD4B" w14:textId="77777777" w:rsidR="006750B4" w:rsidRPr="006750B4" w:rsidRDefault="006750B4" w:rsidP="00547C4D">
      <w:pPr>
        <w:pStyle w:val="ListParagraph"/>
        <w:numPr>
          <w:ilvl w:val="0"/>
          <w:numId w:val="5"/>
        </w:numPr>
        <w:spacing w:line="276" w:lineRule="auto"/>
        <w:rPr>
          <w:szCs w:val="26"/>
        </w:rPr>
      </w:pPr>
      <w:r w:rsidRPr="006750B4">
        <w:rPr>
          <w:szCs w:val="26"/>
        </w:rPr>
        <w:t>Glago, F. J. (2021). Flood disaster hazards; causes, impacts and management: a state-of-the-art review. </w:t>
      </w:r>
      <w:r w:rsidRPr="006750B4">
        <w:rPr>
          <w:i/>
          <w:iCs/>
          <w:szCs w:val="26"/>
        </w:rPr>
        <w:t>Natural hazards-impacts, adjustments and resilience</w:t>
      </w:r>
      <w:r w:rsidRPr="006750B4">
        <w:rPr>
          <w:szCs w:val="26"/>
        </w:rPr>
        <w:t>. doi: 10.5772/intechopen.95048.</w:t>
      </w:r>
    </w:p>
    <w:p w14:paraId="25E29CAD" w14:textId="77777777" w:rsidR="006750B4" w:rsidRPr="006750B4" w:rsidRDefault="006750B4" w:rsidP="00547C4D">
      <w:pPr>
        <w:pStyle w:val="ListParagraph"/>
        <w:numPr>
          <w:ilvl w:val="0"/>
          <w:numId w:val="5"/>
        </w:numPr>
        <w:spacing w:line="276" w:lineRule="auto"/>
        <w:rPr>
          <w:szCs w:val="26"/>
        </w:rPr>
      </w:pPr>
      <w:r w:rsidRPr="006750B4">
        <w:rPr>
          <w:szCs w:val="26"/>
        </w:rPr>
        <w:t xml:space="preserve">Goodess, C. M. (2013). How is the frequency, location and severity of extreme events likely to change up to </w:t>
      </w:r>
      <w:proofErr w:type="gramStart"/>
      <w:r w:rsidRPr="006750B4">
        <w:rPr>
          <w:szCs w:val="26"/>
        </w:rPr>
        <w:t>2060?.</w:t>
      </w:r>
      <w:proofErr w:type="gramEnd"/>
      <w:r w:rsidRPr="006750B4">
        <w:rPr>
          <w:szCs w:val="26"/>
        </w:rPr>
        <w:t> </w:t>
      </w:r>
      <w:r w:rsidRPr="006750B4">
        <w:rPr>
          <w:i/>
          <w:iCs/>
          <w:szCs w:val="26"/>
        </w:rPr>
        <w:t>Environmental science &amp; policy</w:t>
      </w:r>
      <w:r w:rsidRPr="006750B4">
        <w:rPr>
          <w:szCs w:val="26"/>
        </w:rPr>
        <w:t>, </w:t>
      </w:r>
      <w:r w:rsidRPr="006750B4">
        <w:rPr>
          <w:i/>
          <w:iCs/>
          <w:szCs w:val="26"/>
        </w:rPr>
        <w:t>27</w:t>
      </w:r>
      <w:r w:rsidRPr="006750B4">
        <w:rPr>
          <w:szCs w:val="26"/>
        </w:rPr>
        <w:t>, S4-S14. https://doi.org/10.1016/j.envsci.2012.04.001.</w:t>
      </w:r>
    </w:p>
    <w:p w14:paraId="01A15804" w14:textId="77777777" w:rsidR="006750B4" w:rsidRPr="006750B4" w:rsidRDefault="006750B4" w:rsidP="00547C4D">
      <w:pPr>
        <w:pStyle w:val="ListParagraph"/>
        <w:numPr>
          <w:ilvl w:val="0"/>
          <w:numId w:val="5"/>
        </w:numPr>
        <w:spacing w:line="276" w:lineRule="auto"/>
        <w:rPr>
          <w:szCs w:val="26"/>
        </w:rPr>
      </w:pPr>
      <w:r w:rsidRPr="006750B4">
        <w:rPr>
          <w:szCs w:val="26"/>
        </w:rPr>
        <w:t>Goumghar, L., Fri, R., Hajaj, S., Taia, S., &amp; El Mansouri, B. (2025). Integrating geospatial data and analytic hierarchy process for flood-prone zones mapping in the Upper Draa basin, Morocco. </w:t>
      </w:r>
      <w:r w:rsidRPr="006750B4">
        <w:rPr>
          <w:i/>
          <w:iCs/>
          <w:szCs w:val="26"/>
        </w:rPr>
        <w:t>Ecological Engineering &amp; Environmental Technology (EEET)</w:t>
      </w:r>
      <w:r w:rsidRPr="006750B4">
        <w:rPr>
          <w:szCs w:val="26"/>
        </w:rPr>
        <w:t>, </w:t>
      </w:r>
      <w:r w:rsidRPr="006750B4">
        <w:rPr>
          <w:i/>
          <w:iCs/>
          <w:szCs w:val="26"/>
        </w:rPr>
        <w:t>26</w:t>
      </w:r>
      <w:r w:rsidRPr="006750B4">
        <w:rPr>
          <w:szCs w:val="26"/>
        </w:rPr>
        <w:t>(4). https://doi.org/10.12912/27197050/201160.</w:t>
      </w:r>
    </w:p>
    <w:p w14:paraId="25BA49A7" w14:textId="77777777" w:rsidR="006750B4" w:rsidRPr="006750B4" w:rsidRDefault="006750B4" w:rsidP="004425C4">
      <w:pPr>
        <w:pStyle w:val="ListParagraph"/>
        <w:numPr>
          <w:ilvl w:val="0"/>
          <w:numId w:val="5"/>
        </w:numPr>
        <w:spacing w:line="276" w:lineRule="auto"/>
        <w:rPr>
          <w:szCs w:val="26"/>
        </w:rPr>
      </w:pPr>
      <w:r w:rsidRPr="006750B4">
        <w:rPr>
          <w:rStyle w:val="Strong"/>
          <w:b w:val="0"/>
          <w:bCs w:val="0"/>
          <w:szCs w:val="26"/>
        </w:rPr>
        <w:t>GSO. (2024).</w:t>
      </w:r>
      <w:r w:rsidRPr="006750B4">
        <w:rPr>
          <w:szCs w:val="26"/>
        </w:rPr>
        <w:t xml:space="preserve"> </w:t>
      </w:r>
      <w:r w:rsidRPr="006750B4">
        <w:rPr>
          <w:rStyle w:val="Emphasis"/>
          <w:szCs w:val="26"/>
        </w:rPr>
        <w:t>Statistical Yearbook of Vietnam 2024.</w:t>
      </w:r>
      <w:r w:rsidRPr="006750B4">
        <w:rPr>
          <w:szCs w:val="26"/>
        </w:rPr>
        <w:t xml:space="preserve"> General Statistics Office, Statistical Publishing House, Hanoi.</w:t>
      </w:r>
    </w:p>
    <w:p w14:paraId="76A847FC" w14:textId="77777777" w:rsidR="006750B4" w:rsidRPr="006750B4" w:rsidRDefault="006750B4" w:rsidP="00547C4D">
      <w:pPr>
        <w:pStyle w:val="ListParagraph"/>
        <w:numPr>
          <w:ilvl w:val="0"/>
          <w:numId w:val="5"/>
        </w:numPr>
        <w:spacing w:line="276" w:lineRule="auto"/>
        <w:rPr>
          <w:szCs w:val="26"/>
        </w:rPr>
      </w:pPr>
      <w:r w:rsidRPr="006750B4">
        <w:rPr>
          <w:szCs w:val="26"/>
          <w:lang w:val="sv-SE"/>
        </w:rPr>
        <w:t xml:space="preserve">Gu, X., Zhang, Q., Li, J., Chen, D., Singh, V. P., Zhang, Y. &amp; Yu, H. (2020). </w:t>
      </w:r>
      <w:r w:rsidRPr="006750B4">
        <w:rPr>
          <w:szCs w:val="26"/>
        </w:rPr>
        <w:t>Impacts of anthropogenic warming and uneven regional socio-economic development on global river flood risk. </w:t>
      </w:r>
      <w:r w:rsidRPr="006750B4">
        <w:rPr>
          <w:i/>
          <w:iCs/>
          <w:szCs w:val="26"/>
        </w:rPr>
        <w:t>Journal of Hydrology</w:t>
      </w:r>
      <w:r w:rsidRPr="006750B4">
        <w:rPr>
          <w:szCs w:val="26"/>
        </w:rPr>
        <w:t>, </w:t>
      </w:r>
      <w:r w:rsidRPr="006750B4">
        <w:rPr>
          <w:i/>
          <w:iCs/>
          <w:szCs w:val="26"/>
        </w:rPr>
        <w:t>590</w:t>
      </w:r>
      <w:r w:rsidRPr="006750B4">
        <w:rPr>
          <w:szCs w:val="26"/>
        </w:rPr>
        <w:t>, 125262. https://doi.org/10.1016/j.jhydrol.2020.125262.</w:t>
      </w:r>
    </w:p>
    <w:p w14:paraId="30DE7C5B" w14:textId="77777777" w:rsidR="006750B4" w:rsidRPr="006750B4" w:rsidRDefault="006750B4" w:rsidP="00547C4D">
      <w:pPr>
        <w:pStyle w:val="ListParagraph"/>
        <w:numPr>
          <w:ilvl w:val="0"/>
          <w:numId w:val="5"/>
        </w:numPr>
        <w:spacing w:line="276" w:lineRule="auto"/>
        <w:rPr>
          <w:szCs w:val="26"/>
        </w:rPr>
      </w:pPr>
      <w:r w:rsidRPr="006750B4">
        <w:rPr>
          <w:szCs w:val="26"/>
        </w:rPr>
        <w:t>Hashim, F., Dibs, H., &amp; Jaber, H. S. (2021, July). Applying support vector machine algorithm on multispectral remotely sensed satellite image for geospatial analysis. In </w:t>
      </w:r>
      <w:r w:rsidRPr="006750B4">
        <w:rPr>
          <w:i/>
          <w:iCs/>
          <w:szCs w:val="26"/>
        </w:rPr>
        <w:t>Journal of Physics: Conference Series</w:t>
      </w:r>
      <w:r w:rsidRPr="006750B4">
        <w:rPr>
          <w:szCs w:val="26"/>
        </w:rPr>
        <w:t> (Vol. 1963, No. 1, p. 012110). IOP Publishing. DOI: 10.1088/1742-6596/1963/1/012110.</w:t>
      </w:r>
    </w:p>
    <w:p w14:paraId="62557D35" w14:textId="77777777" w:rsidR="006750B4" w:rsidRPr="006750B4" w:rsidRDefault="006750B4" w:rsidP="00957BDD">
      <w:pPr>
        <w:pStyle w:val="ListParagraph"/>
        <w:numPr>
          <w:ilvl w:val="0"/>
          <w:numId w:val="5"/>
        </w:numPr>
        <w:spacing w:line="276" w:lineRule="auto"/>
        <w:rPr>
          <w:szCs w:val="26"/>
        </w:rPr>
      </w:pPr>
      <w:r w:rsidRPr="006750B4">
        <w:rPr>
          <w:szCs w:val="26"/>
        </w:rPr>
        <w:t xml:space="preserve">He, F., Liu, S., Mo, X., &amp; Wang, Z. (2025). </w:t>
      </w:r>
      <w:r w:rsidRPr="006750B4">
        <w:rPr>
          <w:i/>
          <w:iCs/>
          <w:szCs w:val="26"/>
        </w:rPr>
        <w:t>Interpretable flash flood susceptibility mapping in the Yarlung Tsangpo River Basin using H2O Auto-ML.</w:t>
      </w:r>
      <w:r w:rsidRPr="006750B4">
        <w:rPr>
          <w:szCs w:val="26"/>
        </w:rPr>
        <w:t xml:space="preserve"> Scientific Reports, 15, 1702. </w:t>
      </w:r>
      <w:hyperlink r:id="rId22" w:tgtFrame="_new" w:history="1">
        <w:r w:rsidRPr="006750B4">
          <w:rPr>
            <w:szCs w:val="26"/>
          </w:rPr>
          <w:t>https://doi.org/10.1038/s41598-024-84655-y</w:t>
        </w:r>
      </w:hyperlink>
    </w:p>
    <w:p w14:paraId="04B14568" w14:textId="77777777" w:rsidR="006750B4" w:rsidRPr="006750B4" w:rsidRDefault="006750B4" w:rsidP="00E8537A">
      <w:pPr>
        <w:pStyle w:val="ListParagraph"/>
        <w:numPr>
          <w:ilvl w:val="0"/>
          <w:numId w:val="5"/>
        </w:numPr>
        <w:spacing w:line="276" w:lineRule="auto"/>
        <w:rPr>
          <w:szCs w:val="26"/>
        </w:rPr>
      </w:pPr>
      <w:r w:rsidRPr="006750B4">
        <w:rPr>
          <w:szCs w:val="26"/>
        </w:rPr>
        <w:lastRenderedPageBreak/>
        <w:t>Hoang, T. V., Chou, T. Y., Nguyen, N. T., Fang, Y. M., Yeh, M. L., Nguyen, Q. H., &amp; Nguyen, X. L. (2019). A Robust Early Warning System for Preventing Flash Floods in Mountainous Area in Vietnam. </w:t>
      </w:r>
      <w:r w:rsidRPr="006750B4">
        <w:rPr>
          <w:i/>
          <w:iCs/>
          <w:szCs w:val="26"/>
        </w:rPr>
        <w:t>ISPRS International Journal of Geo-Information</w:t>
      </w:r>
      <w:r w:rsidRPr="006750B4">
        <w:rPr>
          <w:szCs w:val="26"/>
        </w:rPr>
        <w:t>, </w:t>
      </w:r>
      <w:r w:rsidRPr="006750B4">
        <w:rPr>
          <w:i/>
          <w:iCs/>
          <w:szCs w:val="26"/>
        </w:rPr>
        <w:t>8</w:t>
      </w:r>
      <w:r w:rsidRPr="006750B4">
        <w:rPr>
          <w:szCs w:val="26"/>
        </w:rPr>
        <w:t>(5), 228. https://doi.org/10.3390/ijgi8050228.</w:t>
      </w:r>
    </w:p>
    <w:p w14:paraId="1FC05085" w14:textId="77777777" w:rsidR="006750B4" w:rsidRPr="006750B4" w:rsidRDefault="006750B4" w:rsidP="00E8537A">
      <w:pPr>
        <w:pStyle w:val="ListParagraph"/>
        <w:numPr>
          <w:ilvl w:val="0"/>
          <w:numId w:val="5"/>
        </w:numPr>
        <w:spacing w:line="276" w:lineRule="auto"/>
        <w:rPr>
          <w:szCs w:val="26"/>
        </w:rPr>
      </w:pPr>
      <w:r w:rsidRPr="006750B4">
        <w:rPr>
          <w:szCs w:val="26"/>
        </w:rPr>
        <w:t>Ireland, G., Volpi, M., &amp; Petropoulos, G. P. (2015). Examining the Capability of Supervised Machine Learning Classifiers in Extracting Flooded Areas from Landsat TM Imagery: A Case Study from a Mediterranean Flood. </w:t>
      </w:r>
      <w:r w:rsidRPr="006750B4">
        <w:rPr>
          <w:i/>
          <w:iCs/>
          <w:szCs w:val="26"/>
        </w:rPr>
        <w:t>Remote Sensing</w:t>
      </w:r>
      <w:r w:rsidRPr="006750B4">
        <w:rPr>
          <w:szCs w:val="26"/>
        </w:rPr>
        <w:t>, </w:t>
      </w:r>
      <w:r w:rsidRPr="006750B4">
        <w:rPr>
          <w:i/>
          <w:iCs/>
          <w:szCs w:val="26"/>
        </w:rPr>
        <w:t>7</w:t>
      </w:r>
      <w:r w:rsidRPr="006750B4">
        <w:rPr>
          <w:szCs w:val="26"/>
        </w:rPr>
        <w:t>(3), 3372-3399. https://doi.org/10.3390/rs70303372</w:t>
      </w:r>
    </w:p>
    <w:p w14:paraId="2FDDB876" w14:textId="77777777" w:rsidR="006750B4" w:rsidRPr="006750B4" w:rsidRDefault="006750B4" w:rsidP="00547C4D">
      <w:pPr>
        <w:pStyle w:val="ListParagraph"/>
        <w:numPr>
          <w:ilvl w:val="0"/>
          <w:numId w:val="5"/>
        </w:numPr>
        <w:spacing w:line="276" w:lineRule="auto"/>
        <w:rPr>
          <w:szCs w:val="26"/>
        </w:rPr>
      </w:pPr>
      <w:r w:rsidRPr="006750B4">
        <w:rPr>
          <w:szCs w:val="26"/>
          <w:lang w:val="pt-BR"/>
        </w:rPr>
        <w:t xml:space="preserve">Istomina, M. N., &amp; Dobrovoski, S. G. (2016). </w:t>
      </w:r>
      <w:r w:rsidRPr="006750B4">
        <w:rPr>
          <w:szCs w:val="26"/>
        </w:rPr>
        <w:t>Floods of the world: quantitative analysis of natural characteristics and parameters of social-economic damages. </w:t>
      </w:r>
      <w:r w:rsidRPr="006750B4">
        <w:rPr>
          <w:i/>
          <w:iCs/>
          <w:szCs w:val="26"/>
        </w:rPr>
        <w:t>Water resources</w:t>
      </w:r>
      <w:r w:rsidRPr="006750B4">
        <w:rPr>
          <w:szCs w:val="26"/>
        </w:rPr>
        <w:t>, </w:t>
      </w:r>
      <w:r w:rsidRPr="006750B4">
        <w:rPr>
          <w:i/>
          <w:iCs/>
          <w:szCs w:val="26"/>
        </w:rPr>
        <w:t>43</w:t>
      </w:r>
      <w:r w:rsidRPr="006750B4">
        <w:rPr>
          <w:szCs w:val="26"/>
        </w:rPr>
        <w:t>(3), 459-471. https://doi.org/10.1134/S0097807816030076.</w:t>
      </w:r>
    </w:p>
    <w:p w14:paraId="67FA5EE8" w14:textId="77777777" w:rsidR="006750B4" w:rsidRPr="006750B4" w:rsidRDefault="006750B4" w:rsidP="00547C4D">
      <w:pPr>
        <w:pStyle w:val="ListParagraph"/>
        <w:numPr>
          <w:ilvl w:val="0"/>
          <w:numId w:val="5"/>
        </w:numPr>
        <w:spacing w:line="276" w:lineRule="auto"/>
        <w:rPr>
          <w:szCs w:val="26"/>
        </w:rPr>
      </w:pPr>
      <w:r w:rsidRPr="006750B4">
        <w:rPr>
          <w:szCs w:val="26"/>
        </w:rPr>
        <w:t>Jonkman, S. N. (2005). Global perspectives on loss of human life caused by floods. Natural hazards, 34(2), 151-175. https://doi.org/10.1007/s11069-004-8891-3.</w:t>
      </w:r>
    </w:p>
    <w:p w14:paraId="0B17D488" w14:textId="77777777" w:rsidR="006750B4" w:rsidRPr="006750B4" w:rsidRDefault="006750B4" w:rsidP="00547C4D">
      <w:pPr>
        <w:pStyle w:val="ListParagraph"/>
        <w:numPr>
          <w:ilvl w:val="0"/>
          <w:numId w:val="5"/>
        </w:numPr>
        <w:spacing w:line="276" w:lineRule="auto"/>
        <w:rPr>
          <w:szCs w:val="26"/>
        </w:rPr>
      </w:pPr>
      <w:r w:rsidRPr="006750B4">
        <w:rPr>
          <w:szCs w:val="26"/>
        </w:rPr>
        <w:t>Kılıç, G., &amp; Bektaş Balçık, F. (2025). Flood-Risk Map for Büyükçekmece District Based on Socioeconomic Factors. </w:t>
      </w:r>
      <w:r w:rsidRPr="006750B4">
        <w:rPr>
          <w:i/>
          <w:iCs/>
          <w:szCs w:val="26"/>
        </w:rPr>
        <w:t>Environmental and Earth Sciences Proceedings</w:t>
      </w:r>
      <w:r w:rsidRPr="006750B4">
        <w:rPr>
          <w:szCs w:val="26"/>
        </w:rPr>
        <w:t>, </w:t>
      </w:r>
      <w:r w:rsidRPr="006750B4">
        <w:rPr>
          <w:i/>
          <w:iCs/>
          <w:szCs w:val="26"/>
        </w:rPr>
        <w:t>32</w:t>
      </w:r>
      <w:r w:rsidRPr="006750B4">
        <w:rPr>
          <w:szCs w:val="26"/>
        </w:rPr>
        <w:t>(1), 11. https://doi.org/10.3390/eesp2025032011.</w:t>
      </w:r>
    </w:p>
    <w:p w14:paraId="2C412E9D" w14:textId="77777777" w:rsidR="006750B4" w:rsidRPr="006750B4" w:rsidRDefault="006750B4" w:rsidP="00547C4D">
      <w:pPr>
        <w:pStyle w:val="ListParagraph"/>
        <w:numPr>
          <w:ilvl w:val="0"/>
          <w:numId w:val="5"/>
        </w:numPr>
        <w:spacing w:line="276" w:lineRule="auto"/>
        <w:rPr>
          <w:szCs w:val="26"/>
        </w:rPr>
      </w:pPr>
      <w:r w:rsidRPr="006750B4">
        <w:rPr>
          <w:szCs w:val="26"/>
        </w:rPr>
        <w:t>Kiptum, A., Mwangi, E., Otieno, G., Njogu, A., Kilavi, M., Mwai, Z., &amp; Todd, M. C. (2025). Advancing operational flood forecasting, early warning and risk management with new emerging science: Gaps, opportunities and barriers in Kenya. </w:t>
      </w:r>
      <w:r w:rsidRPr="006750B4">
        <w:rPr>
          <w:i/>
          <w:iCs/>
          <w:szCs w:val="26"/>
        </w:rPr>
        <w:t>Journal of flood risk management</w:t>
      </w:r>
      <w:r w:rsidRPr="006750B4">
        <w:rPr>
          <w:szCs w:val="26"/>
        </w:rPr>
        <w:t>, </w:t>
      </w:r>
      <w:r w:rsidRPr="006750B4">
        <w:rPr>
          <w:i/>
          <w:iCs/>
          <w:szCs w:val="26"/>
        </w:rPr>
        <w:t>18</w:t>
      </w:r>
      <w:r w:rsidRPr="006750B4">
        <w:rPr>
          <w:szCs w:val="26"/>
        </w:rPr>
        <w:t>(1), e12884. https://doi.org/10.1111/jfr3.12884.</w:t>
      </w:r>
    </w:p>
    <w:p w14:paraId="5BA60244" w14:textId="77777777" w:rsidR="006750B4" w:rsidRPr="006750B4" w:rsidRDefault="006750B4" w:rsidP="00547C4D">
      <w:pPr>
        <w:pStyle w:val="ListParagraph"/>
        <w:numPr>
          <w:ilvl w:val="0"/>
          <w:numId w:val="5"/>
        </w:numPr>
        <w:spacing w:line="276" w:lineRule="auto"/>
        <w:rPr>
          <w:szCs w:val="26"/>
        </w:rPr>
      </w:pPr>
      <w:r w:rsidRPr="006750B4">
        <w:rPr>
          <w:szCs w:val="26"/>
        </w:rPr>
        <w:t>Kirshen, P., Watson, C., Douglas, E., Gontz, A., Lee, J., &amp; Tian, Y. (2008). Coastal flooding in the Northeastern United States due to climate change. </w:t>
      </w:r>
      <w:r w:rsidRPr="006750B4">
        <w:rPr>
          <w:i/>
          <w:iCs/>
          <w:szCs w:val="26"/>
        </w:rPr>
        <w:t>Mitigation and Adaptation Strategies for Global Change</w:t>
      </w:r>
      <w:r w:rsidRPr="006750B4">
        <w:rPr>
          <w:szCs w:val="26"/>
        </w:rPr>
        <w:t>, </w:t>
      </w:r>
      <w:r w:rsidRPr="006750B4">
        <w:rPr>
          <w:i/>
          <w:iCs/>
          <w:szCs w:val="26"/>
        </w:rPr>
        <w:t>13</w:t>
      </w:r>
      <w:r w:rsidRPr="006750B4">
        <w:rPr>
          <w:szCs w:val="26"/>
        </w:rPr>
        <w:t>(5), 437-451. https://doi.org/10.1007/s11027-007-9130-5.</w:t>
      </w:r>
    </w:p>
    <w:p w14:paraId="0AB1E49D"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14:ligatures w14:val="none"/>
        </w:rPr>
        <w:t>Kundzewicz, Z. W., Kanae, S., Seneviratne, S. I., Handmer, J., Nicholls, N., Peduzzi, P., Sherstyukov, B. (2013). Flood risk and climate change: global and regional perspectives. </w:t>
      </w:r>
      <w:r w:rsidRPr="006750B4">
        <w:rPr>
          <w:rFonts w:eastAsia="Times New Roman" w:cs="Times New Roman"/>
          <w:i/>
          <w:iCs/>
          <w:kern w:val="0"/>
          <w:szCs w:val="26"/>
          <w14:ligatures w14:val="none"/>
        </w:rPr>
        <w:t>Hydrological Sciences Journal</w:t>
      </w:r>
      <w:r w:rsidRPr="006750B4">
        <w:rPr>
          <w:rFonts w:eastAsia="Times New Roman" w:cs="Times New Roman"/>
          <w:kern w:val="0"/>
          <w:szCs w:val="26"/>
          <w14:ligatures w14:val="none"/>
        </w:rPr>
        <w:t>, </w:t>
      </w:r>
      <w:r w:rsidRPr="006750B4">
        <w:rPr>
          <w:rFonts w:eastAsia="Times New Roman" w:cs="Times New Roman"/>
          <w:i/>
          <w:iCs/>
          <w:kern w:val="0"/>
          <w:szCs w:val="26"/>
          <w14:ligatures w14:val="none"/>
        </w:rPr>
        <w:t>59</w:t>
      </w:r>
      <w:r w:rsidRPr="006750B4">
        <w:rPr>
          <w:rFonts w:eastAsia="Times New Roman" w:cs="Times New Roman"/>
          <w:kern w:val="0"/>
          <w:szCs w:val="26"/>
          <w14:ligatures w14:val="none"/>
        </w:rPr>
        <w:t>(1), 1-28. https://doi.org/10.1080/02626667.2013.857411.</w:t>
      </w:r>
    </w:p>
    <w:p w14:paraId="659C22D1"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lang w:val="nl-NL"/>
          <w14:ligatures w14:val="none"/>
        </w:rPr>
        <w:t xml:space="preserve">Kwiesielewicz, M., &amp; Van Uden, E. (2004). </w:t>
      </w:r>
      <w:r w:rsidRPr="006750B4">
        <w:rPr>
          <w:rFonts w:eastAsia="Times New Roman" w:cs="Times New Roman"/>
          <w:kern w:val="0"/>
          <w:szCs w:val="26"/>
          <w14:ligatures w14:val="none"/>
        </w:rPr>
        <w:t>Inconsistent and contradictory judgements in pairwise comparison method in the AHP. </w:t>
      </w:r>
      <w:r w:rsidRPr="006750B4">
        <w:rPr>
          <w:rFonts w:eastAsia="Times New Roman" w:cs="Times New Roman"/>
          <w:i/>
          <w:iCs/>
          <w:kern w:val="0"/>
          <w:szCs w:val="26"/>
          <w14:ligatures w14:val="none"/>
        </w:rPr>
        <w:t>Computers &amp; Operations Research</w:t>
      </w:r>
      <w:r w:rsidRPr="006750B4">
        <w:rPr>
          <w:rFonts w:eastAsia="Times New Roman" w:cs="Times New Roman"/>
          <w:kern w:val="0"/>
          <w:szCs w:val="26"/>
          <w14:ligatures w14:val="none"/>
        </w:rPr>
        <w:t>, </w:t>
      </w:r>
      <w:r w:rsidRPr="006750B4">
        <w:rPr>
          <w:rFonts w:eastAsia="Times New Roman" w:cs="Times New Roman"/>
          <w:i/>
          <w:iCs/>
          <w:kern w:val="0"/>
          <w:szCs w:val="26"/>
          <w14:ligatures w14:val="none"/>
        </w:rPr>
        <w:t>31</w:t>
      </w:r>
      <w:r w:rsidRPr="006750B4">
        <w:rPr>
          <w:rFonts w:eastAsia="Times New Roman" w:cs="Times New Roman"/>
          <w:kern w:val="0"/>
          <w:szCs w:val="26"/>
          <w14:ligatures w14:val="none"/>
        </w:rPr>
        <w:t>(5), 713-719. https://doi.org/10.1016/S0305-0548(03)00022-4.</w:t>
      </w:r>
    </w:p>
    <w:p w14:paraId="31F08637"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lang w:val="sv-SE"/>
          <w14:ligatures w14:val="none"/>
        </w:rPr>
        <w:t xml:space="preserve">Le, T. T. A., Lan-Anh, N. T., Daskali, V., Verbist, B., Vu, K. C., Anh, T. N., &amp; Willems, P. (2021). </w:t>
      </w:r>
      <w:r w:rsidRPr="006750B4">
        <w:rPr>
          <w:rFonts w:eastAsia="Times New Roman" w:cs="Times New Roman"/>
          <w:kern w:val="0"/>
          <w:szCs w:val="26"/>
          <w14:ligatures w14:val="none"/>
        </w:rPr>
        <w:t>Urban flood hazard analysis in present and future climate after statistical downscaling: a case study in Ha Tinh city, Vietnam. </w:t>
      </w:r>
      <w:r w:rsidRPr="006750B4">
        <w:rPr>
          <w:rFonts w:eastAsia="Times New Roman" w:cs="Times New Roman"/>
          <w:i/>
          <w:iCs/>
          <w:kern w:val="0"/>
          <w:szCs w:val="26"/>
          <w14:ligatures w14:val="none"/>
        </w:rPr>
        <w:t>Urban Water Journal</w:t>
      </w:r>
      <w:r w:rsidRPr="006750B4">
        <w:rPr>
          <w:rFonts w:eastAsia="Times New Roman" w:cs="Times New Roman"/>
          <w:kern w:val="0"/>
          <w:szCs w:val="26"/>
          <w14:ligatures w14:val="none"/>
        </w:rPr>
        <w:t>, </w:t>
      </w:r>
      <w:r w:rsidRPr="006750B4">
        <w:rPr>
          <w:rFonts w:eastAsia="Times New Roman" w:cs="Times New Roman"/>
          <w:i/>
          <w:iCs/>
          <w:kern w:val="0"/>
          <w:szCs w:val="26"/>
          <w14:ligatures w14:val="none"/>
        </w:rPr>
        <w:t>18</w:t>
      </w:r>
      <w:r w:rsidRPr="006750B4">
        <w:rPr>
          <w:rFonts w:eastAsia="Times New Roman" w:cs="Times New Roman"/>
          <w:kern w:val="0"/>
          <w:szCs w:val="26"/>
          <w14:ligatures w14:val="none"/>
        </w:rPr>
        <w:t>(4), 257-274. https://doi.org/10.1080/1573062X.2021.1877744.</w:t>
      </w:r>
    </w:p>
    <w:p w14:paraId="7359C119"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14:ligatures w14:val="none"/>
        </w:rPr>
        <w:t>Le, T. T. A., Willems, P., &amp; Nguyen, L. A. (2023). Flood Hazard Analysis under Current and Future Climate Conditions for Ha Tinh Province, Vietnam. PhD Thesis.</w:t>
      </w:r>
    </w:p>
    <w:p w14:paraId="5551C31C" w14:textId="77777777" w:rsidR="006750B4" w:rsidRPr="006750B4" w:rsidRDefault="006750B4" w:rsidP="0019767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14:ligatures w14:val="none"/>
        </w:rPr>
        <w:t xml:space="preserve">Loi, D. T., Huong, L. V., Tuan, P. A., Hong Nhung, N. T., Quynh Huong, T. T., &amp; Hoa Man, B. T. (2022). An Assessment of Agricultural Vulnerability in the </w:t>
      </w:r>
      <w:r w:rsidRPr="006750B4">
        <w:rPr>
          <w:rFonts w:eastAsia="Times New Roman" w:cs="Times New Roman"/>
          <w:kern w:val="0"/>
          <w:szCs w:val="26"/>
          <w14:ligatures w14:val="none"/>
        </w:rPr>
        <w:lastRenderedPageBreak/>
        <w:t>Context of Global Climate Change: A Case Study in Ha Tinh Province, Vietnam. </w:t>
      </w:r>
      <w:r w:rsidRPr="006750B4">
        <w:rPr>
          <w:rFonts w:eastAsia="Times New Roman" w:cs="Times New Roman"/>
          <w:i/>
          <w:iCs/>
          <w:kern w:val="0"/>
          <w:szCs w:val="26"/>
          <w14:ligatures w14:val="none"/>
        </w:rPr>
        <w:t>Sustainability</w:t>
      </w:r>
      <w:r w:rsidRPr="006750B4">
        <w:rPr>
          <w:rFonts w:eastAsia="Times New Roman" w:cs="Times New Roman"/>
          <w:kern w:val="0"/>
          <w:szCs w:val="26"/>
          <w14:ligatures w14:val="none"/>
        </w:rPr>
        <w:t>, </w:t>
      </w:r>
      <w:r w:rsidRPr="006750B4">
        <w:rPr>
          <w:rFonts w:eastAsia="Times New Roman" w:cs="Times New Roman"/>
          <w:i/>
          <w:iCs/>
          <w:kern w:val="0"/>
          <w:szCs w:val="26"/>
          <w14:ligatures w14:val="none"/>
        </w:rPr>
        <w:t>14</w:t>
      </w:r>
      <w:r w:rsidRPr="006750B4">
        <w:rPr>
          <w:rFonts w:eastAsia="Times New Roman" w:cs="Times New Roman"/>
          <w:kern w:val="0"/>
          <w:szCs w:val="26"/>
          <w14:ligatures w14:val="none"/>
        </w:rPr>
        <w:t>(3), 1282. https://doi.org/10.3390/su14031282.</w:t>
      </w:r>
    </w:p>
    <w:p w14:paraId="3CB6D9B8"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14:ligatures w14:val="none"/>
        </w:rPr>
        <w:t>Mazziotta, M., &amp; Pareto, A. (2022). Normalization methods for spatio‐temporal analysis of environmental performance: Revisiting the Min–Max method. </w:t>
      </w:r>
      <w:r w:rsidRPr="006750B4">
        <w:rPr>
          <w:rFonts w:eastAsia="Times New Roman" w:cs="Times New Roman"/>
          <w:i/>
          <w:iCs/>
          <w:kern w:val="0"/>
          <w:szCs w:val="26"/>
          <w14:ligatures w14:val="none"/>
        </w:rPr>
        <w:t>Environmetrics</w:t>
      </w:r>
      <w:r w:rsidRPr="006750B4">
        <w:rPr>
          <w:rFonts w:eastAsia="Times New Roman" w:cs="Times New Roman"/>
          <w:kern w:val="0"/>
          <w:szCs w:val="26"/>
          <w14:ligatures w14:val="none"/>
        </w:rPr>
        <w:t>, </w:t>
      </w:r>
      <w:r w:rsidRPr="006750B4">
        <w:rPr>
          <w:rFonts w:eastAsia="Times New Roman" w:cs="Times New Roman"/>
          <w:i/>
          <w:iCs/>
          <w:kern w:val="0"/>
          <w:szCs w:val="26"/>
          <w14:ligatures w14:val="none"/>
        </w:rPr>
        <w:t>33</w:t>
      </w:r>
      <w:r w:rsidRPr="006750B4">
        <w:rPr>
          <w:rFonts w:eastAsia="Times New Roman" w:cs="Times New Roman"/>
          <w:kern w:val="0"/>
          <w:szCs w:val="26"/>
          <w14:ligatures w14:val="none"/>
        </w:rPr>
        <w:t>(5), e2730. https://doi.org/10.1002/env.2730.</w:t>
      </w:r>
    </w:p>
    <w:p w14:paraId="4DCB4BCC" w14:textId="77777777" w:rsidR="006750B4" w:rsidRPr="006750B4" w:rsidRDefault="006750B4" w:rsidP="00957BDD">
      <w:pPr>
        <w:pStyle w:val="ListParagraph"/>
        <w:numPr>
          <w:ilvl w:val="0"/>
          <w:numId w:val="5"/>
        </w:numPr>
        <w:spacing w:line="276" w:lineRule="auto"/>
        <w:rPr>
          <w:szCs w:val="26"/>
        </w:rPr>
      </w:pPr>
      <w:r w:rsidRPr="006750B4">
        <w:rPr>
          <w:szCs w:val="26"/>
        </w:rPr>
        <w:t xml:space="preserve">Mhangara, P., Gidey, E., &amp; Mbazo, M. (2025). Flood hazard monitoring and modeling systems for improving climate risk management using machine learning and geospatial models in the Hennops River catchment, Centurion, South Africa. </w:t>
      </w:r>
      <w:r w:rsidRPr="006750B4">
        <w:rPr>
          <w:i/>
          <w:iCs/>
          <w:szCs w:val="26"/>
        </w:rPr>
        <w:t>Discover Sustainability, 6</w:t>
      </w:r>
      <w:r w:rsidRPr="006750B4">
        <w:rPr>
          <w:szCs w:val="26"/>
        </w:rPr>
        <w:t xml:space="preserve">, 2. </w:t>
      </w:r>
      <w:hyperlink r:id="rId23" w:history="1">
        <w:r w:rsidRPr="006750B4">
          <w:rPr>
            <w:rStyle w:val="Hyperlink"/>
            <w:szCs w:val="26"/>
          </w:rPr>
          <w:t>https://doi.org/10.1007/s43621-024-00735-z</w:t>
        </w:r>
      </w:hyperlink>
    </w:p>
    <w:p w14:paraId="0B27B6CA" w14:textId="77777777" w:rsidR="006750B4" w:rsidRPr="006750B4" w:rsidRDefault="006750B4" w:rsidP="004425C4">
      <w:pPr>
        <w:pStyle w:val="ListParagraph"/>
        <w:numPr>
          <w:ilvl w:val="0"/>
          <w:numId w:val="5"/>
        </w:numPr>
        <w:spacing w:line="276" w:lineRule="auto"/>
        <w:rPr>
          <w:szCs w:val="26"/>
        </w:rPr>
      </w:pPr>
      <w:r w:rsidRPr="006750B4">
        <w:rPr>
          <w:rStyle w:val="Strong"/>
          <w:b w:val="0"/>
          <w:bCs w:val="0"/>
          <w:szCs w:val="26"/>
        </w:rPr>
        <w:t>MONRE. (2024).</w:t>
      </w:r>
      <w:r w:rsidRPr="006750B4">
        <w:rPr>
          <w:szCs w:val="26"/>
        </w:rPr>
        <w:t xml:space="preserve"> </w:t>
      </w:r>
      <w:r w:rsidRPr="006750B4">
        <w:rPr>
          <w:rStyle w:val="Emphasis"/>
          <w:szCs w:val="26"/>
        </w:rPr>
        <w:t>National Land Resource and Land Use Report 2024: Provincial land structure of Vietnam.</w:t>
      </w:r>
      <w:r w:rsidRPr="006750B4">
        <w:rPr>
          <w:szCs w:val="26"/>
        </w:rPr>
        <w:t xml:space="preserve"> Ministry of Natural Resources and Environment, Hanoi</w:t>
      </w:r>
    </w:p>
    <w:p w14:paraId="0D9C2985"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14:ligatures w14:val="none"/>
        </w:rPr>
        <w:t>Munier, N., &amp; Hontoria, E. (2021). </w:t>
      </w:r>
      <w:r w:rsidRPr="006750B4">
        <w:rPr>
          <w:rFonts w:eastAsia="Times New Roman" w:cs="Times New Roman"/>
          <w:i/>
          <w:iCs/>
          <w:kern w:val="0"/>
          <w:szCs w:val="26"/>
          <w14:ligatures w14:val="none"/>
        </w:rPr>
        <w:t>Uses and Limitations of the AHP Method</w:t>
      </w:r>
      <w:r w:rsidRPr="006750B4">
        <w:rPr>
          <w:rFonts w:eastAsia="Times New Roman" w:cs="Times New Roman"/>
          <w:kern w:val="0"/>
          <w:szCs w:val="26"/>
          <w14:ligatures w14:val="none"/>
        </w:rPr>
        <w:t>.</w:t>
      </w:r>
    </w:p>
    <w:p w14:paraId="3AF18764"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14:ligatures w14:val="none"/>
        </w:rPr>
        <w:t>Nguyen, D. L., Chou, T. Y., Hoang, T. V., &amp; Chen, M. H. (2023). Flood susceptibility mapping using machine learning algorithms: a case study in Huong Khe District, Ha Tinh Province, Vietnam. </w:t>
      </w:r>
      <w:r w:rsidRPr="006750B4">
        <w:rPr>
          <w:rFonts w:eastAsia="Times New Roman" w:cs="Times New Roman"/>
          <w:i/>
          <w:iCs/>
          <w:kern w:val="0"/>
          <w:szCs w:val="26"/>
          <w14:ligatures w14:val="none"/>
        </w:rPr>
        <w:t>International Journal of Geoinformatics</w:t>
      </w:r>
      <w:r w:rsidRPr="006750B4">
        <w:rPr>
          <w:rFonts w:eastAsia="Times New Roman" w:cs="Times New Roman"/>
          <w:kern w:val="0"/>
          <w:szCs w:val="26"/>
          <w14:ligatures w14:val="none"/>
        </w:rPr>
        <w:t>, </w:t>
      </w:r>
      <w:r w:rsidRPr="006750B4">
        <w:rPr>
          <w:rFonts w:eastAsia="Times New Roman" w:cs="Times New Roman"/>
          <w:i/>
          <w:iCs/>
          <w:kern w:val="0"/>
          <w:szCs w:val="26"/>
          <w14:ligatures w14:val="none"/>
        </w:rPr>
        <w:t>19</w:t>
      </w:r>
      <w:r w:rsidRPr="006750B4">
        <w:rPr>
          <w:rFonts w:eastAsia="Times New Roman" w:cs="Times New Roman"/>
          <w:kern w:val="0"/>
          <w:szCs w:val="26"/>
          <w14:ligatures w14:val="none"/>
        </w:rPr>
        <w:t>(7), 1-15.</w:t>
      </w:r>
    </w:p>
    <w:p w14:paraId="5EE3EA62" w14:textId="77777777" w:rsidR="006750B4" w:rsidRPr="006750B4" w:rsidRDefault="006750B4" w:rsidP="00632014">
      <w:pPr>
        <w:pStyle w:val="ListParagraph"/>
        <w:numPr>
          <w:ilvl w:val="0"/>
          <w:numId w:val="5"/>
        </w:numPr>
        <w:spacing w:line="276" w:lineRule="auto"/>
        <w:rPr>
          <w:szCs w:val="26"/>
        </w:rPr>
      </w:pPr>
      <w:r w:rsidRPr="006750B4">
        <w:rPr>
          <w:rStyle w:val="Strong"/>
          <w:b w:val="0"/>
          <w:bCs w:val="0"/>
          <w:szCs w:val="26"/>
        </w:rPr>
        <w:t>Nguyen, D. L., Tran, M. H., &amp; Le, V. T. (2024).</w:t>
      </w:r>
      <w:r w:rsidRPr="006750B4">
        <w:rPr>
          <w:szCs w:val="26"/>
        </w:rPr>
        <w:t xml:space="preserve"> </w:t>
      </w:r>
      <w:r w:rsidRPr="006750B4">
        <w:rPr>
          <w:rStyle w:val="Emphasis"/>
          <w:szCs w:val="26"/>
        </w:rPr>
        <w:t>Flood susceptibility mapping using machine learning algorithms: Comparative analysis of SVM, RF, and ANN models.</w:t>
      </w:r>
      <w:r w:rsidRPr="006750B4">
        <w:rPr>
          <w:szCs w:val="26"/>
        </w:rPr>
        <w:t xml:space="preserve"> </w:t>
      </w:r>
      <w:r w:rsidRPr="006750B4">
        <w:rPr>
          <w:rStyle w:val="Strong"/>
          <w:b w:val="0"/>
          <w:bCs w:val="0"/>
          <w:szCs w:val="26"/>
        </w:rPr>
        <w:t>International Journal of Geo-Information</w:t>
      </w:r>
      <w:r w:rsidRPr="006750B4">
        <w:rPr>
          <w:szCs w:val="26"/>
        </w:rPr>
        <w:t>, 13(4), 2739.</w:t>
      </w:r>
      <w:r w:rsidRPr="006750B4">
        <w:rPr>
          <w:szCs w:val="26"/>
        </w:rPr>
        <w:t xml:space="preserve"> </w:t>
      </w:r>
      <w:r w:rsidRPr="006750B4">
        <w:rPr>
          <w:szCs w:val="26"/>
        </w:rPr>
        <w:t>https://ijg.journals.publicknowledgeproject.org/index.php/journal/article/download/2739/1523</w:t>
      </w:r>
    </w:p>
    <w:p w14:paraId="68A39062"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14:ligatures w14:val="none"/>
        </w:rPr>
        <w:t xml:space="preserve">Nguyen, H. D. (2023). Spatial modeling of flood hazard using machine learning and GIS in Ha Tinh province, Vietnam. </w:t>
      </w:r>
      <w:r w:rsidRPr="006750B4">
        <w:rPr>
          <w:rFonts w:eastAsia="Times New Roman" w:cs="Times New Roman"/>
          <w:i/>
          <w:iCs/>
          <w:kern w:val="0"/>
          <w:szCs w:val="26"/>
          <w14:ligatures w14:val="none"/>
        </w:rPr>
        <w:t>Journal of Water and Climate Change, 14</w:t>
      </w:r>
      <w:r w:rsidRPr="006750B4">
        <w:rPr>
          <w:rFonts w:eastAsia="Times New Roman" w:cs="Times New Roman"/>
          <w:kern w:val="0"/>
          <w:szCs w:val="26"/>
          <w14:ligatures w14:val="none"/>
        </w:rPr>
        <w:t>(1), 200-222. doi: 10.2166/wcc.2022.257.</w:t>
      </w:r>
    </w:p>
    <w:p w14:paraId="65E6F72F"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14:ligatures w14:val="none"/>
        </w:rPr>
        <w:t>Nguyen, L. D., Nguyen, H. T., Dang, P. D., Duong, T. Q., &amp; Nguyen, L. K. (2021). Design of an automatic hydro-meteorological observation network for a real-time flood warning system: a case study of Vu Gia-</w:t>
      </w:r>
      <w:proofErr w:type="gramStart"/>
      <w:r w:rsidRPr="006750B4">
        <w:rPr>
          <w:rFonts w:eastAsia="Times New Roman" w:cs="Times New Roman"/>
          <w:kern w:val="0"/>
          <w:szCs w:val="26"/>
          <w14:ligatures w14:val="none"/>
        </w:rPr>
        <w:t>Thu Bon river</w:t>
      </w:r>
      <w:proofErr w:type="gramEnd"/>
      <w:r w:rsidRPr="006750B4">
        <w:rPr>
          <w:rFonts w:eastAsia="Times New Roman" w:cs="Times New Roman"/>
          <w:kern w:val="0"/>
          <w:szCs w:val="26"/>
          <w14:ligatures w14:val="none"/>
        </w:rPr>
        <w:t xml:space="preserve"> basin, Vietnam. </w:t>
      </w:r>
      <w:r w:rsidRPr="006750B4">
        <w:rPr>
          <w:rFonts w:eastAsia="Times New Roman" w:cs="Times New Roman"/>
          <w:i/>
          <w:iCs/>
          <w:kern w:val="0"/>
          <w:szCs w:val="26"/>
          <w14:ligatures w14:val="none"/>
        </w:rPr>
        <w:t>Journal of Hydroinformatics</w:t>
      </w:r>
      <w:r w:rsidRPr="006750B4">
        <w:rPr>
          <w:rFonts w:eastAsia="Times New Roman" w:cs="Times New Roman"/>
          <w:kern w:val="0"/>
          <w:szCs w:val="26"/>
          <w14:ligatures w14:val="none"/>
        </w:rPr>
        <w:t>, </w:t>
      </w:r>
      <w:r w:rsidRPr="006750B4">
        <w:rPr>
          <w:rFonts w:eastAsia="Times New Roman" w:cs="Times New Roman"/>
          <w:i/>
          <w:iCs/>
          <w:kern w:val="0"/>
          <w:szCs w:val="26"/>
          <w14:ligatures w14:val="none"/>
        </w:rPr>
        <w:t>23</w:t>
      </w:r>
      <w:r w:rsidRPr="006750B4">
        <w:rPr>
          <w:rFonts w:eastAsia="Times New Roman" w:cs="Times New Roman"/>
          <w:kern w:val="0"/>
          <w:szCs w:val="26"/>
          <w14:ligatures w14:val="none"/>
        </w:rPr>
        <w:t>(2), 324-339. https://doi.org/10.2166/hydro.2021.124.</w:t>
      </w:r>
    </w:p>
    <w:p w14:paraId="68A5C261" w14:textId="7D033D37" w:rsidR="006750B4" w:rsidRPr="006750B4" w:rsidRDefault="006750B4" w:rsidP="009B1A48">
      <w:pPr>
        <w:pStyle w:val="ListParagraph"/>
        <w:numPr>
          <w:ilvl w:val="0"/>
          <w:numId w:val="5"/>
        </w:numPr>
        <w:spacing w:line="276" w:lineRule="auto"/>
        <w:rPr>
          <w:szCs w:val="26"/>
        </w:rPr>
      </w:pPr>
      <w:r w:rsidRPr="006750B4">
        <w:rPr>
          <w:szCs w:val="26"/>
        </w:rPr>
        <w:t>Nguyen, T. H., &amp; Pham, H. V. (2022).</w:t>
      </w:r>
      <w:r>
        <w:rPr>
          <w:szCs w:val="26"/>
        </w:rPr>
        <w:t xml:space="preserve"> </w:t>
      </w:r>
      <w:r w:rsidRPr="006750B4">
        <w:rPr>
          <w:i/>
          <w:iCs/>
          <w:szCs w:val="26"/>
        </w:rPr>
        <w:t>Forest ecosystem services for watershed protection in the upper catchments of Ha Tinh Province.</w:t>
      </w:r>
      <w:r w:rsidRPr="006750B4">
        <w:rPr>
          <w:szCs w:val="26"/>
        </w:rPr>
        <w:t xml:space="preserve"> Vietnam Journal of Forestry Science, 9(2), 45–58.</w:t>
      </w:r>
    </w:p>
    <w:p w14:paraId="3A1EEA31"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lang w:val="sv-SE"/>
          <w14:ligatures w14:val="none"/>
        </w:rPr>
        <w:t xml:space="preserve">Ortiz-Vargas, A.; Sebesvari, Z. (2021). </w:t>
      </w:r>
      <w:r w:rsidRPr="006750B4">
        <w:rPr>
          <w:rFonts w:eastAsia="Times New Roman" w:cs="Times New Roman"/>
          <w:kern w:val="0"/>
          <w:szCs w:val="26"/>
          <w14:ligatures w14:val="none"/>
        </w:rPr>
        <w:t>Technical Report: Floods in Central Viet Nam. In </w:t>
      </w:r>
      <w:r w:rsidRPr="006750B4">
        <w:rPr>
          <w:rFonts w:eastAsia="Times New Roman" w:cs="Times New Roman"/>
          <w:i/>
          <w:iCs/>
          <w:kern w:val="0"/>
          <w:szCs w:val="26"/>
          <w14:ligatures w14:val="none"/>
        </w:rPr>
        <w:t>Interconnected Disaster Risks 2020/2021</w:t>
      </w:r>
      <w:r w:rsidRPr="006750B4">
        <w:rPr>
          <w:rFonts w:eastAsia="Times New Roman" w:cs="Times New Roman"/>
          <w:kern w:val="0"/>
          <w:szCs w:val="26"/>
          <w14:ligatures w14:val="none"/>
        </w:rPr>
        <w:t>; United Nations University-Institute for Environment and Human Security (UNU-EHS): Bonn, Germany.</w:t>
      </w:r>
    </w:p>
    <w:p w14:paraId="4F0B234E"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lang w:val="it-IT"/>
          <w14:ligatures w14:val="none"/>
        </w:rPr>
        <w:t xml:space="preserve">Perera, D., Agnihotri, J., Seidou, O., &amp; Djalante, R. (2020). </w:t>
      </w:r>
      <w:r w:rsidRPr="006750B4">
        <w:rPr>
          <w:rFonts w:eastAsia="Times New Roman" w:cs="Times New Roman"/>
          <w:kern w:val="0"/>
          <w:szCs w:val="26"/>
          <w14:ligatures w14:val="none"/>
        </w:rPr>
        <w:t>Identifying societal challenges in flood early warning systems. </w:t>
      </w:r>
      <w:r w:rsidRPr="006750B4">
        <w:rPr>
          <w:rFonts w:eastAsia="Times New Roman" w:cs="Times New Roman"/>
          <w:i/>
          <w:iCs/>
          <w:kern w:val="0"/>
          <w:szCs w:val="26"/>
          <w14:ligatures w14:val="none"/>
        </w:rPr>
        <w:t>International Journal of Disaster Risk Reduction</w:t>
      </w:r>
      <w:r w:rsidRPr="006750B4">
        <w:rPr>
          <w:rFonts w:eastAsia="Times New Roman" w:cs="Times New Roman"/>
          <w:kern w:val="0"/>
          <w:szCs w:val="26"/>
          <w14:ligatures w14:val="none"/>
        </w:rPr>
        <w:t>, </w:t>
      </w:r>
      <w:r w:rsidRPr="006750B4">
        <w:rPr>
          <w:rFonts w:eastAsia="Times New Roman" w:cs="Times New Roman"/>
          <w:i/>
          <w:iCs/>
          <w:kern w:val="0"/>
          <w:szCs w:val="26"/>
          <w14:ligatures w14:val="none"/>
        </w:rPr>
        <w:t>51</w:t>
      </w:r>
      <w:r w:rsidRPr="006750B4">
        <w:rPr>
          <w:rFonts w:eastAsia="Times New Roman" w:cs="Times New Roman"/>
          <w:kern w:val="0"/>
          <w:szCs w:val="26"/>
          <w14:ligatures w14:val="none"/>
        </w:rPr>
        <w:t>, 101794. https://doi.org/10.1016/j.ijdrr.2020.101794.</w:t>
      </w:r>
    </w:p>
    <w:p w14:paraId="79564871"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14:ligatures w14:val="none"/>
        </w:rPr>
        <w:t>Pham, B. T., Phong, T. V., Nguyen, H. D., Qi, C., Al-Ansari, N., Amini, A., Ho, L. S., Tuyen, T. T., Yen, H. P. H., Ly, H.-B., Prakash, I., &amp; Tien Bui, D. (2020). A Comparative Study of Kernel Logistic Regression, Radial Basis Function Classifier, Multinomial Naïve Bayes, and Logistic Model Tree for Flash Flood Susceptibility Mapping. </w:t>
      </w:r>
      <w:r w:rsidRPr="006750B4">
        <w:rPr>
          <w:rFonts w:eastAsia="Times New Roman" w:cs="Times New Roman"/>
          <w:i/>
          <w:iCs/>
          <w:kern w:val="0"/>
          <w:szCs w:val="26"/>
          <w14:ligatures w14:val="none"/>
        </w:rPr>
        <w:t>Water</w:t>
      </w:r>
      <w:r w:rsidRPr="006750B4">
        <w:rPr>
          <w:rFonts w:eastAsia="Times New Roman" w:cs="Times New Roman"/>
          <w:kern w:val="0"/>
          <w:szCs w:val="26"/>
          <w14:ligatures w14:val="none"/>
        </w:rPr>
        <w:t>, </w:t>
      </w:r>
      <w:r w:rsidRPr="006750B4">
        <w:rPr>
          <w:rFonts w:eastAsia="Times New Roman" w:cs="Times New Roman"/>
          <w:i/>
          <w:iCs/>
          <w:kern w:val="0"/>
          <w:szCs w:val="26"/>
          <w14:ligatures w14:val="none"/>
        </w:rPr>
        <w:t>12</w:t>
      </w:r>
      <w:r w:rsidRPr="006750B4">
        <w:rPr>
          <w:rFonts w:eastAsia="Times New Roman" w:cs="Times New Roman"/>
          <w:kern w:val="0"/>
          <w:szCs w:val="26"/>
          <w14:ligatures w14:val="none"/>
        </w:rPr>
        <w:t>(1), 239. https://doi.org/10.3390/w12010239.</w:t>
      </w:r>
    </w:p>
    <w:p w14:paraId="7E260079"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14:ligatures w14:val="none"/>
        </w:rPr>
        <w:lastRenderedPageBreak/>
        <w:t>Pham, N. T. T., Nguyen, Q. H., Ngo, A. D., Le, H. T. T., &amp; Nguyen, C. T. (2018). Investigating the impacts of typhoon-induced floods on the agriculture in the central region of Vietnam by using hydrological models and satellite data. </w:t>
      </w:r>
      <w:r w:rsidRPr="006750B4">
        <w:rPr>
          <w:rFonts w:eastAsia="Times New Roman" w:cs="Times New Roman"/>
          <w:i/>
          <w:iCs/>
          <w:kern w:val="0"/>
          <w:szCs w:val="26"/>
          <w14:ligatures w14:val="none"/>
        </w:rPr>
        <w:t>Natural Hazards</w:t>
      </w:r>
      <w:r w:rsidRPr="006750B4">
        <w:rPr>
          <w:rFonts w:eastAsia="Times New Roman" w:cs="Times New Roman"/>
          <w:kern w:val="0"/>
          <w:szCs w:val="26"/>
          <w14:ligatures w14:val="none"/>
        </w:rPr>
        <w:t>, </w:t>
      </w:r>
      <w:r w:rsidRPr="006750B4">
        <w:rPr>
          <w:rFonts w:eastAsia="Times New Roman" w:cs="Times New Roman"/>
          <w:i/>
          <w:iCs/>
          <w:kern w:val="0"/>
          <w:szCs w:val="26"/>
          <w14:ligatures w14:val="none"/>
        </w:rPr>
        <w:t>92</w:t>
      </w:r>
      <w:r w:rsidRPr="006750B4">
        <w:rPr>
          <w:rFonts w:eastAsia="Times New Roman" w:cs="Times New Roman"/>
          <w:kern w:val="0"/>
          <w:szCs w:val="26"/>
          <w14:ligatures w14:val="none"/>
        </w:rPr>
        <w:t>(1), 189-204. https://doi.org/10.1007/s11069-018-3202-6.</w:t>
      </w:r>
    </w:p>
    <w:p w14:paraId="12ED11AE" w14:textId="5C2E47E4" w:rsidR="006750B4" w:rsidRPr="006750B4" w:rsidRDefault="006750B4" w:rsidP="006750B4">
      <w:pPr>
        <w:pStyle w:val="ListParagraph"/>
        <w:numPr>
          <w:ilvl w:val="0"/>
          <w:numId w:val="5"/>
        </w:numPr>
        <w:spacing w:line="276" w:lineRule="auto"/>
        <w:rPr>
          <w:szCs w:val="26"/>
        </w:rPr>
      </w:pPr>
      <w:r w:rsidRPr="006750B4">
        <w:rPr>
          <w:szCs w:val="26"/>
        </w:rPr>
        <w:t>Pham, T. H., Tran, P. T., &amp; Le, D. N. (2023).</w:t>
      </w:r>
      <w:r>
        <w:rPr>
          <w:b/>
          <w:bCs/>
          <w:szCs w:val="26"/>
        </w:rPr>
        <w:t xml:space="preserve"> </w:t>
      </w:r>
      <w:r w:rsidRPr="006750B4">
        <w:rPr>
          <w:i/>
          <w:iCs/>
          <w:szCs w:val="26"/>
        </w:rPr>
        <w:t>Application of AHP–GIS for flood susceptibility mapping in Quang Binh Province, Vietnam.</w:t>
      </w:r>
      <w:r w:rsidRPr="006750B4">
        <w:rPr>
          <w:szCs w:val="26"/>
        </w:rPr>
        <w:t xml:space="preserve"> Environmental Challenges, 10, 100752. https://doi.org/10.1016/j.envc.2023.100752</w:t>
      </w:r>
    </w:p>
    <w:p w14:paraId="2BCBED18"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14:ligatures w14:val="none"/>
        </w:rPr>
        <w:t>Rajkhowa, S., &amp; Sarma, J. (2021). Climate change and flood risk, global climate change. In </w:t>
      </w:r>
      <w:r w:rsidRPr="006750B4">
        <w:rPr>
          <w:rFonts w:eastAsia="Times New Roman" w:cs="Times New Roman"/>
          <w:i/>
          <w:iCs/>
          <w:kern w:val="0"/>
          <w:szCs w:val="26"/>
          <w14:ligatures w14:val="none"/>
        </w:rPr>
        <w:t>Global climate change</w:t>
      </w:r>
      <w:r w:rsidRPr="006750B4">
        <w:rPr>
          <w:rFonts w:eastAsia="Times New Roman" w:cs="Times New Roman"/>
          <w:kern w:val="0"/>
          <w:szCs w:val="26"/>
          <w14:ligatures w14:val="none"/>
        </w:rPr>
        <w:t> (pp. 321-339). Elsevier. https://doi.org/10.1016/B978-0-12-822928-6.00012-5.</w:t>
      </w:r>
    </w:p>
    <w:p w14:paraId="495383FD"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lang w:val="it-IT"/>
          <w14:ligatures w14:val="none"/>
        </w:rPr>
        <w:t xml:space="preserve">Ringo, J., Sabai, S., &amp; Mahenge, A. (2025). </w:t>
      </w:r>
      <w:r w:rsidRPr="006750B4">
        <w:rPr>
          <w:rFonts w:eastAsia="Times New Roman" w:cs="Times New Roman"/>
          <w:kern w:val="0"/>
          <w:szCs w:val="26"/>
          <w14:ligatures w14:val="none"/>
        </w:rPr>
        <w:t>Contribution of flood early warning response measures in reducing flood effects in Kilosa District, Tanzania. </w:t>
      </w:r>
      <w:r w:rsidRPr="006750B4">
        <w:rPr>
          <w:rFonts w:eastAsia="Times New Roman" w:cs="Times New Roman"/>
          <w:i/>
          <w:iCs/>
          <w:kern w:val="0"/>
          <w:szCs w:val="26"/>
          <w14:ligatures w14:val="none"/>
        </w:rPr>
        <w:t>Climate Services</w:t>
      </w:r>
      <w:r w:rsidRPr="006750B4">
        <w:rPr>
          <w:rFonts w:eastAsia="Times New Roman" w:cs="Times New Roman"/>
          <w:kern w:val="0"/>
          <w:szCs w:val="26"/>
          <w14:ligatures w14:val="none"/>
        </w:rPr>
        <w:t>, </w:t>
      </w:r>
      <w:r w:rsidRPr="006750B4">
        <w:rPr>
          <w:rFonts w:eastAsia="Times New Roman" w:cs="Times New Roman"/>
          <w:i/>
          <w:iCs/>
          <w:kern w:val="0"/>
          <w:szCs w:val="26"/>
          <w14:ligatures w14:val="none"/>
        </w:rPr>
        <w:t>37</w:t>
      </w:r>
      <w:r w:rsidRPr="006750B4">
        <w:rPr>
          <w:rFonts w:eastAsia="Times New Roman" w:cs="Times New Roman"/>
          <w:kern w:val="0"/>
          <w:szCs w:val="26"/>
          <w14:ligatures w14:val="none"/>
        </w:rPr>
        <w:t>, 100534.</w:t>
      </w:r>
    </w:p>
    <w:p w14:paraId="23FB6BAF"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14:ligatures w14:val="none"/>
        </w:rPr>
        <w:t>Sabzi, H. Z., &amp; King, J. P. (2015). Numerical comparison of multi-criteria decision-Making techniques: A simulation of flood management multi-criteria systems. In </w:t>
      </w:r>
      <w:r w:rsidRPr="006750B4">
        <w:rPr>
          <w:rFonts w:eastAsia="Times New Roman" w:cs="Times New Roman"/>
          <w:i/>
          <w:iCs/>
          <w:kern w:val="0"/>
          <w:szCs w:val="26"/>
          <w14:ligatures w14:val="none"/>
        </w:rPr>
        <w:t>World Environmental and Water Resources Congress 2015</w:t>
      </w:r>
      <w:r w:rsidRPr="006750B4">
        <w:rPr>
          <w:rFonts w:eastAsia="Times New Roman" w:cs="Times New Roman"/>
          <w:kern w:val="0"/>
          <w:szCs w:val="26"/>
          <w14:ligatures w14:val="none"/>
        </w:rPr>
        <w:t> (pp. 359-373).</w:t>
      </w:r>
    </w:p>
    <w:p w14:paraId="7F5EEC31" w14:textId="366ACE2E" w:rsidR="006750B4" w:rsidRPr="00B71C42" w:rsidRDefault="006750B4" w:rsidP="00B71C42">
      <w:pPr>
        <w:pStyle w:val="ListParagraph"/>
        <w:numPr>
          <w:ilvl w:val="0"/>
          <w:numId w:val="5"/>
        </w:numPr>
        <w:spacing w:line="276" w:lineRule="auto"/>
        <w:rPr>
          <w:szCs w:val="26"/>
        </w:rPr>
      </w:pPr>
      <w:r w:rsidRPr="00B71C42">
        <w:rPr>
          <w:szCs w:val="26"/>
        </w:rPr>
        <w:t>Sato, Y., &amp; Tan, C. W. (2023).</w:t>
      </w:r>
      <w:r w:rsidR="00B71C42">
        <w:rPr>
          <w:b/>
          <w:bCs/>
          <w:szCs w:val="26"/>
        </w:rPr>
        <w:t xml:space="preserve"> </w:t>
      </w:r>
      <w:r w:rsidRPr="00B71C42">
        <w:rPr>
          <w:i/>
          <w:iCs/>
          <w:szCs w:val="26"/>
        </w:rPr>
        <w:t>Assessing consistency in multi-criteria decision-making: Improved evaluation of the AHP method.</w:t>
      </w:r>
      <w:r w:rsidRPr="00B71C42">
        <w:rPr>
          <w:szCs w:val="26"/>
        </w:rPr>
        <w:t xml:space="preserve"> Environmental Modelling &amp; Software, 163, 105645. https://doi.org/10.1016/j.envsoft.2023.105645</w:t>
      </w:r>
    </w:p>
    <w:p w14:paraId="1E9ACF41" w14:textId="77777777" w:rsidR="006750B4" w:rsidRPr="006750B4" w:rsidRDefault="006750B4" w:rsidP="00957BDD">
      <w:pPr>
        <w:pStyle w:val="ListParagraph"/>
        <w:numPr>
          <w:ilvl w:val="0"/>
          <w:numId w:val="5"/>
        </w:numPr>
        <w:spacing w:line="276" w:lineRule="auto"/>
        <w:rPr>
          <w:szCs w:val="26"/>
        </w:rPr>
      </w:pPr>
      <w:r w:rsidRPr="006750B4">
        <w:rPr>
          <w:szCs w:val="26"/>
        </w:rPr>
        <w:t xml:space="preserve">Seydi, S. T., Kanani-Sadat, Y., Hasanlou, M., Sahraei, R., Chanussot, J., &amp; Amani, M. (2023). Comparison of machine learning algorithms for flood susceptibility mapping. </w:t>
      </w:r>
      <w:r w:rsidRPr="006750B4">
        <w:rPr>
          <w:i/>
          <w:iCs/>
          <w:szCs w:val="26"/>
        </w:rPr>
        <w:t>Remote Sensing, 15</w:t>
      </w:r>
      <w:r w:rsidRPr="006750B4">
        <w:rPr>
          <w:szCs w:val="26"/>
        </w:rPr>
        <w:t>(1), 192. https://doi.org/10.3390/rs15010192</w:t>
      </w:r>
    </w:p>
    <w:p w14:paraId="340DA6CA"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14:ligatures w14:val="none"/>
        </w:rPr>
        <w:t>Singh, D., &amp; Singh, B. (2022). Feature wise normalization: An effective way of normalizing data. </w:t>
      </w:r>
      <w:r w:rsidRPr="006750B4">
        <w:rPr>
          <w:rFonts w:eastAsia="Times New Roman" w:cs="Times New Roman"/>
          <w:i/>
          <w:iCs/>
          <w:kern w:val="0"/>
          <w:szCs w:val="26"/>
          <w14:ligatures w14:val="none"/>
        </w:rPr>
        <w:t>Pattern Recognition</w:t>
      </w:r>
      <w:r w:rsidRPr="006750B4">
        <w:rPr>
          <w:rFonts w:eastAsia="Times New Roman" w:cs="Times New Roman"/>
          <w:kern w:val="0"/>
          <w:szCs w:val="26"/>
          <w14:ligatures w14:val="none"/>
        </w:rPr>
        <w:t>, </w:t>
      </w:r>
      <w:r w:rsidRPr="006750B4">
        <w:rPr>
          <w:rFonts w:eastAsia="Times New Roman" w:cs="Times New Roman"/>
          <w:i/>
          <w:iCs/>
          <w:kern w:val="0"/>
          <w:szCs w:val="26"/>
          <w14:ligatures w14:val="none"/>
        </w:rPr>
        <w:t>122</w:t>
      </w:r>
      <w:r w:rsidRPr="006750B4">
        <w:rPr>
          <w:rFonts w:eastAsia="Times New Roman" w:cs="Times New Roman"/>
          <w:kern w:val="0"/>
          <w:szCs w:val="26"/>
          <w14:ligatures w14:val="none"/>
        </w:rPr>
        <w:t>, 108307. https://doi.org/10.1016/j.patcog.2021.108307.</w:t>
      </w:r>
    </w:p>
    <w:p w14:paraId="0AC45360" w14:textId="77777777" w:rsidR="006750B4" w:rsidRPr="006750B4" w:rsidRDefault="006750B4" w:rsidP="00CE38A8">
      <w:pPr>
        <w:pStyle w:val="ListParagraph"/>
        <w:numPr>
          <w:ilvl w:val="0"/>
          <w:numId w:val="5"/>
        </w:numPr>
        <w:spacing w:after="0" w:line="240" w:lineRule="auto"/>
        <w:rPr>
          <w:rFonts w:eastAsia="Times New Roman" w:cs="Times New Roman"/>
          <w:kern w:val="0"/>
          <w:szCs w:val="26"/>
          <w14:ligatures w14:val="none"/>
        </w:rPr>
      </w:pPr>
      <w:r w:rsidRPr="006750B4">
        <w:rPr>
          <w:rFonts w:eastAsia="Times New Roman" w:cs="Times New Roman"/>
          <w:kern w:val="0"/>
          <w:szCs w:val="26"/>
          <w14:ligatures w14:val="none"/>
        </w:rPr>
        <w:t>Singha, C., Chakraborty, N., Sahoo, S., Pham, Q. B., &amp; Xuan, Y. (2025). A novel framework for flood susceptibility assessment using hybrid analytic hierarchy process-based machine learning methods. </w:t>
      </w:r>
      <w:r w:rsidRPr="006750B4">
        <w:rPr>
          <w:rFonts w:eastAsia="Times New Roman" w:cs="Times New Roman"/>
          <w:i/>
          <w:iCs/>
          <w:kern w:val="0"/>
          <w:szCs w:val="26"/>
          <w14:ligatures w14:val="none"/>
        </w:rPr>
        <w:t>Natural Hazards</w:t>
      </w:r>
      <w:r w:rsidRPr="006750B4">
        <w:rPr>
          <w:rFonts w:eastAsia="Times New Roman" w:cs="Times New Roman"/>
          <w:kern w:val="0"/>
          <w:szCs w:val="26"/>
          <w14:ligatures w14:val="none"/>
        </w:rPr>
        <w:t>, 1-46. https://doi.org/10.1007/s11069-025-07335-8.</w:t>
      </w:r>
    </w:p>
    <w:p w14:paraId="28BF41FF" w14:textId="77777777" w:rsidR="006750B4" w:rsidRPr="006750B4" w:rsidRDefault="006750B4" w:rsidP="00547C4D">
      <w:pPr>
        <w:pStyle w:val="ListParagraph"/>
        <w:numPr>
          <w:ilvl w:val="0"/>
          <w:numId w:val="5"/>
        </w:numPr>
        <w:spacing w:line="276" w:lineRule="auto"/>
        <w:rPr>
          <w:szCs w:val="26"/>
        </w:rPr>
      </w:pPr>
      <w:r w:rsidRPr="006750B4">
        <w:rPr>
          <w:szCs w:val="26"/>
          <w:lang w:val="sv-SE"/>
        </w:rPr>
        <w:t xml:space="preserve">Svetlana, D., Radovan, D., &amp; Ján, D. (2015). </w:t>
      </w:r>
      <w:r w:rsidRPr="006750B4">
        <w:rPr>
          <w:szCs w:val="26"/>
        </w:rPr>
        <w:t>The economic impact of floods and their importance in different regions of the world with emphasis on Europe. </w:t>
      </w:r>
      <w:r w:rsidRPr="006750B4">
        <w:rPr>
          <w:i/>
          <w:iCs/>
          <w:szCs w:val="26"/>
        </w:rPr>
        <w:t>Procedia Economics and Finance</w:t>
      </w:r>
      <w:r w:rsidRPr="006750B4">
        <w:rPr>
          <w:szCs w:val="26"/>
        </w:rPr>
        <w:t>, </w:t>
      </w:r>
      <w:r w:rsidRPr="006750B4">
        <w:rPr>
          <w:i/>
          <w:iCs/>
          <w:szCs w:val="26"/>
        </w:rPr>
        <w:t>34</w:t>
      </w:r>
      <w:r w:rsidRPr="006750B4">
        <w:rPr>
          <w:szCs w:val="26"/>
        </w:rPr>
        <w:t>, 649-655. https://doi.org/10.1016/S2212-5671(15)01681-0.</w:t>
      </w:r>
    </w:p>
    <w:p w14:paraId="4C53AF59" w14:textId="77777777" w:rsidR="006750B4" w:rsidRPr="006750B4" w:rsidRDefault="006750B4" w:rsidP="00547C4D">
      <w:pPr>
        <w:pStyle w:val="ListParagraph"/>
        <w:numPr>
          <w:ilvl w:val="0"/>
          <w:numId w:val="5"/>
        </w:numPr>
        <w:spacing w:line="276" w:lineRule="auto"/>
        <w:rPr>
          <w:szCs w:val="26"/>
        </w:rPr>
      </w:pPr>
      <w:r w:rsidRPr="006750B4">
        <w:rPr>
          <w:szCs w:val="26"/>
        </w:rPr>
        <w:t>Tehrany, M. S., Pradhan, B., Mansor, S., &amp; Ahmad, N. (2015). Flood susceptibility assessment using GIS-based support vector machine model with different kernel types. </w:t>
      </w:r>
      <w:r w:rsidRPr="006750B4">
        <w:rPr>
          <w:i/>
          <w:iCs/>
          <w:szCs w:val="26"/>
        </w:rPr>
        <w:t>Catena</w:t>
      </w:r>
      <w:r w:rsidRPr="006750B4">
        <w:rPr>
          <w:szCs w:val="26"/>
        </w:rPr>
        <w:t>, </w:t>
      </w:r>
      <w:r w:rsidRPr="006750B4">
        <w:rPr>
          <w:i/>
          <w:iCs/>
          <w:szCs w:val="26"/>
        </w:rPr>
        <w:t>125</w:t>
      </w:r>
      <w:r w:rsidRPr="006750B4">
        <w:rPr>
          <w:szCs w:val="26"/>
        </w:rPr>
        <w:t>, 91-101. https://doi.org/10.1016/j.catena.2014.10.017.</w:t>
      </w:r>
    </w:p>
    <w:p w14:paraId="417ACFC2" w14:textId="77777777" w:rsidR="006750B4" w:rsidRPr="006750B4" w:rsidRDefault="006750B4" w:rsidP="00547C4D">
      <w:pPr>
        <w:pStyle w:val="ListParagraph"/>
        <w:numPr>
          <w:ilvl w:val="0"/>
          <w:numId w:val="5"/>
        </w:numPr>
        <w:spacing w:line="276" w:lineRule="auto"/>
        <w:rPr>
          <w:szCs w:val="26"/>
        </w:rPr>
      </w:pPr>
      <w:r w:rsidRPr="006750B4">
        <w:rPr>
          <w:szCs w:val="26"/>
        </w:rPr>
        <w:t>Thammaboribal, P., Triapthti, N. K., &amp; Lipiloet, S. (2025). Using of Analytical Hierarchy Process (AHP) in Disaster Management: A Review of Flooding and Landslide Susceptibility Mapping. </w:t>
      </w:r>
      <w:r w:rsidRPr="006750B4">
        <w:rPr>
          <w:i/>
          <w:iCs/>
          <w:szCs w:val="26"/>
        </w:rPr>
        <w:t>International Journal of Geoinformatics</w:t>
      </w:r>
      <w:r w:rsidRPr="006750B4">
        <w:rPr>
          <w:szCs w:val="26"/>
        </w:rPr>
        <w:t>, </w:t>
      </w:r>
      <w:r w:rsidRPr="006750B4">
        <w:rPr>
          <w:i/>
          <w:iCs/>
          <w:szCs w:val="26"/>
        </w:rPr>
        <w:t>21</w:t>
      </w:r>
      <w:r w:rsidRPr="006750B4">
        <w:rPr>
          <w:szCs w:val="26"/>
        </w:rPr>
        <w:t>(4), 177-196. https://doi.org/10.52939/ijg.v21i4.4091.</w:t>
      </w:r>
    </w:p>
    <w:p w14:paraId="1F812AEF" w14:textId="3332D830" w:rsidR="006750B4" w:rsidRPr="00B71C42" w:rsidRDefault="006750B4" w:rsidP="00B71C42">
      <w:pPr>
        <w:pStyle w:val="ListParagraph"/>
        <w:numPr>
          <w:ilvl w:val="0"/>
          <w:numId w:val="5"/>
        </w:numPr>
        <w:spacing w:line="276" w:lineRule="auto"/>
        <w:rPr>
          <w:szCs w:val="26"/>
        </w:rPr>
      </w:pPr>
      <w:r w:rsidRPr="00B71C42">
        <w:rPr>
          <w:szCs w:val="26"/>
        </w:rPr>
        <w:lastRenderedPageBreak/>
        <w:t>Tran, M. V., Nguyen, T. T., &amp; Le, V. H. (2021).</w:t>
      </w:r>
      <w:r w:rsidR="00B71C42">
        <w:rPr>
          <w:b/>
          <w:bCs/>
          <w:szCs w:val="26"/>
        </w:rPr>
        <w:t xml:space="preserve"> </w:t>
      </w:r>
      <w:r w:rsidRPr="00B71C42">
        <w:rPr>
          <w:i/>
          <w:iCs/>
          <w:szCs w:val="26"/>
        </w:rPr>
        <w:t>Topographic characteristics and river networks of Ha Tinh Province for disaster zoning.</w:t>
      </w:r>
      <w:r w:rsidRPr="00B71C42">
        <w:rPr>
          <w:szCs w:val="26"/>
        </w:rPr>
        <w:t xml:space="preserve"> Vietnam Journal of Meteorology and Hydrology, 727, 43–52.</w:t>
      </w:r>
    </w:p>
    <w:p w14:paraId="3958C40E" w14:textId="77777777" w:rsidR="006750B4" w:rsidRPr="006750B4" w:rsidRDefault="006750B4" w:rsidP="00547C4D">
      <w:pPr>
        <w:pStyle w:val="ListParagraph"/>
        <w:numPr>
          <w:ilvl w:val="0"/>
          <w:numId w:val="5"/>
        </w:numPr>
        <w:spacing w:line="276" w:lineRule="auto"/>
        <w:rPr>
          <w:szCs w:val="26"/>
        </w:rPr>
      </w:pPr>
      <w:r w:rsidRPr="006750B4">
        <w:rPr>
          <w:szCs w:val="26"/>
          <w:lang w:val="it-IT"/>
        </w:rPr>
        <w:t xml:space="preserve">Ullah, M., Murtaza, G., &amp; Ashraf, M. (2025). </w:t>
      </w:r>
      <w:r w:rsidRPr="006750B4">
        <w:rPr>
          <w:szCs w:val="26"/>
        </w:rPr>
        <w:t>Socio-Economic and Environmental Impacts of Flood 2010 in Lower Dir District and Mitigation Measures. </w:t>
      </w:r>
      <w:r w:rsidRPr="006750B4">
        <w:rPr>
          <w:i/>
          <w:iCs/>
          <w:szCs w:val="26"/>
        </w:rPr>
        <w:t>Journal of Management &amp; Social Science</w:t>
      </w:r>
      <w:r w:rsidRPr="006750B4">
        <w:rPr>
          <w:szCs w:val="26"/>
        </w:rPr>
        <w:t>, </w:t>
      </w:r>
      <w:r w:rsidRPr="006750B4">
        <w:rPr>
          <w:i/>
          <w:iCs/>
          <w:szCs w:val="26"/>
        </w:rPr>
        <w:t>2</w:t>
      </w:r>
      <w:r w:rsidRPr="006750B4">
        <w:rPr>
          <w:szCs w:val="26"/>
        </w:rPr>
        <w:t>(2), 556-573.</w:t>
      </w:r>
    </w:p>
    <w:p w14:paraId="1D660D87" w14:textId="77777777" w:rsidR="006750B4" w:rsidRPr="006750B4" w:rsidRDefault="006750B4" w:rsidP="009B1A48">
      <w:pPr>
        <w:pStyle w:val="ListParagraph"/>
        <w:numPr>
          <w:ilvl w:val="0"/>
          <w:numId w:val="5"/>
        </w:numPr>
        <w:spacing w:line="276" w:lineRule="auto"/>
        <w:rPr>
          <w:szCs w:val="26"/>
        </w:rPr>
      </w:pPr>
      <w:r w:rsidRPr="00B71C42">
        <w:rPr>
          <w:szCs w:val="26"/>
        </w:rPr>
        <w:t>Vo, N. T., Le, V. T., &amp; Nguyen, D. T. (2022).</w:t>
      </w:r>
      <w:r w:rsidRPr="006750B4">
        <w:rPr>
          <w:b/>
          <w:bCs/>
          <w:szCs w:val="26"/>
        </w:rPr>
        <w:t xml:space="preserve"> </w:t>
      </w:r>
      <w:r w:rsidRPr="006750B4">
        <w:rPr>
          <w:i/>
          <w:iCs/>
          <w:szCs w:val="26"/>
        </w:rPr>
        <w:t>Impacts of land use conversion on floodplain dynamics in Ha Tinh Province, Vietnam.</w:t>
      </w:r>
      <w:r w:rsidRPr="006750B4">
        <w:rPr>
          <w:szCs w:val="26"/>
        </w:rPr>
        <w:t xml:space="preserve"> </w:t>
      </w:r>
      <w:r w:rsidRPr="00B71C42">
        <w:rPr>
          <w:szCs w:val="26"/>
        </w:rPr>
        <w:t>Hydrological Processes, 36</w:t>
      </w:r>
      <w:r w:rsidRPr="006750B4">
        <w:rPr>
          <w:szCs w:val="26"/>
        </w:rPr>
        <w:t xml:space="preserve">(9), e14620. </w:t>
      </w:r>
      <w:hyperlink r:id="rId24" w:history="1">
        <w:r w:rsidRPr="006750B4">
          <w:rPr>
            <w:rStyle w:val="Hyperlink"/>
            <w:szCs w:val="26"/>
          </w:rPr>
          <w:t>https://doi.org/10.1002/hyp.14620</w:t>
        </w:r>
      </w:hyperlink>
    </w:p>
    <w:p w14:paraId="6F21AF9C" w14:textId="77777777" w:rsidR="006750B4" w:rsidRPr="006750B4" w:rsidRDefault="006750B4" w:rsidP="00547C4D">
      <w:pPr>
        <w:pStyle w:val="ListParagraph"/>
        <w:numPr>
          <w:ilvl w:val="0"/>
          <w:numId w:val="5"/>
        </w:numPr>
        <w:spacing w:line="276" w:lineRule="auto"/>
        <w:rPr>
          <w:szCs w:val="26"/>
        </w:rPr>
      </w:pPr>
      <w:r w:rsidRPr="006750B4">
        <w:rPr>
          <w:szCs w:val="26"/>
        </w:rPr>
        <w:t>Wang, X., &amp; Xie, H. (2018). A Review on Applications of Remote Sensing and Geographic Information Systems (GIS) in Water Resources and Flood Risk Management. </w:t>
      </w:r>
      <w:r w:rsidRPr="006750B4">
        <w:rPr>
          <w:i/>
          <w:iCs/>
          <w:szCs w:val="26"/>
        </w:rPr>
        <w:t>Water</w:t>
      </w:r>
      <w:r w:rsidRPr="006750B4">
        <w:rPr>
          <w:szCs w:val="26"/>
        </w:rPr>
        <w:t>, </w:t>
      </w:r>
      <w:r w:rsidRPr="006750B4">
        <w:rPr>
          <w:i/>
          <w:iCs/>
          <w:szCs w:val="26"/>
        </w:rPr>
        <w:t>10</w:t>
      </w:r>
      <w:r w:rsidRPr="006750B4">
        <w:rPr>
          <w:szCs w:val="26"/>
        </w:rPr>
        <w:t>(5), 608. https://doi.org/10.3390/w10050608.</w:t>
      </w:r>
    </w:p>
    <w:p w14:paraId="7A5ADD05" w14:textId="77777777" w:rsidR="006750B4" w:rsidRPr="006750B4" w:rsidRDefault="006750B4" w:rsidP="00547C4D">
      <w:pPr>
        <w:pStyle w:val="ListParagraph"/>
        <w:numPr>
          <w:ilvl w:val="0"/>
          <w:numId w:val="5"/>
        </w:numPr>
        <w:spacing w:line="276" w:lineRule="auto"/>
        <w:rPr>
          <w:szCs w:val="26"/>
        </w:rPr>
      </w:pPr>
      <w:r w:rsidRPr="006750B4">
        <w:rPr>
          <w:szCs w:val="26"/>
          <w:lang w:val="nl-NL"/>
        </w:rPr>
        <w:t xml:space="preserve">Wang, Y., Zhang, P., Xie, Y., Chen, L., &amp; Li, Y. (2025). </w:t>
      </w:r>
      <w:r w:rsidRPr="006750B4">
        <w:rPr>
          <w:szCs w:val="26"/>
        </w:rPr>
        <w:t>Toward explainable flood risk prediction: Integrating a novel hybrid machine learning model. </w:t>
      </w:r>
      <w:r w:rsidRPr="006750B4">
        <w:rPr>
          <w:i/>
          <w:iCs/>
          <w:szCs w:val="26"/>
        </w:rPr>
        <w:t>Sustainable Cities and Society</w:t>
      </w:r>
      <w:r w:rsidRPr="006750B4">
        <w:rPr>
          <w:szCs w:val="26"/>
        </w:rPr>
        <w:t>, </w:t>
      </w:r>
      <w:r w:rsidRPr="006750B4">
        <w:rPr>
          <w:i/>
          <w:iCs/>
          <w:szCs w:val="26"/>
        </w:rPr>
        <w:t>120</w:t>
      </w:r>
      <w:r w:rsidRPr="006750B4">
        <w:rPr>
          <w:szCs w:val="26"/>
        </w:rPr>
        <w:t>, 106140. https://doi.org/10.1016/j.scs.2025.106140.</w:t>
      </w:r>
    </w:p>
    <w:p w14:paraId="0ADDF1A5" w14:textId="77777777" w:rsidR="006750B4" w:rsidRPr="006750B4" w:rsidRDefault="006750B4" w:rsidP="00547C4D">
      <w:pPr>
        <w:pStyle w:val="ListParagraph"/>
        <w:numPr>
          <w:ilvl w:val="0"/>
          <w:numId w:val="5"/>
        </w:numPr>
        <w:spacing w:line="276" w:lineRule="auto"/>
        <w:rPr>
          <w:szCs w:val="26"/>
        </w:rPr>
      </w:pPr>
      <w:r w:rsidRPr="006750B4">
        <w:rPr>
          <w:szCs w:val="26"/>
        </w:rPr>
        <w:t>Xu, C., Rahman, M., Haase, D., Wu, Y., Su, M., &amp; Pauleit, S. (2020). Surface runoff in urban areas: The role of residential cover and urban growth form. </w:t>
      </w:r>
      <w:r w:rsidRPr="006750B4">
        <w:rPr>
          <w:i/>
          <w:iCs/>
          <w:szCs w:val="26"/>
        </w:rPr>
        <w:t>Journal of Cleaner Production</w:t>
      </w:r>
      <w:r w:rsidRPr="006750B4">
        <w:rPr>
          <w:szCs w:val="26"/>
        </w:rPr>
        <w:t>, </w:t>
      </w:r>
      <w:r w:rsidRPr="006750B4">
        <w:rPr>
          <w:i/>
          <w:iCs/>
          <w:szCs w:val="26"/>
        </w:rPr>
        <w:t>262</w:t>
      </w:r>
      <w:r w:rsidRPr="006750B4">
        <w:rPr>
          <w:szCs w:val="26"/>
        </w:rPr>
        <w:t>, 121421. https://doi.org/10.1016/j.jclepro.2020.121421.</w:t>
      </w:r>
    </w:p>
    <w:p w14:paraId="7F8BFEE9" w14:textId="77777777" w:rsidR="006750B4" w:rsidRPr="006750B4" w:rsidRDefault="006750B4" w:rsidP="00547C4D">
      <w:pPr>
        <w:pStyle w:val="ListParagraph"/>
        <w:numPr>
          <w:ilvl w:val="0"/>
          <w:numId w:val="5"/>
        </w:numPr>
        <w:spacing w:line="276" w:lineRule="auto"/>
        <w:rPr>
          <w:szCs w:val="26"/>
        </w:rPr>
      </w:pPr>
      <w:r w:rsidRPr="006750B4">
        <w:rPr>
          <w:szCs w:val="26"/>
        </w:rPr>
        <w:t>Yin, Z., Hu, Y., Jenkins, K., He, Y., Forstenhäusler, N., Warren, R. &amp; Guan, D. (2021). Assessing the economic impacts of future fluvial flooding in six countries under climate change and socio-economic development. </w:t>
      </w:r>
      <w:r w:rsidRPr="006750B4">
        <w:rPr>
          <w:i/>
          <w:iCs/>
          <w:szCs w:val="26"/>
        </w:rPr>
        <w:t>Climatic Change</w:t>
      </w:r>
      <w:r w:rsidRPr="006750B4">
        <w:rPr>
          <w:szCs w:val="26"/>
        </w:rPr>
        <w:t>, </w:t>
      </w:r>
      <w:r w:rsidRPr="006750B4">
        <w:rPr>
          <w:i/>
          <w:iCs/>
          <w:szCs w:val="26"/>
        </w:rPr>
        <w:t>166</w:t>
      </w:r>
      <w:r w:rsidRPr="006750B4">
        <w:rPr>
          <w:szCs w:val="26"/>
        </w:rPr>
        <w:t>(3), 38. https://doi.org/10.1007/s10584-021-03059-3.</w:t>
      </w:r>
    </w:p>
    <w:p w14:paraId="38BF24C9" w14:textId="77777777" w:rsidR="006750B4" w:rsidRPr="006750B4" w:rsidRDefault="006750B4" w:rsidP="004D5AEB">
      <w:pPr>
        <w:pStyle w:val="ListParagraph"/>
        <w:numPr>
          <w:ilvl w:val="0"/>
          <w:numId w:val="5"/>
        </w:numPr>
        <w:spacing w:line="276" w:lineRule="auto"/>
        <w:rPr>
          <w:szCs w:val="26"/>
        </w:rPr>
      </w:pPr>
      <w:r w:rsidRPr="006750B4">
        <w:rPr>
          <w:szCs w:val="26"/>
          <w:lang w:val="nl-NL"/>
        </w:rPr>
        <w:t xml:space="preserve">Zha, D., Bhat, Z. P., Lai, K. H., Yang, F., Jiang, Z., Zhong, S., &amp; Hu, X. (2025). </w:t>
      </w:r>
      <w:r w:rsidRPr="006750B4">
        <w:rPr>
          <w:szCs w:val="26"/>
        </w:rPr>
        <w:t>Data-centric artificial intelligence: A survey. </w:t>
      </w:r>
      <w:r w:rsidRPr="006750B4">
        <w:rPr>
          <w:i/>
          <w:iCs/>
          <w:szCs w:val="26"/>
        </w:rPr>
        <w:t>ACM Computing Surveys</w:t>
      </w:r>
      <w:r w:rsidRPr="006750B4">
        <w:rPr>
          <w:szCs w:val="26"/>
        </w:rPr>
        <w:t>, </w:t>
      </w:r>
      <w:r w:rsidRPr="006750B4">
        <w:rPr>
          <w:i/>
          <w:iCs/>
          <w:szCs w:val="26"/>
        </w:rPr>
        <w:t>57</w:t>
      </w:r>
      <w:r w:rsidRPr="006750B4">
        <w:rPr>
          <w:szCs w:val="26"/>
        </w:rPr>
        <w:t>(5), 1-42. https://doi.org/10.1145/3711118.</w:t>
      </w:r>
    </w:p>
    <w:p w14:paraId="17F2FB7A" w14:textId="446C4DF9" w:rsidR="006750B4" w:rsidRPr="00C90632" w:rsidRDefault="006750B4" w:rsidP="004425C4">
      <w:pPr>
        <w:pStyle w:val="ListParagraph"/>
        <w:numPr>
          <w:ilvl w:val="0"/>
          <w:numId w:val="5"/>
        </w:numPr>
        <w:spacing w:line="276" w:lineRule="auto"/>
        <w:rPr>
          <w:szCs w:val="26"/>
        </w:rPr>
      </w:pPr>
      <w:r w:rsidRPr="006750B4">
        <w:rPr>
          <w:szCs w:val="26"/>
          <w:lang w:val="pt-BR"/>
        </w:rPr>
        <w:t xml:space="preserve">Zhou, Q., Teng, S., Situ, Z., Liao, X., Feng, J., Chen, G. &amp; Lu, Z. (2023). </w:t>
      </w:r>
      <w:r w:rsidRPr="006750B4">
        <w:rPr>
          <w:szCs w:val="26"/>
        </w:rPr>
        <w:t xml:space="preserve">A deep-learning-technique-based data-driven model for accurate and rapid flood predictions in temporal and spatial dimensions. </w:t>
      </w:r>
      <w:r w:rsidRPr="006750B4">
        <w:rPr>
          <w:i/>
          <w:iCs/>
          <w:szCs w:val="26"/>
        </w:rPr>
        <w:t xml:space="preserve">Hydrology and Earth System </w:t>
      </w:r>
      <w:r w:rsidRPr="00C90632">
        <w:rPr>
          <w:szCs w:val="26"/>
        </w:rPr>
        <w:t>Sciences, 27(9), 1791-1808. https://doi.org/10.5194/hess-27-1791-2023, 2023.</w:t>
      </w:r>
    </w:p>
    <w:p w14:paraId="0507BEB9" w14:textId="65DE9F67" w:rsidR="00C90632" w:rsidRPr="00C90632" w:rsidRDefault="00C90632" w:rsidP="00C90632">
      <w:pPr>
        <w:pStyle w:val="ListParagraph"/>
        <w:numPr>
          <w:ilvl w:val="0"/>
          <w:numId w:val="5"/>
        </w:numPr>
        <w:spacing w:line="276" w:lineRule="auto"/>
        <w:rPr>
          <w:szCs w:val="26"/>
        </w:rPr>
      </w:pPr>
      <w:r w:rsidRPr="00C90632">
        <w:rPr>
          <w:szCs w:val="26"/>
        </w:rPr>
        <w:t>Forman, E. H., &amp; Gass, S. I. (2001). The Analytic Hierarchy Process—An exposition. Operations Research, 49(4), 469–486.</w:t>
      </w:r>
    </w:p>
    <w:p w14:paraId="152C7A2E" w14:textId="4796238C" w:rsidR="00C90632" w:rsidRPr="00C90632" w:rsidRDefault="00C90632" w:rsidP="00C90632">
      <w:pPr>
        <w:pStyle w:val="ListParagraph"/>
        <w:numPr>
          <w:ilvl w:val="0"/>
          <w:numId w:val="5"/>
        </w:numPr>
        <w:spacing w:line="276" w:lineRule="auto"/>
        <w:rPr>
          <w:szCs w:val="26"/>
        </w:rPr>
      </w:pPr>
      <w:r w:rsidRPr="00C90632">
        <w:rPr>
          <w:szCs w:val="26"/>
        </w:rPr>
        <w:t xml:space="preserve"> Luu, T. T., Nguyen, T. H., &amp; Dang, H. T. (2020). Integration of GIS and AHP for flood hazard mapping: A case study in Central Vietnam. Natural Hazards, 104(2), 1867–1888.</w:t>
      </w:r>
    </w:p>
    <w:p w14:paraId="6657E850" w14:textId="1C99336D" w:rsidR="00C90632" w:rsidRPr="00C90632" w:rsidRDefault="00C90632" w:rsidP="00C90632">
      <w:pPr>
        <w:pStyle w:val="ListParagraph"/>
        <w:numPr>
          <w:ilvl w:val="0"/>
          <w:numId w:val="5"/>
        </w:numPr>
        <w:spacing w:line="276" w:lineRule="auto"/>
        <w:rPr>
          <w:szCs w:val="26"/>
        </w:rPr>
      </w:pPr>
      <w:r w:rsidRPr="00C90632">
        <w:rPr>
          <w:szCs w:val="26"/>
        </w:rPr>
        <w:t>Rahmati, O., Zeinivand, H., &amp; Bui, D. T. (2021). A comparison of different machine learning models for flood susceptibility mapping: A case study of the Haraz watershed, Iran. Science of the Total Environment, 788, 147659.</w:t>
      </w:r>
    </w:p>
    <w:p w14:paraId="55782857" w14:textId="1A60855A" w:rsidR="00C90632" w:rsidRPr="00C90632" w:rsidRDefault="00C90632" w:rsidP="00C90632">
      <w:pPr>
        <w:pStyle w:val="ListParagraph"/>
        <w:numPr>
          <w:ilvl w:val="0"/>
          <w:numId w:val="5"/>
        </w:numPr>
        <w:spacing w:line="276" w:lineRule="auto"/>
        <w:rPr>
          <w:szCs w:val="26"/>
        </w:rPr>
      </w:pPr>
      <w:r w:rsidRPr="00C90632">
        <w:rPr>
          <w:szCs w:val="26"/>
        </w:rPr>
        <w:t>Saaty, T. L. (2008). Decision making with the Analytic Hierarchy Process. International Journal of Services Sciences, 1(1), 83–98.</w:t>
      </w:r>
    </w:p>
    <w:p w14:paraId="09F8167D" w14:textId="2EAB243D" w:rsidR="00C90632" w:rsidRPr="00C90632" w:rsidRDefault="00C90632" w:rsidP="00C90632">
      <w:pPr>
        <w:pStyle w:val="ListParagraph"/>
        <w:numPr>
          <w:ilvl w:val="0"/>
          <w:numId w:val="5"/>
        </w:numPr>
        <w:spacing w:line="276" w:lineRule="auto"/>
        <w:rPr>
          <w:szCs w:val="26"/>
        </w:rPr>
      </w:pPr>
      <w:r w:rsidRPr="00C90632">
        <w:rPr>
          <w:szCs w:val="26"/>
        </w:rPr>
        <w:t>Vargas, L. G. (2010). Models, methods, concepts &amp; applications of the Analytic Hierarchy Process (2nd ed.). Springer</w:t>
      </w:r>
    </w:p>
    <w:sectPr w:rsidR="00C90632" w:rsidRPr="00C90632"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67C1"/>
    <w:multiLevelType w:val="multilevel"/>
    <w:tmpl w:val="2BE6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A7DF7"/>
    <w:multiLevelType w:val="multilevel"/>
    <w:tmpl w:val="8C70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52EC3"/>
    <w:multiLevelType w:val="multilevel"/>
    <w:tmpl w:val="6048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7266A"/>
    <w:multiLevelType w:val="hybridMultilevel"/>
    <w:tmpl w:val="B20AD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8C7796"/>
    <w:multiLevelType w:val="multilevel"/>
    <w:tmpl w:val="2788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F16B0E"/>
    <w:multiLevelType w:val="multilevel"/>
    <w:tmpl w:val="B26E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54EFA"/>
    <w:multiLevelType w:val="multilevel"/>
    <w:tmpl w:val="0840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14EFD"/>
    <w:multiLevelType w:val="multilevel"/>
    <w:tmpl w:val="EC0C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2"/>
  </w:num>
  <w:num w:numId="5">
    <w:abstractNumId w:val="3"/>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B0"/>
    <w:rsid w:val="00006673"/>
    <w:rsid w:val="00024F86"/>
    <w:rsid w:val="0004068A"/>
    <w:rsid w:val="000430F3"/>
    <w:rsid w:val="00062799"/>
    <w:rsid w:val="00065DFE"/>
    <w:rsid w:val="000709F4"/>
    <w:rsid w:val="0008190F"/>
    <w:rsid w:val="000876BF"/>
    <w:rsid w:val="00097ED6"/>
    <w:rsid w:val="000B2FB6"/>
    <w:rsid w:val="000B32DF"/>
    <w:rsid w:val="000F5D82"/>
    <w:rsid w:val="00100B6F"/>
    <w:rsid w:val="001134C2"/>
    <w:rsid w:val="0013666D"/>
    <w:rsid w:val="001458D1"/>
    <w:rsid w:val="0014704C"/>
    <w:rsid w:val="00197678"/>
    <w:rsid w:val="001C1782"/>
    <w:rsid w:val="001C6F72"/>
    <w:rsid w:val="001D37CB"/>
    <w:rsid w:val="001D4056"/>
    <w:rsid w:val="001E58BF"/>
    <w:rsid w:val="001F02EE"/>
    <w:rsid w:val="001F2807"/>
    <w:rsid w:val="00212952"/>
    <w:rsid w:val="00222935"/>
    <w:rsid w:val="0023052A"/>
    <w:rsid w:val="00232E69"/>
    <w:rsid w:val="00233552"/>
    <w:rsid w:val="002403B0"/>
    <w:rsid w:val="002532F6"/>
    <w:rsid w:val="00256B70"/>
    <w:rsid w:val="00281394"/>
    <w:rsid w:val="002A5D5E"/>
    <w:rsid w:val="002B0C28"/>
    <w:rsid w:val="002C0BE8"/>
    <w:rsid w:val="002E2460"/>
    <w:rsid w:val="002E55A5"/>
    <w:rsid w:val="002F212A"/>
    <w:rsid w:val="002F225B"/>
    <w:rsid w:val="002F70F5"/>
    <w:rsid w:val="003207C0"/>
    <w:rsid w:val="003241EB"/>
    <w:rsid w:val="0033331C"/>
    <w:rsid w:val="00336834"/>
    <w:rsid w:val="00367765"/>
    <w:rsid w:val="0037481E"/>
    <w:rsid w:val="0037659C"/>
    <w:rsid w:val="00377658"/>
    <w:rsid w:val="00382AD1"/>
    <w:rsid w:val="003847EF"/>
    <w:rsid w:val="0038645D"/>
    <w:rsid w:val="003C5577"/>
    <w:rsid w:val="003D507B"/>
    <w:rsid w:val="003D7514"/>
    <w:rsid w:val="003F7005"/>
    <w:rsid w:val="00414622"/>
    <w:rsid w:val="00430A95"/>
    <w:rsid w:val="00433171"/>
    <w:rsid w:val="004403E3"/>
    <w:rsid w:val="004425C4"/>
    <w:rsid w:val="00443FC1"/>
    <w:rsid w:val="00455490"/>
    <w:rsid w:val="004A1777"/>
    <w:rsid w:val="004B259E"/>
    <w:rsid w:val="004C71E7"/>
    <w:rsid w:val="004D5AEB"/>
    <w:rsid w:val="004E3512"/>
    <w:rsid w:val="004E4D5E"/>
    <w:rsid w:val="004E5A98"/>
    <w:rsid w:val="004F662B"/>
    <w:rsid w:val="004F735A"/>
    <w:rsid w:val="0050376F"/>
    <w:rsid w:val="005120AC"/>
    <w:rsid w:val="00530DA9"/>
    <w:rsid w:val="00540080"/>
    <w:rsid w:val="00547C4D"/>
    <w:rsid w:val="00554B11"/>
    <w:rsid w:val="005834F8"/>
    <w:rsid w:val="005A103D"/>
    <w:rsid w:val="005B14E3"/>
    <w:rsid w:val="005B36F7"/>
    <w:rsid w:val="005C0BEA"/>
    <w:rsid w:val="005C2B7E"/>
    <w:rsid w:val="005E3A11"/>
    <w:rsid w:val="005F492F"/>
    <w:rsid w:val="005F7853"/>
    <w:rsid w:val="00603437"/>
    <w:rsid w:val="006106F9"/>
    <w:rsid w:val="006313B4"/>
    <w:rsid w:val="00632014"/>
    <w:rsid w:val="00637DFC"/>
    <w:rsid w:val="00674E20"/>
    <w:rsid w:val="006750B4"/>
    <w:rsid w:val="006970AC"/>
    <w:rsid w:val="006A0035"/>
    <w:rsid w:val="006F4836"/>
    <w:rsid w:val="00712EF2"/>
    <w:rsid w:val="00720D6B"/>
    <w:rsid w:val="00743A59"/>
    <w:rsid w:val="007447EC"/>
    <w:rsid w:val="0075330F"/>
    <w:rsid w:val="00785BB8"/>
    <w:rsid w:val="007867E6"/>
    <w:rsid w:val="00794523"/>
    <w:rsid w:val="00796488"/>
    <w:rsid w:val="00797EC5"/>
    <w:rsid w:val="007A43A8"/>
    <w:rsid w:val="007B1A57"/>
    <w:rsid w:val="0080537E"/>
    <w:rsid w:val="00824E32"/>
    <w:rsid w:val="0082544C"/>
    <w:rsid w:val="0082734B"/>
    <w:rsid w:val="008557CF"/>
    <w:rsid w:val="00870F13"/>
    <w:rsid w:val="00887693"/>
    <w:rsid w:val="00887CAB"/>
    <w:rsid w:val="00897C1F"/>
    <w:rsid w:val="008A4B54"/>
    <w:rsid w:val="008A7C52"/>
    <w:rsid w:val="008C2200"/>
    <w:rsid w:val="00917B0E"/>
    <w:rsid w:val="009545D0"/>
    <w:rsid w:val="00956075"/>
    <w:rsid w:val="00957BDD"/>
    <w:rsid w:val="00961E48"/>
    <w:rsid w:val="009717E6"/>
    <w:rsid w:val="00972338"/>
    <w:rsid w:val="009A6A28"/>
    <w:rsid w:val="009A722C"/>
    <w:rsid w:val="009B1A48"/>
    <w:rsid w:val="009C52AC"/>
    <w:rsid w:val="009E14DA"/>
    <w:rsid w:val="009F7B27"/>
    <w:rsid w:val="00A07175"/>
    <w:rsid w:val="00A4769E"/>
    <w:rsid w:val="00AA4C91"/>
    <w:rsid w:val="00AA5EEE"/>
    <w:rsid w:val="00AC05F8"/>
    <w:rsid w:val="00AC0B1C"/>
    <w:rsid w:val="00AC2E1C"/>
    <w:rsid w:val="00AD2E69"/>
    <w:rsid w:val="00AD57D2"/>
    <w:rsid w:val="00AD69E9"/>
    <w:rsid w:val="00AE0389"/>
    <w:rsid w:val="00AE2372"/>
    <w:rsid w:val="00B07007"/>
    <w:rsid w:val="00B20193"/>
    <w:rsid w:val="00B364CE"/>
    <w:rsid w:val="00B4431F"/>
    <w:rsid w:val="00B51F61"/>
    <w:rsid w:val="00B52BF1"/>
    <w:rsid w:val="00B67D5D"/>
    <w:rsid w:val="00B71C42"/>
    <w:rsid w:val="00B9231C"/>
    <w:rsid w:val="00BA5F3D"/>
    <w:rsid w:val="00BA7C56"/>
    <w:rsid w:val="00BC28CE"/>
    <w:rsid w:val="00BC6AFE"/>
    <w:rsid w:val="00BE5472"/>
    <w:rsid w:val="00BF5F6F"/>
    <w:rsid w:val="00C032D2"/>
    <w:rsid w:val="00C04936"/>
    <w:rsid w:val="00C07517"/>
    <w:rsid w:val="00C14321"/>
    <w:rsid w:val="00C2769E"/>
    <w:rsid w:val="00C35954"/>
    <w:rsid w:val="00C717FD"/>
    <w:rsid w:val="00C90632"/>
    <w:rsid w:val="00C926EB"/>
    <w:rsid w:val="00CD0EE8"/>
    <w:rsid w:val="00CE38A8"/>
    <w:rsid w:val="00CE3C23"/>
    <w:rsid w:val="00CF0C69"/>
    <w:rsid w:val="00D2142E"/>
    <w:rsid w:val="00D23D0E"/>
    <w:rsid w:val="00D302A5"/>
    <w:rsid w:val="00D36A8F"/>
    <w:rsid w:val="00D708D3"/>
    <w:rsid w:val="00D77540"/>
    <w:rsid w:val="00D817BC"/>
    <w:rsid w:val="00D83036"/>
    <w:rsid w:val="00D939CC"/>
    <w:rsid w:val="00DA0665"/>
    <w:rsid w:val="00DA1138"/>
    <w:rsid w:val="00DD6DD3"/>
    <w:rsid w:val="00E0196D"/>
    <w:rsid w:val="00E14334"/>
    <w:rsid w:val="00E23151"/>
    <w:rsid w:val="00E441D6"/>
    <w:rsid w:val="00E557BB"/>
    <w:rsid w:val="00E64413"/>
    <w:rsid w:val="00E66165"/>
    <w:rsid w:val="00E8537A"/>
    <w:rsid w:val="00E90912"/>
    <w:rsid w:val="00E9496E"/>
    <w:rsid w:val="00EC0768"/>
    <w:rsid w:val="00EE6AE7"/>
    <w:rsid w:val="00EE7FE3"/>
    <w:rsid w:val="00EF55DB"/>
    <w:rsid w:val="00F021F6"/>
    <w:rsid w:val="00F12CBD"/>
    <w:rsid w:val="00F30D3B"/>
    <w:rsid w:val="00F33602"/>
    <w:rsid w:val="00F407D9"/>
    <w:rsid w:val="00F43BE8"/>
    <w:rsid w:val="00F43EE7"/>
    <w:rsid w:val="00F92442"/>
    <w:rsid w:val="00FA1223"/>
    <w:rsid w:val="00FC2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173A"/>
  <w15:chartTrackingRefBased/>
  <w15:docId w15:val="{5A67F3A4-D030-4F57-8266-B32675B1D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4F8"/>
    <w:pPr>
      <w:spacing w:line="324" w:lineRule="auto"/>
      <w:jc w:val="both"/>
    </w:pPr>
    <w:rPr>
      <w:rFonts w:ascii="Times New Roman" w:hAnsi="Times New Roman"/>
      <w:sz w:val="26"/>
    </w:rPr>
  </w:style>
  <w:style w:type="paragraph" w:styleId="Heading1">
    <w:name w:val="heading 1"/>
    <w:basedOn w:val="Normal"/>
    <w:next w:val="Normal"/>
    <w:link w:val="Heading1Char"/>
    <w:uiPriority w:val="9"/>
    <w:qFormat/>
    <w:rsid w:val="00FC2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FC26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26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26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26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26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aliases w:val="図表番号 Char Char,Caption Char,Caption Char1 Char,Caption Char Char Char,Caption Char1 Char Char1 Char,Caption Char Char Char Char1 Char,Caption Char1 Char Char Char Char,Caption Char Char Char Char Char Char,Caption Cha"/>
    <w:basedOn w:val="Normal"/>
    <w:next w:val="Normal"/>
    <w:link w:val="CaptionChar1"/>
    <w:autoRedefine/>
    <w:uiPriority w:val="35"/>
    <w:unhideWhenUsed/>
    <w:qFormat/>
    <w:rsid w:val="007B1A57"/>
    <w:pPr>
      <w:spacing w:after="0" w:line="240" w:lineRule="auto"/>
      <w:jc w:val="center"/>
    </w:pPr>
    <w:rPr>
      <w:b/>
      <w:bCs/>
      <w:sz w:val="24"/>
      <w:szCs w:val="24"/>
    </w:rPr>
  </w:style>
  <w:style w:type="character" w:customStyle="1" w:styleId="Heading1Char">
    <w:name w:val="Heading 1 Char"/>
    <w:basedOn w:val="DefaultParagraphFont"/>
    <w:link w:val="Heading1"/>
    <w:uiPriority w:val="9"/>
    <w:rsid w:val="00FC26B0"/>
    <w:rPr>
      <w:rFonts w:asciiTheme="majorHAnsi" w:eastAsiaTheme="majorEastAsia" w:hAnsiTheme="majorHAnsi" w:cstheme="majorBidi"/>
      <w:color w:val="0F4761" w:themeColor="accent1" w:themeShade="BF"/>
      <w:sz w:val="40"/>
      <w:szCs w:val="40"/>
    </w:rPr>
  </w:style>
  <w:style w:type="character" w:customStyle="1" w:styleId="Heading5Char">
    <w:name w:val="Heading 5 Char"/>
    <w:basedOn w:val="DefaultParagraphFont"/>
    <w:link w:val="Heading5"/>
    <w:uiPriority w:val="9"/>
    <w:semiHidden/>
    <w:rsid w:val="00FC26B0"/>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FC26B0"/>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FC26B0"/>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FC26B0"/>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FC26B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FC2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6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6B0"/>
    <w:pPr>
      <w:spacing w:before="160"/>
      <w:jc w:val="center"/>
    </w:pPr>
    <w:rPr>
      <w:i/>
      <w:iCs/>
      <w:color w:val="404040" w:themeColor="text1" w:themeTint="BF"/>
    </w:rPr>
  </w:style>
  <w:style w:type="character" w:customStyle="1" w:styleId="QuoteChar">
    <w:name w:val="Quote Char"/>
    <w:basedOn w:val="DefaultParagraphFont"/>
    <w:link w:val="Quote"/>
    <w:uiPriority w:val="29"/>
    <w:rsid w:val="00FC26B0"/>
    <w:rPr>
      <w:rFonts w:ascii="Times New Roman" w:hAnsi="Times New Roman"/>
      <w:i/>
      <w:iCs/>
      <w:color w:val="404040" w:themeColor="text1" w:themeTint="BF"/>
      <w:sz w:val="26"/>
    </w:rPr>
  </w:style>
  <w:style w:type="paragraph" w:styleId="ListParagraph">
    <w:name w:val="List Paragraph"/>
    <w:basedOn w:val="Normal"/>
    <w:uiPriority w:val="34"/>
    <w:qFormat/>
    <w:rsid w:val="00FC26B0"/>
    <w:pPr>
      <w:ind w:left="720"/>
      <w:contextualSpacing/>
    </w:pPr>
  </w:style>
  <w:style w:type="character" w:styleId="IntenseEmphasis">
    <w:name w:val="Intense Emphasis"/>
    <w:basedOn w:val="DefaultParagraphFont"/>
    <w:uiPriority w:val="21"/>
    <w:qFormat/>
    <w:rsid w:val="00FC26B0"/>
    <w:rPr>
      <w:i/>
      <w:iCs/>
      <w:color w:val="0F4761" w:themeColor="accent1" w:themeShade="BF"/>
    </w:rPr>
  </w:style>
  <w:style w:type="paragraph" w:styleId="IntenseQuote">
    <w:name w:val="Intense Quote"/>
    <w:basedOn w:val="Normal"/>
    <w:next w:val="Normal"/>
    <w:link w:val="IntenseQuoteChar"/>
    <w:uiPriority w:val="30"/>
    <w:qFormat/>
    <w:rsid w:val="00FC2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6B0"/>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FC26B0"/>
    <w:rPr>
      <w:b/>
      <w:bCs/>
      <w:smallCaps/>
      <w:color w:val="0F4761" w:themeColor="accent1" w:themeShade="BF"/>
      <w:spacing w:val="5"/>
    </w:rPr>
  </w:style>
  <w:style w:type="character" w:styleId="Hyperlink">
    <w:name w:val="Hyperlink"/>
    <w:basedOn w:val="DefaultParagraphFont"/>
    <w:uiPriority w:val="99"/>
    <w:unhideWhenUsed/>
    <w:rsid w:val="00C926EB"/>
    <w:rPr>
      <w:color w:val="467886" w:themeColor="hyperlink"/>
      <w:u w:val="single"/>
    </w:rPr>
  </w:style>
  <w:style w:type="character" w:styleId="UnresolvedMention">
    <w:name w:val="Unresolved Mention"/>
    <w:basedOn w:val="DefaultParagraphFont"/>
    <w:uiPriority w:val="99"/>
    <w:semiHidden/>
    <w:unhideWhenUsed/>
    <w:rsid w:val="00C926EB"/>
    <w:rPr>
      <w:color w:val="605E5C"/>
      <w:shd w:val="clear" w:color="auto" w:fill="E1DFDD"/>
    </w:rPr>
  </w:style>
  <w:style w:type="character" w:customStyle="1" w:styleId="CaptionChar1">
    <w:name w:val="Caption Char1"/>
    <w:aliases w:val="図表番号 Char Char Char,Caption Char Char,Caption Char1 Char Char,Caption Char Char Char Char,Caption Char1 Char Char1 Char Char,Caption Char Char Char Char1 Char Char,Caption Char1 Char Char Char Char Char,Caption Cha Char"/>
    <w:link w:val="Caption"/>
    <w:uiPriority w:val="35"/>
    <w:locked/>
    <w:rsid w:val="007B1A57"/>
    <w:rPr>
      <w:rFonts w:ascii="Times New Roman" w:hAnsi="Times New Roman"/>
      <w:b/>
      <w:bCs/>
      <w:sz w:val="24"/>
      <w:szCs w:val="24"/>
    </w:rPr>
  </w:style>
  <w:style w:type="table" w:styleId="TableGrid">
    <w:name w:val="Table Grid"/>
    <w:basedOn w:val="TableNormal"/>
    <w:uiPriority w:val="39"/>
    <w:rsid w:val="00797E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F2807"/>
    <w:pPr>
      <w:spacing w:before="100" w:beforeAutospacing="1" w:after="100" w:afterAutospacing="1" w:line="240" w:lineRule="auto"/>
      <w:jc w:val="left"/>
    </w:pPr>
    <w:rPr>
      <w:rFonts w:eastAsia="Times New Roman" w:cs="Times New Roman"/>
      <w:kern w:val="0"/>
      <w:sz w:val="24"/>
      <w:szCs w:val="24"/>
      <w14:ligatures w14:val="none"/>
    </w:rPr>
  </w:style>
  <w:style w:type="character" w:styleId="Emphasis">
    <w:name w:val="Emphasis"/>
    <w:basedOn w:val="DefaultParagraphFont"/>
    <w:uiPriority w:val="20"/>
    <w:qFormat/>
    <w:rsid w:val="001F2807"/>
    <w:rPr>
      <w:i/>
      <w:iCs/>
    </w:rPr>
  </w:style>
  <w:style w:type="paragraph" w:customStyle="1" w:styleId="Addresses">
    <w:name w:val="Addresses"/>
    <w:next w:val="Normal"/>
    <w:rsid w:val="0033331C"/>
    <w:pPr>
      <w:spacing w:after="240" w:line="240" w:lineRule="auto"/>
      <w:ind w:left="1418"/>
    </w:pPr>
    <w:rPr>
      <w:rFonts w:ascii="Times" w:eastAsia="Times New Roman" w:hAnsi="Times" w:cs="Times New Roman"/>
      <w:kern w:val="0"/>
      <w:lang w:val="en-GB"/>
      <w14:ligatures w14:val="none"/>
    </w:rPr>
  </w:style>
  <w:style w:type="character" w:styleId="Strong">
    <w:name w:val="Strong"/>
    <w:basedOn w:val="DefaultParagraphFont"/>
    <w:uiPriority w:val="22"/>
    <w:qFormat/>
    <w:rsid w:val="009E14DA"/>
    <w:rPr>
      <w:b/>
      <w:bCs/>
    </w:rPr>
  </w:style>
  <w:style w:type="paragraph" w:customStyle="1" w:styleId="1">
    <w:name w:val="1."/>
    <w:basedOn w:val="Normal"/>
    <w:link w:val="1Char"/>
    <w:qFormat/>
    <w:rsid w:val="00B07007"/>
    <w:pPr>
      <w:spacing w:line="276" w:lineRule="auto"/>
      <w:outlineLvl w:val="0"/>
    </w:pPr>
    <w:rPr>
      <w:b/>
      <w:bCs/>
      <w:sz w:val="24"/>
      <w:szCs w:val="24"/>
    </w:rPr>
  </w:style>
  <w:style w:type="paragraph" w:customStyle="1" w:styleId="11">
    <w:name w:val="1.1"/>
    <w:basedOn w:val="Normal"/>
    <w:next w:val="1"/>
    <w:link w:val="11Char"/>
    <w:autoRedefine/>
    <w:qFormat/>
    <w:rsid w:val="002F212A"/>
    <w:pPr>
      <w:spacing w:line="276" w:lineRule="auto"/>
    </w:pPr>
    <w:rPr>
      <w:b/>
      <w:bCs/>
      <w:sz w:val="24"/>
      <w:szCs w:val="24"/>
    </w:rPr>
  </w:style>
  <w:style w:type="character" w:customStyle="1" w:styleId="1Char">
    <w:name w:val="1. Char"/>
    <w:basedOn w:val="DefaultParagraphFont"/>
    <w:link w:val="1"/>
    <w:rsid w:val="00B07007"/>
    <w:rPr>
      <w:rFonts w:ascii="Times New Roman" w:hAnsi="Times New Roman"/>
      <w:b/>
      <w:bCs/>
      <w:sz w:val="24"/>
      <w:szCs w:val="24"/>
    </w:rPr>
  </w:style>
  <w:style w:type="paragraph" w:customStyle="1" w:styleId="111">
    <w:name w:val="1.1.1"/>
    <w:basedOn w:val="Normal"/>
    <w:next w:val="11"/>
    <w:link w:val="111Char"/>
    <w:autoRedefine/>
    <w:qFormat/>
    <w:rsid w:val="002F212A"/>
    <w:pPr>
      <w:spacing w:line="276" w:lineRule="auto"/>
      <w:jc w:val="center"/>
    </w:pPr>
    <w:rPr>
      <w:bCs/>
      <w:i/>
      <w:iCs/>
      <w:szCs w:val="26"/>
    </w:rPr>
  </w:style>
  <w:style w:type="character" w:customStyle="1" w:styleId="11Char">
    <w:name w:val="1.1 Char"/>
    <w:basedOn w:val="DefaultParagraphFont"/>
    <w:link w:val="11"/>
    <w:rsid w:val="002F212A"/>
    <w:rPr>
      <w:rFonts w:ascii="Times New Roman" w:hAnsi="Times New Roman"/>
      <w:b/>
      <w:bCs/>
      <w:sz w:val="24"/>
      <w:szCs w:val="24"/>
    </w:rPr>
  </w:style>
  <w:style w:type="paragraph" w:customStyle="1" w:styleId="Figure">
    <w:name w:val="Figure"/>
    <w:basedOn w:val="Normal"/>
    <w:link w:val="FigureChar"/>
    <w:qFormat/>
    <w:rsid w:val="00336834"/>
    <w:pPr>
      <w:spacing w:line="276" w:lineRule="auto"/>
      <w:jc w:val="center"/>
    </w:pPr>
    <w:rPr>
      <w:bCs/>
      <w:i/>
      <w:sz w:val="24"/>
      <w:szCs w:val="24"/>
    </w:rPr>
  </w:style>
  <w:style w:type="character" w:customStyle="1" w:styleId="111Char">
    <w:name w:val="1.1.1 Char"/>
    <w:basedOn w:val="DefaultParagraphFont"/>
    <w:link w:val="111"/>
    <w:rsid w:val="002F212A"/>
    <w:rPr>
      <w:rFonts w:ascii="Times New Roman" w:hAnsi="Times New Roman"/>
      <w:bCs/>
      <w:i/>
      <w:iCs/>
      <w:sz w:val="26"/>
      <w:szCs w:val="26"/>
    </w:rPr>
  </w:style>
  <w:style w:type="character" w:customStyle="1" w:styleId="FigureChar">
    <w:name w:val="Figure Char"/>
    <w:basedOn w:val="DefaultParagraphFont"/>
    <w:link w:val="Figure"/>
    <w:rsid w:val="00336834"/>
    <w:rPr>
      <w:rFonts w:ascii="Times New Roman" w:hAnsi="Times New Roman"/>
      <w:bCs/>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19931">
      <w:bodyDiv w:val="1"/>
      <w:marLeft w:val="0"/>
      <w:marRight w:val="0"/>
      <w:marTop w:val="0"/>
      <w:marBottom w:val="0"/>
      <w:divBdr>
        <w:top w:val="none" w:sz="0" w:space="0" w:color="auto"/>
        <w:left w:val="none" w:sz="0" w:space="0" w:color="auto"/>
        <w:bottom w:val="none" w:sz="0" w:space="0" w:color="auto"/>
        <w:right w:val="none" w:sz="0" w:space="0" w:color="auto"/>
      </w:divBdr>
    </w:div>
    <w:div w:id="39063256">
      <w:bodyDiv w:val="1"/>
      <w:marLeft w:val="0"/>
      <w:marRight w:val="0"/>
      <w:marTop w:val="0"/>
      <w:marBottom w:val="0"/>
      <w:divBdr>
        <w:top w:val="none" w:sz="0" w:space="0" w:color="auto"/>
        <w:left w:val="none" w:sz="0" w:space="0" w:color="auto"/>
        <w:bottom w:val="none" w:sz="0" w:space="0" w:color="auto"/>
        <w:right w:val="none" w:sz="0" w:space="0" w:color="auto"/>
      </w:divBdr>
    </w:div>
    <w:div w:id="90901616">
      <w:bodyDiv w:val="1"/>
      <w:marLeft w:val="0"/>
      <w:marRight w:val="0"/>
      <w:marTop w:val="0"/>
      <w:marBottom w:val="0"/>
      <w:divBdr>
        <w:top w:val="none" w:sz="0" w:space="0" w:color="auto"/>
        <w:left w:val="none" w:sz="0" w:space="0" w:color="auto"/>
        <w:bottom w:val="none" w:sz="0" w:space="0" w:color="auto"/>
        <w:right w:val="none" w:sz="0" w:space="0" w:color="auto"/>
      </w:divBdr>
      <w:divsChild>
        <w:div w:id="977102375">
          <w:marLeft w:val="0"/>
          <w:marRight w:val="0"/>
          <w:marTop w:val="0"/>
          <w:marBottom w:val="0"/>
          <w:divBdr>
            <w:top w:val="none" w:sz="0" w:space="0" w:color="auto"/>
            <w:left w:val="none" w:sz="0" w:space="0" w:color="auto"/>
            <w:bottom w:val="none" w:sz="0" w:space="0" w:color="auto"/>
            <w:right w:val="none" w:sz="0" w:space="0" w:color="auto"/>
          </w:divBdr>
          <w:divsChild>
            <w:div w:id="8388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3707">
      <w:bodyDiv w:val="1"/>
      <w:marLeft w:val="0"/>
      <w:marRight w:val="0"/>
      <w:marTop w:val="0"/>
      <w:marBottom w:val="0"/>
      <w:divBdr>
        <w:top w:val="none" w:sz="0" w:space="0" w:color="auto"/>
        <w:left w:val="none" w:sz="0" w:space="0" w:color="auto"/>
        <w:bottom w:val="none" w:sz="0" w:space="0" w:color="auto"/>
        <w:right w:val="none" w:sz="0" w:space="0" w:color="auto"/>
      </w:divBdr>
    </w:div>
    <w:div w:id="167448935">
      <w:bodyDiv w:val="1"/>
      <w:marLeft w:val="0"/>
      <w:marRight w:val="0"/>
      <w:marTop w:val="0"/>
      <w:marBottom w:val="0"/>
      <w:divBdr>
        <w:top w:val="none" w:sz="0" w:space="0" w:color="auto"/>
        <w:left w:val="none" w:sz="0" w:space="0" w:color="auto"/>
        <w:bottom w:val="none" w:sz="0" w:space="0" w:color="auto"/>
        <w:right w:val="none" w:sz="0" w:space="0" w:color="auto"/>
      </w:divBdr>
    </w:div>
    <w:div w:id="187136584">
      <w:bodyDiv w:val="1"/>
      <w:marLeft w:val="0"/>
      <w:marRight w:val="0"/>
      <w:marTop w:val="0"/>
      <w:marBottom w:val="0"/>
      <w:divBdr>
        <w:top w:val="none" w:sz="0" w:space="0" w:color="auto"/>
        <w:left w:val="none" w:sz="0" w:space="0" w:color="auto"/>
        <w:bottom w:val="none" w:sz="0" w:space="0" w:color="auto"/>
        <w:right w:val="none" w:sz="0" w:space="0" w:color="auto"/>
      </w:divBdr>
    </w:div>
    <w:div w:id="228728643">
      <w:bodyDiv w:val="1"/>
      <w:marLeft w:val="0"/>
      <w:marRight w:val="0"/>
      <w:marTop w:val="0"/>
      <w:marBottom w:val="0"/>
      <w:divBdr>
        <w:top w:val="none" w:sz="0" w:space="0" w:color="auto"/>
        <w:left w:val="none" w:sz="0" w:space="0" w:color="auto"/>
        <w:bottom w:val="none" w:sz="0" w:space="0" w:color="auto"/>
        <w:right w:val="none" w:sz="0" w:space="0" w:color="auto"/>
      </w:divBdr>
    </w:div>
    <w:div w:id="269550907">
      <w:bodyDiv w:val="1"/>
      <w:marLeft w:val="0"/>
      <w:marRight w:val="0"/>
      <w:marTop w:val="0"/>
      <w:marBottom w:val="0"/>
      <w:divBdr>
        <w:top w:val="none" w:sz="0" w:space="0" w:color="auto"/>
        <w:left w:val="none" w:sz="0" w:space="0" w:color="auto"/>
        <w:bottom w:val="none" w:sz="0" w:space="0" w:color="auto"/>
        <w:right w:val="none" w:sz="0" w:space="0" w:color="auto"/>
      </w:divBdr>
    </w:div>
    <w:div w:id="379789962">
      <w:bodyDiv w:val="1"/>
      <w:marLeft w:val="0"/>
      <w:marRight w:val="0"/>
      <w:marTop w:val="0"/>
      <w:marBottom w:val="0"/>
      <w:divBdr>
        <w:top w:val="none" w:sz="0" w:space="0" w:color="auto"/>
        <w:left w:val="none" w:sz="0" w:space="0" w:color="auto"/>
        <w:bottom w:val="none" w:sz="0" w:space="0" w:color="auto"/>
        <w:right w:val="none" w:sz="0" w:space="0" w:color="auto"/>
      </w:divBdr>
      <w:divsChild>
        <w:div w:id="203636885">
          <w:marLeft w:val="0"/>
          <w:marRight w:val="0"/>
          <w:marTop w:val="0"/>
          <w:marBottom w:val="0"/>
          <w:divBdr>
            <w:top w:val="none" w:sz="0" w:space="0" w:color="auto"/>
            <w:left w:val="none" w:sz="0" w:space="0" w:color="auto"/>
            <w:bottom w:val="none" w:sz="0" w:space="0" w:color="auto"/>
            <w:right w:val="none" w:sz="0" w:space="0" w:color="auto"/>
          </w:divBdr>
        </w:div>
      </w:divsChild>
    </w:div>
    <w:div w:id="390428548">
      <w:bodyDiv w:val="1"/>
      <w:marLeft w:val="0"/>
      <w:marRight w:val="0"/>
      <w:marTop w:val="0"/>
      <w:marBottom w:val="0"/>
      <w:divBdr>
        <w:top w:val="none" w:sz="0" w:space="0" w:color="auto"/>
        <w:left w:val="none" w:sz="0" w:space="0" w:color="auto"/>
        <w:bottom w:val="none" w:sz="0" w:space="0" w:color="auto"/>
        <w:right w:val="none" w:sz="0" w:space="0" w:color="auto"/>
      </w:divBdr>
    </w:div>
    <w:div w:id="417603288">
      <w:bodyDiv w:val="1"/>
      <w:marLeft w:val="0"/>
      <w:marRight w:val="0"/>
      <w:marTop w:val="0"/>
      <w:marBottom w:val="0"/>
      <w:divBdr>
        <w:top w:val="none" w:sz="0" w:space="0" w:color="auto"/>
        <w:left w:val="none" w:sz="0" w:space="0" w:color="auto"/>
        <w:bottom w:val="none" w:sz="0" w:space="0" w:color="auto"/>
        <w:right w:val="none" w:sz="0" w:space="0" w:color="auto"/>
      </w:divBdr>
    </w:div>
    <w:div w:id="433595699">
      <w:bodyDiv w:val="1"/>
      <w:marLeft w:val="0"/>
      <w:marRight w:val="0"/>
      <w:marTop w:val="0"/>
      <w:marBottom w:val="0"/>
      <w:divBdr>
        <w:top w:val="none" w:sz="0" w:space="0" w:color="auto"/>
        <w:left w:val="none" w:sz="0" w:space="0" w:color="auto"/>
        <w:bottom w:val="none" w:sz="0" w:space="0" w:color="auto"/>
        <w:right w:val="none" w:sz="0" w:space="0" w:color="auto"/>
      </w:divBdr>
    </w:div>
    <w:div w:id="459566751">
      <w:bodyDiv w:val="1"/>
      <w:marLeft w:val="0"/>
      <w:marRight w:val="0"/>
      <w:marTop w:val="0"/>
      <w:marBottom w:val="0"/>
      <w:divBdr>
        <w:top w:val="none" w:sz="0" w:space="0" w:color="auto"/>
        <w:left w:val="none" w:sz="0" w:space="0" w:color="auto"/>
        <w:bottom w:val="none" w:sz="0" w:space="0" w:color="auto"/>
        <w:right w:val="none" w:sz="0" w:space="0" w:color="auto"/>
      </w:divBdr>
    </w:div>
    <w:div w:id="459764511">
      <w:bodyDiv w:val="1"/>
      <w:marLeft w:val="0"/>
      <w:marRight w:val="0"/>
      <w:marTop w:val="0"/>
      <w:marBottom w:val="0"/>
      <w:divBdr>
        <w:top w:val="none" w:sz="0" w:space="0" w:color="auto"/>
        <w:left w:val="none" w:sz="0" w:space="0" w:color="auto"/>
        <w:bottom w:val="none" w:sz="0" w:space="0" w:color="auto"/>
        <w:right w:val="none" w:sz="0" w:space="0" w:color="auto"/>
      </w:divBdr>
    </w:div>
    <w:div w:id="521743130">
      <w:bodyDiv w:val="1"/>
      <w:marLeft w:val="0"/>
      <w:marRight w:val="0"/>
      <w:marTop w:val="0"/>
      <w:marBottom w:val="0"/>
      <w:divBdr>
        <w:top w:val="none" w:sz="0" w:space="0" w:color="auto"/>
        <w:left w:val="none" w:sz="0" w:space="0" w:color="auto"/>
        <w:bottom w:val="none" w:sz="0" w:space="0" w:color="auto"/>
        <w:right w:val="none" w:sz="0" w:space="0" w:color="auto"/>
      </w:divBdr>
    </w:div>
    <w:div w:id="586308827">
      <w:bodyDiv w:val="1"/>
      <w:marLeft w:val="0"/>
      <w:marRight w:val="0"/>
      <w:marTop w:val="0"/>
      <w:marBottom w:val="0"/>
      <w:divBdr>
        <w:top w:val="none" w:sz="0" w:space="0" w:color="auto"/>
        <w:left w:val="none" w:sz="0" w:space="0" w:color="auto"/>
        <w:bottom w:val="none" w:sz="0" w:space="0" w:color="auto"/>
        <w:right w:val="none" w:sz="0" w:space="0" w:color="auto"/>
      </w:divBdr>
    </w:div>
    <w:div w:id="633297627">
      <w:bodyDiv w:val="1"/>
      <w:marLeft w:val="0"/>
      <w:marRight w:val="0"/>
      <w:marTop w:val="0"/>
      <w:marBottom w:val="0"/>
      <w:divBdr>
        <w:top w:val="none" w:sz="0" w:space="0" w:color="auto"/>
        <w:left w:val="none" w:sz="0" w:space="0" w:color="auto"/>
        <w:bottom w:val="none" w:sz="0" w:space="0" w:color="auto"/>
        <w:right w:val="none" w:sz="0" w:space="0" w:color="auto"/>
      </w:divBdr>
      <w:divsChild>
        <w:div w:id="1746342824">
          <w:marLeft w:val="0"/>
          <w:marRight w:val="0"/>
          <w:marTop w:val="0"/>
          <w:marBottom w:val="240"/>
          <w:divBdr>
            <w:top w:val="none" w:sz="0" w:space="0" w:color="auto"/>
            <w:left w:val="none" w:sz="0" w:space="0" w:color="auto"/>
            <w:bottom w:val="none" w:sz="0" w:space="0" w:color="auto"/>
            <w:right w:val="none" w:sz="0" w:space="0" w:color="auto"/>
          </w:divBdr>
        </w:div>
        <w:div w:id="571240677">
          <w:marLeft w:val="0"/>
          <w:marRight w:val="0"/>
          <w:marTop w:val="0"/>
          <w:marBottom w:val="240"/>
          <w:divBdr>
            <w:top w:val="none" w:sz="0" w:space="0" w:color="auto"/>
            <w:left w:val="none" w:sz="0" w:space="0" w:color="auto"/>
            <w:bottom w:val="none" w:sz="0" w:space="0" w:color="auto"/>
            <w:right w:val="none" w:sz="0" w:space="0" w:color="auto"/>
          </w:divBdr>
        </w:div>
      </w:divsChild>
    </w:div>
    <w:div w:id="695619874">
      <w:bodyDiv w:val="1"/>
      <w:marLeft w:val="0"/>
      <w:marRight w:val="0"/>
      <w:marTop w:val="0"/>
      <w:marBottom w:val="0"/>
      <w:divBdr>
        <w:top w:val="none" w:sz="0" w:space="0" w:color="auto"/>
        <w:left w:val="none" w:sz="0" w:space="0" w:color="auto"/>
        <w:bottom w:val="none" w:sz="0" w:space="0" w:color="auto"/>
        <w:right w:val="none" w:sz="0" w:space="0" w:color="auto"/>
      </w:divBdr>
    </w:div>
    <w:div w:id="727266741">
      <w:bodyDiv w:val="1"/>
      <w:marLeft w:val="0"/>
      <w:marRight w:val="0"/>
      <w:marTop w:val="0"/>
      <w:marBottom w:val="0"/>
      <w:divBdr>
        <w:top w:val="none" w:sz="0" w:space="0" w:color="auto"/>
        <w:left w:val="none" w:sz="0" w:space="0" w:color="auto"/>
        <w:bottom w:val="none" w:sz="0" w:space="0" w:color="auto"/>
        <w:right w:val="none" w:sz="0" w:space="0" w:color="auto"/>
      </w:divBdr>
    </w:div>
    <w:div w:id="731346327">
      <w:bodyDiv w:val="1"/>
      <w:marLeft w:val="0"/>
      <w:marRight w:val="0"/>
      <w:marTop w:val="0"/>
      <w:marBottom w:val="0"/>
      <w:divBdr>
        <w:top w:val="none" w:sz="0" w:space="0" w:color="auto"/>
        <w:left w:val="none" w:sz="0" w:space="0" w:color="auto"/>
        <w:bottom w:val="none" w:sz="0" w:space="0" w:color="auto"/>
        <w:right w:val="none" w:sz="0" w:space="0" w:color="auto"/>
      </w:divBdr>
    </w:div>
    <w:div w:id="796336142">
      <w:bodyDiv w:val="1"/>
      <w:marLeft w:val="0"/>
      <w:marRight w:val="0"/>
      <w:marTop w:val="0"/>
      <w:marBottom w:val="0"/>
      <w:divBdr>
        <w:top w:val="none" w:sz="0" w:space="0" w:color="auto"/>
        <w:left w:val="none" w:sz="0" w:space="0" w:color="auto"/>
        <w:bottom w:val="none" w:sz="0" w:space="0" w:color="auto"/>
        <w:right w:val="none" w:sz="0" w:space="0" w:color="auto"/>
      </w:divBdr>
    </w:div>
    <w:div w:id="824199344">
      <w:bodyDiv w:val="1"/>
      <w:marLeft w:val="0"/>
      <w:marRight w:val="0"/>
      <w:marTop w:val="0"/>
      <w:marBottom w:val="0"/>
      <w:divBdr>
        <w:top w:val="none" w:sz="0" w:space="0" w:color="auto"/>
        <w:left w:val="none" w:sz="0" w:space="0" w:color="auto"/>
        <w:bottom w:val="none" w:sz="0" w:space="0" w:color="auto"/>
        <w:right w:val="none" w:sz="0" w:space="0" w:color="auto"/>
      </w:divBdr>
    </w:div>
    <w:div w:id="886112416">
      <w:bodyDiv w:val="1"/>
      <w:marLeft w:val="0"/>
      <w:marRight w:val="0"/>
      <w:marTop w:val="0"/>
      <w:marBottom w:val="0"/>
      <w:divBdr>
        <w:top w:val="none" w:sz="0" w:space="0" w:color="auto"/>
        <w:left w:val="none" w:sz="0" w:space="0" w:color="auto"/>
        <w:bottom w:val="none" w:sz="0" w:space="0" w:color="auto"/>
        <w:right w:val="none" w:sz="0" w:space="0" w:color="auto"/>
      </w:divBdr>
    </w:div>
    <w:div w:id="921109068">
      <w:bodyDiv w:val="1"/>
      <w:marLeft w:val="0"/>
      <w:marRight w:val="0"/>
      <w:marTop w:val="0"/>
      <w:marBottom w:val="0"/>
      <w:divBdr>
        <w:top w:val="none" w:sz="0" w:space="0" w:color="auto"/>
        <w:left w:val="none" w:sz="0" w:space="0" w:color="auto"/>
        <w:bottom w:val="none" w:sz="0" w:space="0" w:color="auto"/>
        <w:right w:val="none" w:sz="0" w:space="0" w:color="auto"/>
      </w:divBdr>
      <w:divsChild>
        <w:div w:id="159077578">
          <w:marLeft w:val="0"/>
          <w:marRight w:val="0"/>
          <w:marTop w:val="0"/>
          <w:marBottom w:val="240"/>
          <w:divBdr>
            <w:top w:val="none" w:sz="0" w:space="0" w:color="auto"/>
            <w:left w:val="none" w:sz="0" w:space="0" w:color="auto"/>
            <w:bottom w:val="none" w:sz="0" w:space="0" w:color="auto"/>
            <w:right w:val="none" w:sz="0" w:space="0" w:color="auto"/>
          </w:divBdr>
        </w:div>
        <w:div w:id="1596401761">
          <w:marLeft w:val="0"/>
          <w:marRight w:val="0"/>
          <w:marTop w:val="0"/>
          <w:marBottom w:val="240"/>
          <w:divBdr>
            <w:top w:val="none" w:sz="0" w:space="0" w:color="auto"/>
            <w:left w:val="none" w:sz="0" w:space="0" w:color="auto"/>
            <w:bottom w:val="none" w:sz="0" w:space="0" w:color="auto"/>
            <w:right w:val="none" w:sz="0" w:space="0" w:color="auto"/>
          </w:divBdr>
        </w:div>
      </w:divsChild>
    </w:div>
    <w:div w:id="932519196">
      <w:bodyDiv w:val="1"/>
      <w:marLeft w:val="0"/>
      <w:marRight w:val="0"/>
      <w:marTop w:val="0"/>
      <w:marBottom w:val="0"/>
      <w:divBdr>
        <w:top w:val="none" w:sz="0" w:space="0" w:color="auto"/>
        <w:left w:val="none" w:sz="0" w:space="0" w:color="auto"/>
        <w:bottom w:val="none" w:sz="0" w:space="0" w:color="auto"/>
        <w:right w:val="none" w:sz="0" w:space="0" w:color="auto"/>
      </w:divBdr>
      <w:divsChild>
        <w:div w:id="971247291">
          <w:marLeft w:val="0"/>
          <w:marRight w:val="0"/>
          <w:marTop w:val="0"/>
          <w:marBottom w:val="0"/>
          <w:divBdr>
            <w:top w:val="none" w:sz="0" w:space="0" w:color="auto"/>
            <w:left w:val="none" w:sz="0" w:space="0" w:color="auto"/>
            <w:bottom w:val="none" w:sz="0" w:space="0" w:color="auto"/>
            <w:right w:val="none" w:sz="0" w:space="0" w:color="auto"/>
          </w:divBdr>
          <w:divsChild>
            <w:div w:id="362561582">
              <w:marLeft w:val="0"/>
              <w:marRight w:val="0"/>
              <w:marTop w:val="150"/>
              <w:marBottom w:val="0"/>
              <w:divBdr>
                <w:top w:val="none" w:sz="0" w:space="0" w:color="auto"/>
                <w:left w:val="none" w:sz="0" w:space="0" w:color="auto"/>
                <w:bottom w:val="none" w:sz="0" w:space="0" w:color="auto"/>
                <w:right w:val="none" w:sz="0" w:space="0" w:color="auto"/>
              </w:divBdr>
              <w:divsChild>
                <w:div w:id="754088716">
                  <w:marLeft w:val="0"/>
                  <w:marRight w:val="0"/>
                  <w:marTop w:val="0"/>
                  <w:marBottom w:val="0"/>
                  <w:divBdr>
                    <w:top w:val="none" w:sz="0" w:space="0" w:color="auto"/>
                    <w:left w:val="none" w:sz="0" w:space="0" w:color="auto"/>
                    <w:bottom w:val="none" w:sz="0" w:space="0" w:color="auto"/>
                    <w:right w:val="none" w:sz="0" w:space="0" w:color="auto"/>
                  </w:divBdr>
                  <w:divsChild>
                    <w:div w:id="142889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318729">
      <w:bodyDiv w:val="1"/>
      <w:marLeft w:val="0"/>
      <w:marRight w:val="0"/>
      <w:marTop w:val="0"/>
      <w:marBottom w:val="0"/>
      <w:divBdr>
        <w:top w:val="none" w:sz="0" w:space="0" w:color="auto"/>
        <w:left w:val="none" w:sz="0" w:space="0" w:color="auto"/>
        <w:bottom w:val="none" w:sz="0" w:space="0" w:color="auto"/>
        <w:right w:val="none" w:sz="0" w:space="0" w:color="auto"/>
      </w:divBdr>
    </w:div>
    <w:div w:id="970743429">
      <w:bodyDiv w:val="1"/>
      <w:marLeft w:val="0"/>
      <w:marRight w:val="0"/>
      <w:marTop w:val="0"/>
      <w:marBottom w:val="0"/>
      <w:divBdr>
        <w:top w:val="none" w:sz="0" w:space="0" w:color="auto"/>
        <w:left w:val="none" w:sz="0" w:space="0" w:color="auto"/>
        <w:bottom w:val="none" w:sz="0" w:space="0" w:color="auto"/>
        <w:right w:val="none" w:sz="0" w:space="0" w:color="auto"/>
      </w:divBdr>
      <w:divsChild>
        <w:div w:id="1403870643">
          <w:marLeft w:val="0"/>
          <w:marRight w:val="0"/>
          <w:marTop w:val="0"/>
          <w:marBottom w:val="0"/>
          <w:divBdr>
            <w:top w:val="none" w:sz="0" w:space="0" w:color="auto"/>
            <w:left w:val="none" w:sz="0" w:space="0" w:color="auto"/>
            <w:bottom w:val="none" w:sz="0" w:space="0" w:color="auto"/>
            <w:right w:val="none" w:sz="0" w:space="0" w:color="auto"/>
          </w:divBdr>
          <w:divsChild>
            <w:div w:id="162033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59989">
      <w:bodyDiv w:val="1"/>
      <w:marLeft w:val="0"/>
      <w:marRight w:val="0"/>
      <w:marTop w:val="0"/>
      <w:marBottom w:val="0"/>
      <w:divBdr>
        <w:top w:val="none" w:sz="0" w:space="0" w:color="auto"/>
        <w:left w:val="none" w:sz="0" w:space="0" w:color="auto"/>
        <w:bottom w:val="none" w:sz="0" w:space="0" w:color="auto"/>
        <w:right w:val="none" w:sz="0" w:space="0" w:color="auto"/>
      </w:divBdr>
      <w:divsChild>
        <w:div w:id="323968969">
          <w:marLeft w:val="0"/>
          <w:marRight w:val="0"/>
          <w:marTop w:val="0"/>
          <w:marBottom w:val="0"/>
          <w:divBdr>
            <w:top w:val="none" w:sz="0" w:space="0" w:color="auto"/>
            <w:left w:val="none" w:sz="0" w:space="0" w:color="auto"/>
            <w:bottom w:val="none" w:sz="0" w:space="0" w:color="auto"/>
            <w:right w:val="none" w:sz="0" w:space="0" w:color="auto"/>
          </w:divBdr>
          <w:divsChild>
            <w:div w:id="745149041">
              <w:marLeft w:val="0"/>
              <w:marRight w:val="0"/>
              <w:marTop w:val="0"/>
              <w:marBottom w:val="0"/>
              <w:divBdr>
                <w:top w:val="none" w:sz="0" w:space="0" w:color="auto"/>
                <w:left w:val="none" w:sz="0" w:space="0" w:color="auto"/>
                <w:bottom w:val="none" w:sz="0" w:space="0" w:color="auto"/>
                <w:right w:val="none" w:sz="0" w:space="0" w:color="auto"/>
              </w:divBdr>
              <w:divsChild>
                <w:div w:id="2039426496">
                  <w:marLeft w:val="0"/>
                  <w:marRight w:val="0"/>
                  <w:marTop w:val="0"/>
                  <w:marBottom w:val="0"/>
                  <w:divBdr>
                    <w:top w:val="none" w:sz="0" w:space="0" w:color="auto"/>
                    <w:left w:val="none" w:sz="0" w:space="0" w:color="auto"/>
                    <w:bottom w:val="none" w:sz="0" w:space="0" w:color="auto"/>
                    <w:right w:val="none" w:sz="0" w:space="0" w:color="auto"/>
                  </w:divBdr>
                  <w:divsChild>
                    <w:div w:id="194003465">
                      <w:marLeft w:val="0"/>
                      <w:marRight w:val="0"/>
                      <w:marTop w:val="0"/>
                      <w:marBottom w:val="0"/>
                      <w:divBdr>
                        <w:top w:val="none" w:sz="0" w:space="0" w:color="auto"/>
                        <w:left w:val="none" w:sz="0" w:space="0" w:color="auto"/>
                        <w:bottom w:val="none" w:sz="0" w:space="0" w:color="auto"/>
                        <w:right w:val="none" w:sz="0" w:space="0" w:color="auto"/>
                      </w:divBdr>
                      <w:divsChild>
                        <w:div w:id="856507524">
                          <w:marLeft w:val="0"/>
                          <w:marRight w:val="0"/>
                          <w:marTop w:val="0"/>
                          <w:marBottom w:val="0"/>
                          <w:divBdr>
                            <w:top w:val="none" w:sz="0" w:space="0" w:color="auto"/>
                            <w:left w:val="none" w:sz="0" w:space="0" w:color="auto"/>
                            <w:bottom w:val="none" w:sz="0" w:space="0" w:color="auto"/>
                            <w:right w:val="none" w:sz="0" w:space="0" w:color="auto"/>
                          </w:divBdr>
                          <w:divsChild>
                            <w:div w:id="164739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427967">
      <w:bodyDiv w:val="1"/>
      <w:marLeft w:val="0"/>
      <w:marRight w:val="0"/>
      <w:marTop w:val="0"/>
      <w:marBottom w:val="0"/>
      <w:divBdr>
        <w:top w:val="none" w:sz="0" w:space="0" w:color="auto"/>
        <w:left w:val="none" w:sz="0" w:space="0" w:color="auto"/>
        <w:bottom w:val="none" w:sz="0" w:space="0" w:color="auto"/>
        <w:right w:val="none" w:sz="0" w:space="0" w:color="auto"/>
      </w:divBdr>
    </w:div>
    <w:div w:id="989214033">
      <w:bodyDiv w:val="1"/>
      <w:marLeft w:val="0"/>
      <w:marRight w:val="0"/>
      <w:marTop w:val="0"/>
      <w:marBottom w:val="0"/>
      <w:divBdr>
        <w:top w:val="none" w:sz="0" w:space="0" w:color="auto"/>
        <w:left w:val="none" w:sz="0" w:space="0" w:color="auto"/>
        <w:bottom w:val="none" w:sz="0" w:space="0" w:color="auto"/>
        <w:right w:val="none" w:sz="0" w:space="0" w:color="auto"/>
      </w:divBdr>
    </w:div>
    <w:div w:id="1053307229">
      <w:bodyDiv w:val="1"/>
      <w:marLeft w:val="0"/>
      <w:marRight w:val="0"/>
      <w:marTop w:val="0"/>
      <w:marBottom w:val="0"/>
      <w:divBdr>
        <w:top w:val="none" w:sz="0" w:space="0" w:color="auto"/>
        <w:left w:val="none" w:sz="0" w:space="0" w:color="auto"/>
        <w:bottom w:val="none" w:sz="0" w:space="0" w:color="auto"/>
        <w:right w:val="none" w:sz="0" w:space="0" w:color="auto"/>
      </w:divBdr>
    </w:div>
    <w:div w:id="1149396082">
      <w:bodyDiv w:val="1"/>
      <w:marLeft w:val="0"/>
      <w:marRight w:val="0"/>
      <w:marTop w:val="0"/>
      <w:marBottom w:val="0"/>
      <w:divBdr>
        <w:top w:val="none" w:sz="0" w:space="0" w:color="auto"/>
        <w:left w:val="none" w:sz="0" w:space="0" w:color="auto"/>
        <w:bottom w:val="none" w:sz="0" w:space="0" w:color="auto"/>
        <w:right w:val="none" w:sz="0" w:space="0" w:color="auto"/>
      </w:divBdr>
    </w:div>
    <w:div w:id="1178930531">
      <w:bodyDiv w:val="1"/>
      <w:marLeft w:val="0"/>
      <w:marRight w:val="0"/>
      <w:marTop w:val="0"/>
      <w:marBottom w:val="0"/>
      <w:divBdr>
        <w:top w:val="none" w:sz="0" w:space="0" w:color="auto"/>
        <w:left w:val="none" w:sz="0" w:space="0" w:color="auto"/>
        <w:bottom w:val="none" w:sz="0" w:space="0" w:color="auto"/>
        <w:right w:val="none" w:sz="0" w:space="0" w:color="auto"/>
      </w:divBdr>
    </w:div>
    <w:div w:id="1179732774">
      <w:bodyDiv w:val="1"/>
      <w:marLeft w:val="0"/>
      <w:marRight w:val="0"/>
      <w:marTop w:val="0"/>
      <w:marBottom w:val="0"/>
      <w:divBdr>
        <w:top w:val="none" w:sz="0" w:space="0" w:color="auto"/>
        <w:left w:val="none" w:sz="0" w:space="0" w:color="auto"/>
        <w:bottom w:val="none" w:sz="0" w:space="0" w:color="auto"/>
        <w:right w:val="none" w:sz="0" w:space="0" w:color="auto"/>
      </w:divBdr>
    </w:div>
    <w:div w:id="1185554811">
      <w:bodyDiv w:val="1"/>
      <w:marLeft w:val="0"/>
      <w:marRight w:val="0"/>
      <w:marTop w:val="0"/>
      <w:marBottom w:val="0"/>
      <w:divBdr>
        <w:top w:val="none" w:sz="0" w:space="0" w:color="auto"/>
        <w:left w:val="none" w:sz="0" w:space="0" w:color="auto"/>
        <w:bottom w:val="none" w:sz="0" w:space="0" w:color="auto"/>
        <w:right w:val="none" w:sz="0" w:space="0" w:color="auto"/>
      </w:divBdr>
    </w:div>
    <w:div w:id="1204444553">
      <w:bodyDiv w:val="1"/>
      <w:marLeft w:val="0"/>
      <w:marRight w:val="0"/>
      <w:marTop w:val="0"/>
      <w:marBottom w:val="0"/>
      <w:divBdr>
        <w:top w:val="none" w:sz="0" w:space="0" w:color="auto"/>
        <w:left w:val="none" w:sz="0" w:space="0" w:color="auto"/>
        <w:bottom w:val="none" w:sz="0" w:space="0" w:color="auto"/>
        <w:right w:val="none" w:sz="0" w:space="0" w:color="auto"/>
      </w:divBdr>
    </w:div>
    <w:div w:id="1225414826">
      <w:bodyDiv w:val="1"/>
      <w:marLeft w:val="0"/>
      <w:marRight w:val="0"/>
      <w:marTop w:val="0"/>
      <w:marBottom w:val="0"/>
      <w:divBdr>
        <w:top w:val="none" w:sz="0" w:space="0" w:color="auto"/>
        <w:left w:val="none" w:sz="0" w:space="0" w:color="auto"/>
        <w:bottom w:val="none" w:sz="0" w:space="0" w:color="auto"/>
        <w:right w:val="none" w:sz="0" w:space="0" w:color="auto"/>
      </w:divBdr>
    </w:div>
    <w:div w:id="1289313602">
      <w:bodyDiv w:val="1"/>
      <w:marLeft w:val="0"/>
      <w:marRight w:val="0"/>
      <w:marTop w:val="0"/>
      <w:marBottom w:val="0"/>
      <w:divBdr>
        <w:top w:val="none" w:sz="0" w:space="0" w:color="auto"/>
        <w:left w:val="none" w:sz="0" w:space="0" w:color="auto"/>
        <w:bottom w:val="none" w:sz="0" w:space="0" w:color="auto"/>
        <w:right w:val="none" w:sz="0" w:space="0" w:color="auto"/>
      </w:divBdr>
    </w:div>
    <w:div w:id="1308627249">
      <w:bodyDiv w:val="1"/>
      <w:marLeft w:val="0"/>
      <w:marRight w:val="0"/>
      <w:marTop w:val="0"/>
      <w:marBottom w:val="0"/>
      <w:divBdr>
        <w:top w:val="none" w:sz="0" w:space="0" w:color="auto"/>
        <w:left w:val="none" w:sz="0" w:space="0" w:color="auto"/>
        <w:bottom w:val="none" w:sz="0" w:space="0" w:color="auto"/>
        <w:right w:val="none" w:sz="0" w:space="0" w:color="auto"/>
      </w:divBdr>
    </w:div>
    <w:div w:id="1311135404">
      <w:bodyDiv w:val="1"/>
      <w:marLeft w:val="0"/>
      <w:marRight w:val="0"/>
      <w:marTop w:val="0"/>
      <w:marBottom w:val="0"/>
      <w:divBdr>
        <w:top w:val="none" w:sz="0" w:space="0" w:color="auto"/>
        <w:left w:val="none" w:sz="0" w:space="0" w:color="auto"/>
        <w:bottom w:val="none" w:sz="0" w:space="0" w:color="auto"/>
        <w:right w:val="none" w:sz="0" w:space="0" w:color="auto"/>
      </w:divBdr>
    </w:div>
    <w:div w:id="1328284257">
      <w:bodyDiv w:val="1"/>
      <w:marLeft w:val="0"/>
      <w:marRight w:val="0"/>
      <w:marTop w:val="0"/>
      <w:marBottom w:val="0"/>
      <w:divBdr>
        <w:top w:val="none" w:sz="0" w:space="0" w:color="auto"/>
        <w:left w:val="none" w:sz="0" w:space="0" w:color="auto"/>
        <w:bottom w:val="none" w:sz="0" w:space="0" w:color="auto"/>
        <w:right w:val="none" w:sz="0" w:space="0" w:color="auto"/>
      </w:divBdr>
      <w:divsChild>
        <w:div w:id="150021251">
          <w:marLeft w:val="0"/>
          <w:marRight w:val="0"/>
          <w:marTop w:val="0"/>
          <w:marBottom w:val="0"/>
          <w:divBdr>
            <w:top w:val="none" w:sz="0" w:space="0" w:color="auto"/>
            <w:left w:val="none" w:sz="0" w:space="0" w:color="auto"/>
            <w:bottom w:val="none" w:sz="0" w:space="0" w:color="auto"/>
            <w:right w:val="none" w:sz="0" w:space="0" w:color="auto"/>
          </w:divBdr>
          <w:divsChild>
            <w:div w:id="23331130">
              <w:marLeft w:val="0"/>
              <w:marRight w:val="0"/>
              <w:marTop w:val="150"/>
              <w:marBottom w:val="0"/>
              <w:divBdr>
                <w:top w:val="none" w:sz="0" w:space="0" w:color="auto"/>
                <w:left w:val="none" w:sz="0" w:space="0" w:color="auto"/>
                <w:bottom w:val="none" w:sz="0" w:space="0" w:color="auto"/>
                <w:right w:val="none" w:sz="0" w:space="0" w:color="auto"/>
              </w:divBdr>
              <w:divsChild>
                <w:div w:id="1767113384">
                  <w:marLeft w:val="0"/>
                  <w:marRight w:val="0"/>
                  <w:marTop w:val="0"/>
                  <w:marBottom w:val="0"/>
                  <w:divBdr>
                    <w:top w:val="none" w:sz="0" w:space="0" w:color="auto"/>
                    <w:left w:val="none" w:sz="0" w:space="0" w:color="auto"/>
                    <w:bottom w:val="none" w:sz="0" w:space="0" w:color="auto"/>
                    <w:right w:val="none" w:sz="0" w:space="0" w:color="auto"/>
                  </w:divBdr>
                  <w:divsChild>
                    <w:div w:id="7591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621390">
      <w:bodyDiv w:val="1"/>
      <w:marLeft w:val="0"/>
      <w:marRight w:val="0"/>
      <w:marTop w:val="0"/>
      <w:marBottom w:val="0"/>
      <w:divBdr>
        <w:top w:val="none" w:sz="0" w:space="0" w:color="auto"/>
        <w:left w:val="none" w:sz="0" w:space="0" w:color="auto"/>
        <w:bottom w:val="none" w:sz="0" w:space="0" w:color="auto"/>
        <w:right w:val="none" w:sz="0" w:space="0" w:color="auto"/>
      </w:divBdr>
      <w:divsChild>
        <w:div w:id="1109663912">
          <w:marLeft w:val="0"/>
          <w:marRight w:val="0"/>
          <w:marTop w:val="0"/>
          <w:marBottom w:val="0"/>
          <w:divBdr>
            <w:top w:val="none" w:sz="0" w:space="0" w:color="auto"/>
            <w:left w:val="none" w:sz="0" w:space="0" w:color="auto"/>
            <w:bottom w:val="none" w:sz="0" w:space="0" w:color="auto"/>
            <w:right w:val="none" w:sz="0" w:space="0" w:color="auto"/>
          </w:divBdr>
          <w:divsChild>
            <w:div w:id="147593526">
              <w:marLeft w:val="0"/>
              <w:marRight w:val="0"/>
              <w:marTop w:val="0"/>
              <w:marBottom w:val="0"/>
              <w:divBdr>
                <w:top w:val="none" w:sz="0" w:space="0" w:color="auto"/>
                <w:left w:val="none" w:sz="0" w:space="0" w:color="auto"/>
                <w:bottom w:val="none" w:sz="0" w:space="0" w:color="auto"/>
                <w:right w:val="none" w:sz="0" w:space="0" w:color="auto"/>
              </w:divBdr>
              <w:divsChild>
                <w:div w:id="646015898">
                  <w:marLeft w:val="0"/>
                  <w:marRight w:val="0"/>
                  <w:marTop w:val="0"/>
                  <w:marBottom w:val="0"/>
                  <w:divBdr>
                    <w:top w:val="none" w:sz="0" w:space="0" w:color="auto"/>
                    <w:left w:val="none" w:sz="0" w:space="0" w:color="auto"/>
                    <w:bottom w:val="none" w:sz="0" w:space="0" w:color="auto"/>
                    <w:right w:val="none" w:sz="0" w:space="0" w:color="auto"/>
                  </w:divBdr>
                  <w:divsChild>
                    <w:div w:id="1282178762">
                      <w:marLeft w:val="0"/>
                      <w:marRight w:val="-90"/>
                      <w:marTop w:val="0"/>
                      <w:marBottom w:val="0"/>
                      <w:divBdr>
                        <w:top w:val="none" w:sz="0" w:space="0" w:color="auto"/>
                        <w:left w:val="none" w:sz="0" w:space="0" w:color="auto"/>
                        <w:bottom w:val="none" w:sz="0" w:space="0" w:color="auto"/>
                        <w:right w:val="none" w:sz="0" w:space="0" w:color="auto"/>
                      </w:divBdr>
                      <w:divsChild>
                        <w:div w:id="895970393">
                          <w:marLeft w:val="0"/>
                          <w:marRight w:val="0"/>
                          <w:marTop w:val="0"/>
                          <w:marBottom w:val="0"/>
                          <w:divBdr>
                            <w:top w:val="none" w:sz="0" w:space="0" w:color="auto"/>
                            <w:left w:val="none" w:sz="0" w:space="0" w:color="auto"/>
                            <w:bottom w:val="none" w:sz="0" w:space="0" w:color="auto"/>
                            <w:right w:val="none" w:sz="0" w:space="0" w:color="auto"/>
                          </w:divBdr>
                          <w:divsChild>
                            <w:div w:id="1848666801">
                              <w:marLeft w:val="0"/>
                              <w:marRight w:val="0"/>
                              <w:marTop w:val="0"/>
                              <w:marBottom w:val="0"/>
                              <w:divBdr>
                                <w:top w:val="none" w:sz="0" w:space="0" w:color="auto"/>
                                <w:left w:val="none" w:sz="0" w:space="0" w:color="auto"/>
                                <w:bottom w:val="none" w:sz="0" w:space="0" w:color="auto"/>
                                <w:right w:val="none" w:sz="0" w:space="0" w:color="auto"/>
                              </w:divBdr>
                              <w:divsChild>
                                <w:div w:id="1861123747">
                                  <w:marLeft w:val="0"/>
                                  <w:marRight w:val="0"/>
                                  <w:marTop w:val="0"/>
                                  <w:marBottom w:val="0"/>
                                  <w:divBdr>
                                    <w:top w:val="none" w:sz="0" w:space="0" w:color="auto"/>
                                    <w:left w:val="none" w:sz="0" w:space="0" w:color="auto"/>
                                    <w:bottom w:val="none" w:sz="0" w:space="0" w:color="auto"/>
                                    <w:right w:val="none" w:sz="0" w:space="0" w:color="auto"/>
                                  </w:divBdr>
                                  <w:divsChild>
                                    <w:div w:id="1834756018">
                                      <w:marLeft w:val="750"/>
                                      <w:marRight w:val="0"/>
                                      <w:marTop w:val="0"/>
                                      <w:marBottom w:val="0"/>
                                      <w:divBdr>
                                        <w:top w:val="none" w:sz="0" w:space="0" w:color="auto"/>
                                        <w:left w:val="none" w:sz="0" w:space="0" w:color="auto"/>
                                        <w:bottom w:val="none" w:sz="0" w:space="0" w:color="auto"/>
                                        <w:right w:val="none" w:sz="0" w:space="0" w:color="auto"/>
                                      </w:divBdr>
                                      <w:divsChild>
                                        <w:div w:id="1447384874">
                                          <w:marLeft w:val="0"/>
                                          <w:marRight w:val="0"/>
                                          <w:marTop w:val="0"/>
                                          <w:marBottom w:val="0"/>
                                          <w:divBdr>
                                            <w:top w:val="none" w:sz="0" w:space="0" w:color="auto"/>
                                            <w:left w:val="none" w:sz="0" w:space="0" w:color="auto"/>
                                            <w:bottom w:val="none" w:sz="0" w:space="0" w:color="auto"/>
                                            <w:right w:val="none" w:sz="0" w:space="0" w:color="auto"/>
                                          </w:divBdr>
                                          <w:divsChild>
                                            <w:div w:id="551692113">
                                              <w:marLeft w:val="0"/>
                                              <w:marRight w:val="0"/>
                                              <w:marTop w:val="0"/>
                                              <w:marBottom w:val="0"/>
                                              <w:divBdr>
                                                <w:top w:val="none" w:sz="0" w:space="0" w:color="auto"/>
                                                <w:left w:val="none" w:sz="0" w:space="0" w:color="auto"/>
                                                <w:bottom w:val="none" w:sz="0" w:space="0" w:color="auto"/>
                                                <w:right w:val="none" w:sz="0" w:space="0" w:color="auto"/>
                                              </w:divBdr>
                                              <w:divsChild>
                                                <w:div w:id="1281767298">
                                                  <w:marLeft w:val="0"/>
                                                  <w:marRight w:val="0"/>
                                                  <w:marTop w:val="0"/>
                                                  <w:marBottom w:val="0"/>
                                                  <w:divBdr>
                                                    <w:top w:val="none" w:sz="0" w:space="0" w:color="auto"/>
                                                    <w:left w:val="none" w:sz="0" w:space="0" w:color="auto"/>
                                                    <w:bottom w:val="none" w:sz="0" w:space="0" w:color="auto"/>
                                                    <w:right w:val="none" w:sz="0" w:space="0" w:color="auto"/>
                                                  </w:divBdr>
                                                  <w:divsChild>
                                                    <w:div w:id="362558743">
                                                      <w:marLeft w:val="0"/>
                                                      <w:marRight w:val="0"/>
                                                      <w:marTop w:val="0"/>
                                                      <w:marBottom w:val="0"/>
                                                      <w:divBdr>
                                                        <w:top w:val="none" w:sz="0" w:space="0" w:color="auto"/>
                                                        <w:left w:val="none" w:sz="0" w:space="0" w:color="auto"/>
                                                        <w:bottom w:val="none" w:sz="0" w:space="0" w:color="auto"/>
                                                        <w:right w:val="none" w:sz="0" w:space="0" w:color="auto"/>
                                                      </w:divBdr>
                                                      <w:divsChild>
                                                        <w:div w:id="657728225">
                                                          <w:marLeft w:val="0"/>
                                                          <w:marRight w:val="0"/>
                                                          <w:marTop w:val="0"/>
                                                          <w:marBottom w:val="0"/>
                                                          <w:divBdr>
                                                            <w:top w:val="none" w:sz="0" w:space="0" w:color="auto"/>
                                                            <w:left w:val="none" w:sz="0" w:space="0" w:color="auto"/>
                                                            <w:bottom w:val="none" w:sz="0" w:space="0" w:color="auto"/>
                                                            <w:right w:val="none" w:sz="0" w:space="0" w:color="auto"/>
                                                          </w:divBdr>
                                                          <w:divsChild>
                                                            <w:div w:id="270014723">
                                                              <w:marLeft w:val="0"/>
                                                              <w:marRight w:val="0"/>
                                                              <w:marTop w:val="0"/>
                                                              <w:marBottom w:val="0"/>
                                                              <w:divBdr>
                                                                <w:top w:val="none" w:sz="0" w:space="0" w:color="auto"/>
                                                                <w:left w:val="none" w:sz="0" w:space="0" w:color="auto"/>
                                                                <w:bottom w:val="none" w:sz="0" w:space="0" w:color="auto"/>
                                                                <w:right w:val="none" w:sz="0" w:space="0" w:color="auto"/>
                                                              </w:divBdr>
                                                              <w:divsChild>
                                                                <w:div w:id="222911710">
                                                                  <w:marLeft w:val="0"/>
                                                                  <w:marRight w:val="0"/>
                                                                  <w:marTop w:val="0"/>
                                                                  <w:marBottom w:val="0"/>
                                                                  <w:divBdr>
                                                                    <w:top w:val="none" w:sz="0" w:space="0" w:color="auto"/>
                                                                    <w:left w:val="none" w:sz="0" w:space="0" w:color="auto"/>
                                                                    <w:bottom w:val="none" w:sz="0" w:space="0" w:color="auto"/>
                                                                    <w:right w:val="none" w:sz="0" w:space="0" w:color="auto"/>
                                                                  </w:divBdr>
                                                                  <w:divsChild>
                                                                    <w:div w:id="840007549">
                                                                      <w:marLeft w:val="0"/>
                                                                      <w:marRight w:val="0"/>
                                                                      <w:marTop w:val="0"/>
                                                                      <w:marBottom w:val="0"/>
                                                                      <w:divBdr>
                                                                        <w:top w:val="none" w:sz="0" w:space="0" w:color="auto"/>
                                                                        <w:left w:val="none" w:sz="0" w:space="0" w:color="auto"/>
                                                                        <w:bottom w:val="none" w:sz="0" w:space="0" w:color="auto"/>
                                                                        <w:right w:val="none" w:sz="0" w:space="0" w:color="auto"/>
                                                                      </w:divBdr>
                                                                      <w:divsChild>
                                                                        <w:div w:id="1275402003">
                                                                          <w:marLeft w:val="0"/>
                                                                          <w:marRight w:val="0"/>
                                                                          <w:marTop w:val="0"/>
                                                                          <w:marBottom w:val="0"/>
                                                                          <w:divBdr>
                                                                            <w:top w:val="none" w:sz="0" w:space="0" w:color="auto"/>
                                                                            <w:left w:val="none" w:sz="0" w:space="0" w:color="auto"/>
                                                                            <w:bottom w:val="none" w:sz="0" w:space="0" w:color="auto"/>
                                                                            <w:right w:val="none" w:sz="0" w:space="0" w:color="auto"/>
                                                                          </w:divBdr>
                                                                          <w:divsChild>
                                                                            <w:div w:id="5522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33053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8502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6900838">
          <w:marLeft w:val="0"/>
          <w:marRight w:val="0"/>
          <w:marTop w:val="0"/>
          <w:marBottom w:val="0"/>
          <w:divBdr>
            <w:top w:val="none" w:sz="0" w:space="0" w:color="auto"/>
            <w:left w:val="none" w:sz="0" w:space="0" w:color="auto"/>
            <w:bottom w:val="none" w:sz="0" w:space="0" w:color="auto"/>
            <w:right w:val="none" w:sz="0" w:space="0" w:color="auto"/>
          </w:divBdr>
          <w:divsChild>
            <w:div w:id="1417938409">
              <w:marLeft w:val="0"/>
              <w:marRight w:val="0"/>
              <w:marTop w:val="0"/>
              <w:marBottom w:val="0"/>
              <w:divBdr>
                <w:top w:val="none" w:sz="0" w:space="0" w:color="auto"/>
                <w:left w:val="none" w:sz="0" w:space="0" w:color="auto"/>
                <w:bottom w:val="none" w:sz="0" w:space="0" w:color="auto"/>
                <w:right w:val="none" w:sz="0" w:space="0" w:color="auto"/>
              </w:divBdr>
              <w:divsChild>
                <w:div w:id="65550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272252">
      <w:bodyDiv w:val="1"/>
      <w:marLeft w:val="0"/>
      <w:marRight w:val="0"/>
      <w:marTop w:val="0"/>
      <w:marBottom w:val="0"/>
      <w:divBdr>
        <w:top w:val="none" w:sz="0" w:space="0" w:color="auto"/>
        <w:left w:val="none" w:sz="0" w:space="0" w:color="auto"/>
        <w:bottom w:val="none" w:sz="0" w:space="0" w:color="auto"/>
        <w:right w:val="none" w:sz="0" w:space="0" w:color="auto"/>
      </w:divBdr>
      <w:divsChild>
        <w:div w:id="1820229153">
          <w:marLeft w:val="0"/>
          <w:marRight w:val="0"/>
          <w:marTop w:val="0"/>
          <w:marBottom w:val="0"/>
          <w:divBdr>
            <w:top w:val="none" w:sz="0" w:space="0" w:color="auto"/>
            <w:left w:val="none" w:sz="0" w:space="0" w:color="auto"/>
            <w:bottom w:val="none" w:sz="0" w:space="0" w:color="auto"/>
            <w:right w:val="none" w:sz="0" w:space="0" w:color="auto"/>
          </w:divBdr>
          <w:divsChild>
            <w:div w:id="43340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32301">
      <w:bodyDiv w:val="1"/>
      <w:marLeft w:val="0"/>
      <w:marRight w:val="0"/>
      <w:marTop w:val="0"/>
      <w:marBottom w:val="0"/>
      <w:divBdr>
        <w:top w:val="none" w:sz="0" w:space="0" w:color="auto"/>
        <w:left w:val="none" w:sz="0" w:space="0" w:color="auto"/>
        <w:bottom w:val="none" w:sz="0" w:space="0" w:color="auto"/>
        <w:right w:val="none" w:sz="0" w:space="0" w:color="auto"/>
      </w:divBdr>
    </w:div>
    <w:div w:id="1493762746">
      <w:bodyDiv w:val="1"/>
      <w:marLeft w:val="0"/>
      <w:marRight w:val="0"/>
      <w:marTop w:val="0"/>
      <w:marBottom w:val="0"/>
      <w:divBdr>
        <w:top w:val="none" w:sz="0" w:space="0" w:color="auto"/>
        <w:left w:val="none" w:sz="0" w:space="0" w:color="auto"/>
        <w:bottom w:val="none" w:sz="0" w:space="0" w:color="auto"/>
        <w:right w:val="none" w:sz="0" w:space="0" w:color="auto"/>
      </w:divBdr>
    </w:div>
    <w:div w:id="1546068265">
      <w:bodyDiv w:val="1"/>
      <w:marLeft w:val="0"/>
      <w:marRight w:val="0"/>
      <w:marTop w:val="0"/>
      <w:marBottom w:val="0"/>
      <w:divBdr>
        <w:top w:val="none" w:sz="0" w:space="0" w:color="auto"/>
        <w:left w:val="none" w:sz="0" w:space="0" w:color="auto"/>
        <w:bottom w:val="none" w:sz="0" w:space="0" w:color="auto"/>
        <w:right w:val="none" w:sz="0" w:space="0" w:color="auto"/>
      </w:divBdr>
    </w:div>
    <w:div w:id="1547839739">
      <w:bodyDiv w:val="1"/>
      <w:marLeft w:val="0"/>
      <w:marRight w:val="0"/>
      <w:marTop w:val="0"/>
      <w:marBottom w:val="0"/>
      <w:divBdr>
        <w:top w:val="none" w:sz="0" w:space="0" w:color="auto"/>
        <w:left w:val="none" w:sz="0" w:space="0" w:color="auto"/>
        <w:bottom w:val="none" w:sz="0" w:space="0" w:color="auto"/>
        <w:right w:val="none" w:sz="0" w:space="0" w:color="auto"/>
      </w:divBdr>
      <w:divsChild>
        <w:div w:id="61342149">
          <w:marLeft w:val="0"/>
          <w:marRight w:val="0"/>
          <w:marTop w:val="0"/>
          <w:marBottom w:val="0"/>
          <w:divBdr>
            <w:top w:val="none" w:sz="0" w:space="0" w:color="auto"/>
            <w:left w:val="none" w:sz="0" w:space="0" w:color="auto"/>
            <w:bottom w:val="none" w:sz="0" w:space="0" w:color="auto"/>
            <w:right w:val="none" w:sz="0" w:space="0" w:color="auto"/>
          </w:divBdr>
          <w:divsChild>
            <w:div w:id="1667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59960">
      <w:bodyDiv w:val="1"/>
      <w:marLeft w:val="0"/>
      <w:marRight w:val="0"/>
      <w:marTop w:val="0"/>
      <w:marBottom w:val="0"/>
      <w:divBdr>
        <w:top w:val="none" w:sz="0" w:space="0" w:color="auto"/>
        <w:left w:val="none" w:sz="0" w:space="0" w:color="auto"/>
        <w:bottom w:val="none" w:sz="0" w:space="0" w:color="auto"/>
        <w:right w:val="none" w:sz="0" w:space="0" w:color="auto"/>
      </w:divBdr>
      <w:divsChild>
        <w:div w:id="252783161">
          <w:marLeft w:val="0"/>
          <w:marRight w:val="0"/>
          <w:marTop w:val="0"/>
          <w:marBottom w:val="0"/>
          <w:divBdr>
            <w:top w:val="none" w:sz="0" w:space="0" w:color="auto"/>
            <w:left w:val="none" w:sz="0" w:space="0" w:color="auto"/>
            <w:bottom w:val="none" w:sz="0" w:space="0" w:color="auto"/>
            <w:right w:val="none" w:sz="0" w:space="0" w:color="auto"/>
          </w:divBdr>
          <w:divsChild>
            <w:div w:id="300425702">
              <w:marLeft w:val="0"/>
              <w:marRight w:val="0"/>
              <w:marTop w:val="0"/>
              <w:marBottom w:val="0"/>
              <w:divBdr>
                <w:top w:val="none" w:sz="0" w:space="0" w:color="auto"/>
                <w:left w:val="none" w:sz="0" w:space="0" w:color="auto"/>
                <w:bottom w:val="none" w:sz="0" w:space="0" w:color="auto"/>
                <w:right w:val="none" w:sz="0" w:space="0" w:color="auto"/>
              </w:divBdr>
              <w:divsChild>
                <w:div w:id="2010283184">
                  <w:marLeft w:val="0"/>
                  <w:marRight w:val="0"/>
                  <w:marTop w:val="0"/>
                  <w:marBottom w:val="0"/>
                  <w:divBdr>
                    <w:top w:val="none" w:sz="0" w:space="0" w:color="auto"/>
                    <w:left w:val="none" w:sz="0" w:space="0" w:color="auto"/>
                    <w:bottom w:val="none" w:sz="0" w:space="0" w:color="auto"/>
                    <w:right w:val="none" w:sz="0" w:space="0" w:color="auto"/>
                  </w:divBdr>
                  <w:divsChild>
                    <w:div w:id="164829782">
                      <w:marLeft w:val="0"/>
                      <w:marRight w:val="0"/>
                      <w:marTop w:val="0"/>
                      <w:marBottom w:val="0"/>
                      <w:divBdr>
                        <w:top w:val="none" w:sz="0" w:space="0" w:color="auto"/>
                        <w:left w:val="none" w:sz="0" w:space="0" w:color="auto"/>
                        <w:bottom w:val="none" w:sz="0" w:space="0" w:color="auto"/>
                        <w:right w:val="none" w:sz="0" w:space="0" w:color="auto"/>
                      </w:divBdr>
                      <w:divsChild>
                        <w:div w:id="285091346">
                          <w:marLeft w:val="0"/>
                          <w:marRight w:val="0"/>
                          <w:marTop w:val="0"/>
                          <w:marBottom w:val="0"/>
                          <w:divBdr>
                            <w:top w:val="none" w:sz="0" w:space="0" w:color="auto"/>
                            <w:left w:val="none" w:sz="0" w:space="0" w:color="auto"/>
                            <w:bottom w:val="none" w:sz="0" w:space="0" w:color="auto"/>
                            <w:right w:val="none" w:sz="0" w:space="0" w:color="auto"/>
                          </w:divBdr>
                          <w:divsChild>
                            <w:div w:id="8038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077386">
      <w:bodyDiv w:val="1"/>
      <w:marLeft w:val="0"/>
      <w:marRight w:val="0"/>
      <w:marTop w:val="0"/>
      <w:marBottom w:val="0"/>
      <w:divBdr>
        <w:top w:val="none" w:sz="0" w:space="0" w:color="auto"/>
        <w:left w:val="none" w:sz="0" w:space="0" w:color="auto"/>
        <w:bottom w:val="none" w:sz="0" w:space="0" w:color="auto"/>
        <w:right w:val="none" w:sz="0" w:space="0" w:color="auto"/>
      </w:divBdr>
      <w:divsChild>
        <w:div w:id="767386850">
          <w:marLeft w:val="0"/>
          <w:marRight w:val="0"/>
          <w:marTop w:val="0"/>
          <w:marBottom w:val="0"/>
          <w:divBdr>
            <w:top w:val="none" w:sz="0" w:space="0" w:color="auto"/>
            <w:left w:val="none" w:sz="0" w:space="0" w:color="auto"/>
            <w:bottom w:val="none" w:sz="0" w:space="0" w:color="auto"/>
            <w:right w:val="none" w:sz="0" w:space="0" w:color="auto"/>
          </w:divBdr>
          <w:divsChild>
            <w:div w:id="167465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8676">
      <w:bodyDiv w:val="1"/>
      <w:marLeft w:val="0"/>
      <w:marRight w:val="0"/>
      <w:marTop w:val="0"/>
      <w:marBottom w:val="0"/>
      <w:divBdr>
        <w:top w:val="none" w:sz="0" w:space="0" w:color="auto"/>
        <w:left w:val="none" w:sz="0" w:space="0" w:color="auto"/>
        <w:bottom w:val="none" w:sz="0" w:space="0" w:color="auto"/>
        <w:right w:val="none" w:sz="0" w:space="0" w:color="auto"/>
      </w:divBdr>
    </w:div>
    <w:div w:id="1616253893">
      <w:bodyDiv w:val="1"/>
      <w:marLeft w:val="0"/>
      <w:marRight w:val="0"/>
      <w:marTop w:val="0"/>
      <w:marBottom w:val="0"/>
      <w:divBdr>
        <w:top w:val="none" w:sz="0" w:space="0" w:color="auto"/>
        <w:left w:val="none" w:sz="0" w:space="0" w:color="auto"/>
        <w:bottom w:val="none" w:sz="0" w:space="0" w:color="auto"/>
        <w:right w:val="none" w:sz="0" w:space="0" w:color="auto"/>
      </w:divBdr>
      <w:divsChild>
        <w:div w:id="733743798">
          <w:marLeft w:val="0"/>
          <w:marRight w:val="0"/>
          <w:marTop w:val="0"/>
          <w:marBottom w:val="0"/>
          <w:divBdr>
            <w:top w:val="none" w:sz="0" w:space="0" w:color="auto"/>
            <w:left w:val="none" w:sz="0" w:space="0" w:color="auto"/>
            <w:bottom w:val="none" w:sz="0" w:space="0" w:color="auto"/>
            <w:right w:val="none" w:sz="0" w:space="0" w:color="auto"/>
          </w:divBdr>
        </w:div>
      </w:divsChild>
    </w:div>
    <w:div w:id="1690990708">
      <w:bodyDiv w:val="1"/>
      <w:marLeft w:val="0"/>
      <w:marRight w:val="0"/>
      <w:marTop w:val="0"/>
      <w:marBottom w:val="0"/>
      <w:divBdr>
        <w:top w:val="none" w:sz="0" w:space="0" w:color="auto"/>
        <w:left w:val="none" w:sz="0" w:space="0" w:color="auto"/>
        <w:bottom w:val="none" w:sz="0" w:space="0" w:color="auto"/>
        <w:right w:val="none" w:sz="0" w:space="0" w:color="auto"/>
      </w:divBdr>
    </w:div>
    <w:div w:id="1720352574">
      <w:bodyDiv w:val="1"/>
      <w:marLeft w:val="0"/>
      <w:marRight w:val="0"/>
      <w:marTop w:val="0"/>
      <w:marBottom w:val="0"/>
      <w:divBdr>
        <w:top w:val="none" w:sz="0" w:space="0" w:color="auto"/>
        <w:left w:val="none" w:sz="0" w:space="0" w:color="auto"/>
        <w:bottom w:val="none" w:sz="0" w:space="0" w:color="auto"/>
        <w:right w:val="none" w:sz="0" w:space="0" w:color="auto"/>
      </w:divBdr>
      <w:divsChild>
        <w:div w:id="1548640832">
          <w:marLeft w:val="0"/>
          <w:marRight w:val="0"/>
          <w:marTop w:val="0"/>
          <w:marBottom w:val="0"/>
          <w:divBdr>
            <w:top w:val="none" w:sz="0" w:space="0" w:color="auto"/>
            <w:left w:val="none" w:sz="0" w:space="0" w:color="auto"/>
            <w:bottom w:val="none" w:sz="0" w:space="0" w:color="auto"/>
            <w:right w:val="none" w:sz="0" w:space="0" w:color="auto"/>
          </w:divBdr>
          <w:divsChild>
            <w:div w:id="60174512">
              <w:marLeft w:val="0"/>
              <w:marRight w:val="0"/>
              <w:marTop w:val="0"/>
              <w:marBottom w:val="0"/>
              <w:divBdr>
                <w:top w:val="none" w:sz="0" w:space="0" w:color="auto"/>
                <w:left w:val="none" w:sz="0" w:space="0" w:color="auto"/>
                <w:bottom w:val="none" w:sz="0" w:space="0" w:color="auto"/>
                <w:right w:val="none" w:sz="0" w:space="0" w:color="auto"/>
              </w:divBdr>
              <w:divsChild>
                <w:div w:id="1392265388">
                  <w:marLeft w:val="0"/>
                  <w:marRight w:val="0"/>
                  <w:marTop w:val="0"/>
                  <w:marBottom w:val="0"/>
                  <w:divBdr>
                    <w:top w:val="none" w:sz="0" w:space="0" w:color="auto"/>
                    <w:left w:val="none" w:sz="0" w:space="0" w:color="auto"/>
                    <w:bottom w:val="none" w:sz="0" w:space="0" w:color="auto"/>
                    <w:right w:val="none" w:sz="0" w:space="0" w:color="auto"/>
                  </w:divBdr>
                  <w:divsChild>
                    <w:div w:id="1412699383">
                      <w:marLeft w:val="0"/>
                      <w:marRight w:val="-90"/>
                      <w:marTop w:val="0"/>
                      <w:marBottom w:val="0"/>
                      <w:divBdr>
                        <w:top w:val="none" w:sz="0" w:space="0" w:color="auto"/>
                        <w:left w:val="none" w:sz="0" w:space="0" w:color="auto"/>
                        <w:bottom w:val="none" w:sz="0" w:space="0" w:color="auto"/>
                        <w:right w:val="none" w:sz="0" w:space="0" w:color="auto"/>
                      </w:divBdr>
                      <w:divsChild>
                        <w:div w:id="1822500518">
                          <w:marLeft w:val="0"/>
                          <w:marRight w:val="0"/>
                          <w:marTop w:val="0"/>
                          <w:marBottom w:val="0"/>
                          <w:divBdr>
                            <w:top w:val="none" w:sz="0" w:space="0" w:color="auto"/>
                            <w:left w:val="none" w:sz="0" w:space="0" w:color="auto"/>
                            <w:bottom w:val="none" w:sz="0" w:space="0" w:color="auto"/>
                            <w:right w:val="none" w:sz="0" w:space="0" w:color="auto"/>
                          </w:divBdr>
                          <w:divsChild>
                            <w:div w:id="25063528">
                              <w:marLeft w:val="0"/>
                              <w:marRight w:val="0"/>
                              <w:marTop w:val="0"/>
                              <w:marBottom w:val="0"/>
                              <w:divBdr>
                                <w:top w:val="none" w:sz="0" w:space="0" w:color="auto"/>
                                <w:left w:val="none" w:sz="0" w:space="0" w:color="auto"/>
                                <w:bottom w:val="none" w:sz="0" w:space="0" w:color="auto"/>
                                <w:right w:val="none" w:sz="0" w:space="0" w:color="auto"/>
                              </w:divBdr>
                              <w:divsChild>
                                <w:div w:id="1332105365">
                                  <w:marLeft w:val="0"/>
                                  <w:marRight w:val="0"/>
                                  <w:marTop w:val="0"/>
                                  <w:marBottom w:val="0"/>
                                  <w:divBdr>
                                    <w:top w:val="none" w:sz="0" w:space="0" w:color="auto"/>
                                    <w:left w:val="none" w:sz="0" w:space="0" w:color="auto"/>
                                    <w:bottom w:val="none" w:sz="0" w:space="0" w:color="auto"/>
                                    <w:right w:val="none" w:sz="0" w:space="0" w:color="auto"/>
                                  </w:divBdr>
                                  <w:divsChild>
                                    <w:div w:id="1060057774">
                                      <w:marLeft w:val="750"/>
                                      <w:marRight w:val="0"/>
                                      <w:marTop w:val="0"/>
                                      <w:marBottom w:val="0"/>
                                      <w:divBdr>
                                        <w:top w:val="none" w:sz="0" w:space="0" w:color="auto"/>
                                        <w:left w:val="none" w:sz="0" w:space="0" w:color="auto"/>
                                        <w:bottom w:val="none" w:sz="0" w:space="0" w:color="auto"/>
                                        <w:right w:val="none" w:sz="0" w:space="0" w:color="auto"/>
                                      </w:divBdr>
                                      <w:divsChild>
                                        <w:div w:id="2117210126">
                                          <w:marLeft w:val="0"/>
                                          <w:marRight w:val="0"/>
                                          <w:marTop w:val="0"/>
                                          <w:marBottom w:val="0"/>
                                          <w:divBdr>
                                            <w:top w:val="none" w:sz="0" w:space="0" w:color="auto"/>
                                            <w:left w:val="none" w:sz="0" w:space="0" w:color="auto"/>
                                            <w:bottom w:val="none" w:sz="0" w:space="0" w:color="auto"/>
                                            <w:right w:val="none" w:sz="0" w:space="0" w:color="auto"/>
                                          </w:divBdr>
                                          <w:divsChild>
                                            <w:div w:id="1365138201">
                                              <w:marLeft w:val="0"/>
                                              <w:marRight w:val="0"/>
                                              <w:marTop w:val="0"/>
                                              <w:marBottom w:val="0"/>
                                              <w:divBdr>
                                                <w:top w:val="none" w:sz="0" w:space="0" w:color="auto"/>
                                                <w:left w:val="none" w:sz="0" w:space="0" w:color="auto"/>
                                                <w:bottom w:val="none" w:sz="0" w:space="0" w:color="auto"/>
                                                <w:right w:val="none" w:sz="0" w:space="0" w:color="auto"/>
                                              </w:divBdr>
                                              <w:divsChild>
                                                <w:div w:id="637419546">
                                                  <w:marLeft w:val="0"/>
                                                  <w:marRight w:val="0"/>
                                                  <w:marTop w:val="0"/>
                                                  <w:marBottom w:val="0"/>
                                                  <w:divBdr>
                                                    <w:top w:val="none" w:sz="0" w:space="0" w:color="auto"/>
                                                    <w:left w:val="none" w:sz="0" w:space="0" w:color="auto"/>
                                                    <w:bottom w:val="none" w:sz="0" w:space="0" w:color="auto"/>
                                                    <w:right w:val="none" w:sz="0" w:space="0" w:color="auto"/>
                                                  </w:divBdr>
                                                  <w:divsChild>
                                                    <w:div w:id="197475950">
                                                      <w:marLeft w:val="0"/>
                                                      <w:marRight w:val="0"/>
                                                      <w:marTop w:val="0"/>
                                                      <w:marBottom w:val="0"/>
                                                      <w:divBdr>
                                                        <w:top w:val="none" w:sz="0" w:space="0" w:color="auto"/>
                                                        <w:left w:val="none" w:sz="0" w:space="0" w:color="auto"/>
                                                        <w:bottom w:val="none" w:sz="0" w:space="0" w:color="auto"/>
                                                        <w:right w:val="none" w:sz="0" w:space="0" w:color="auto"/>
                                                      </w:divBdr>
                                                      <w:divsChild>
                                                        <w:div w:id="1580745930">
                                                          <w:marLeft w:val="0"/>
                                                          <w:marRight w:val="0"/>
                                                          <w:marTop w:val="0"/>
                                                          <w:marBottom w:val="0"/>
                                                          <w:divBdr>
                                                            <w:top w:val="none" w:sz="0" w:space="0" w:color="auto"/>
                                                            <w:left w:val="none" w:sz="0" w:space="0" w:color="auto"/>
                                                            <w:bottom w:val="none" w:sz="0" w:space="0" w:color="auto"/>
                                                            <w:right w:val="none" w:sz="0" w:space="0" w:color="auto"/>
                                                          </w:divBdr>
                                                          <w:divsChild>
                                                            <w:div w:id="378750776">
                                                              <w:marLeft w:val="0"/>
                                                              <w:marRight w:val="0"/>
                                                              <w:marTop w:val="0"/>
                                                              <w:marBottom w:val="0"/>
                                                              <w:divBdr>
                                                                <w:top w:val="none" w:sz="0" w:space="0" w:color="auto"/>
                                                                <w:left w:val="none" w:sz="0" w:space="0" w:color="auto"/>
                                                                <w:bottom w:val="none" w:sz="0" w:space="0" w:color="auto"/>
                                                                <w:right w:val="none" w:sz="0" w:space="0" w:color="auto"/>
                                                              </w:divBdr>
                                                              <w:divsChild>
                                                                <w:div w:id="1615403399">
                                                                  <w:marLeft w:val="0"/>
                                                                  <w:marRight w:val="0"/>
                                                                  <w:marTop w:val="0"/>
                                                                  <w:marBottom w:val="0"/>
                                                                  <w:divBdr>
                                                                    <w:top w:val="none" w:sz="0" w:space="0" w:color="auto"/>
                                                                    <w:left w:val="none" w:sz="0" w:space="0" w:color="auto"/>
                                                                    <w:bottom w:val="none" w:sz="0" w:space="0" w:color="auto"/>
                                                                    <w:right w:val="none" w:sz="0" w:space="0" w:color="auto"/>
                                                                  </w:divBdr>
                                                                  <w:divsChild>
                                                                    <w:div w:id="94522526">
                                                                      <w:marLeft w:val="0"/>
                                                                      <w:marRight w:val="0"/>
                                                                      <w:marTop w:val="0"/>
                                                                      <w:marBottom w:val="0"/>
                                                                      <w:divBdr>
                                                                        <w:top w:val="none" w:sz="0" w:space="0" w:color="auto"/>
                                                                        <w:left w:val="none" w:sz="0" w:space="0" w:color="auto"/>
                                                                        <w:bottom w:val="none" w:sz="0" w:space="0" w:color="auto"/>
                                                                        <w:right w:val="none" w:sz="0" w:space="0" w:color="auto"/>
                                                                      </w:divBdr>
                                                                      <w:divsChild>
                                                                        <w:div w:id="193467924">
                                                                          <w:marLeft w:val="0"/>
                                                                          <w:marRight w:val="0"/>
                                                                          <w:marTop w:val="0"/>
                                                                          <w:marBottom w:val="0"/>
                                                                          <w:divBdr>
                                                                            <w:top w:val="none" w:sz="0" w:space="0" w:color="auto"/>
                                                                            <w:left w:val="none" w:sz="0" w:space="0" w:color="auto"/>
                                                                            <w:bottom w:val="none" w:sz="0" w:space="0" w:color="auto"/>
                                                                            <w:right w:val="none" w:sz="0" w:space="0" w:color="auto"/>
                                                                          </w:divBdr>
                                                                          <w:divsChild>
                                                                            <w:div w:id="124808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8880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52099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992202">
          <w:marLeft w:val="0"/>
          <w:marRight w:val="0"/>
          <w:marTop w:val="0"/>
          <w:marBottom w:val="0"/>
          <w:divBdr>
            <w:top w:val="none" w:sz="0" w:space="0" w:color="auto"/>
            <w:left w:val="none" w:sz="0" w:space="0" w:color="auto"/>
            <w:bottom w:val="none" w:sz="0" w:space="0" w:color="auto"/>
            <w:right w:val="none" w:sz="0" w:space="0" w:color="auto"/>
          </w:divBdr>
          <w:divsChild>
            <w:div w:id="1777561120">
              <w:marLeft w:val="0"/>
              <w:marRight w:val="0"/>
              <w:marTop w:val="0"/>
              <w:marBottom w:val="0"/>
              <w:divBdr>
                <w:top w:val="none" w:sz="0" w:space="0" w:color="auto"/>
                <w:left w:val="none" w:sz="0" w:space="0" w:color="auto"/>
                <w:bottom w:val="none" w:sz="0" w:space="0" w:color="auto"/>
                <w:right w:val="none" w:sz="0" w:space="0" w:color="auto"/>
              </w:divBdr>
              <w:divsChild>
                <w:div w:id="105955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905737">
      <w:bodyDiv w:val="1"/>
      <w:marLeft w:val="0"/>
      <w:marRight w:val="0"/>
      <w:marTop w:val="0"/>
      <w:marBottom w:val="0"/>
      <w:divBdr>
        <w:top w:val="none" w:sz="0" w:space="0" w:color="auto"/>
        <w:left w:val="none" w:sz="0" w:space="0" w:color="auto"/>
        <w:bottom w:val="none" w:sz="0" w:space="0" w:color="auto"/>
        <w:right w:val="none" w:sz="0" w:space="0" w:color="auto"/>
      </w:divBdr>
      <w:divsChild>
        <w:div w:id="857112371">
          <w:marLeft w:val="0"/>
          <w:marRight w:val="0"/>
          <w:marTop w:val="0"/>
          <w:marBottom w:val="0"/>
          <w:divBdr>
            <w:top w:val="none" w:sz="0" w:space="0" w:color="auto"/>
            <w:left w:val="none" w:sz="0" w:space="0" w:color="auto"/>
            <w:bottom w:val="none" w:sz="0" w:space="0" w:color="auto"/>
            <w:right w:val="none" w:sz="0" w:space="0" w:color="auto"/>
          </w:divBdr>
          <w:divsChild>
            <w:div w:id="160749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4042">
      <w:bodyDiv w:val="1"/>
      <w:marLeft w:val="0"/>
      <w:marRight w:val="0"/>
      <w:marTop w:val="0"/>
      <w:marBottom w:val="0"/>
      <w:divBdr>
        <w:top w:val="none" w:sz="0" w:space="0" w:color="auto"/>
        <w:left w:val="none" w:sz="0" w:space="0" w:color="auto"/>
        <w:bottom w:val="none" w:sz="0" w:space="0" w:color="auto"/>
        <w:right w:val="none" w:sz="0" w:space="0" w:color="auto"/>
      </w:divBdr>
    </w:div>
    <w:div w:id="1772817472">
      <w:bodyDiv w:val="1"/>
      <w:marLeft w:val="0"/>
      <w:marRight w:val="0"/>
      <w:marTop w:val="0"/>
      <w:marBottom w:val="0"/>
      <w:divBdr>
        <w:top w:val="none" w:sz="0" w:space="0" w:color="auto"/>
        <w:left w:val="none" w:sz="0" w:space="0" w:color="auto"/>
        <w:bottom w:val="none" w:sz="0" w:space="0" w:color="auto"/>
        <w:right w:val="none" w:sz="0" w:space="0" w:color="auto"/>
      </w:divBdr>
    </w:div>
    <w:div w:id="1790467611">
      <w:bodyDiv w:val="1"/>
      <w:marLeft w:val="0"/>
      <w:marRight w:val="0"/>
      <w:marTop w:val="0"/>
      <w:marBottom w:val="0"/>
      <w:divBdr>
        <w:top w:val="none" w:sz="0" w:space="0" w:color="auto"/>
        <w:left w:val="none" w:sz="0" w:space="0" w:color="auto"/>
        <w:bottom w:val="none" w:sz="0" w:space="0" w:color="auto"/>
        <w:right w:val="none" w:sz="0" w:space="0" w:color="auto"/>
      </w:divBdr>
    </w:div>
    <w:div w:id="1825197032">
      <w:bodyDiv w:val="1"/>
      <w:marLeft w:val="0"/>
      <w:marRight w:val="0"/>
      <w:marTop w:val="0"/>
      <w:marBottom w:val="0"/>
      <w:divBdr>
        <w:top w:val="none" w:sz="0" w:space="0" w:color="auto"/>
        <w:left w:val="none" w:sz="0" w:space="0" w:color="auto"/>
        <w:bottom w:val="none" w:sz="0" w:space="0" w:color="auto"/>
        <w:right w:val="none" w:sz="0" w:space="0" w:color="auto"/>
      </w:divBdr>
    </w:div>
    <w:div w:id="1839274637">
      <w:bodyDiv w:val="1"/>
      <w:marLeft w:val="0"/>
      <w:marRight w:val="0"/>
      <w:marTop w:val="0"/>
      <w:marBottom w:val="0"/>
      <w:divBdr>
        <w:top w:val="none" w:sz="0" w:space="0" w:color="auto"/>
        <w:left w:val="none" w:sz="0" w:space="0" w:color="auto"/>
        <w:bottom w:val="none" w:sz="0" w:space="0" w:color="auto"/>
        <w:right w:val="none" w:sz="0" w:space="0" w:color="auto"/>
      </w:divBdr>
    </w:div>
    <w:div w:id="1882747715">
      <w:bodyDiv w:val="1"/>
      <w:marLeft w:val="0"/>
      <w:marRight w:val="0"/>
      <w:marTop w:val="0"/>
      <w:marBottom w:val="0"/>
      <w:divBdr>
        <w:top w:val="none" w:sz="0" w:space="0" w:color="auto"/>
        <w:left w:val="none" w:sz="0" w:space="0" w:color="auto"/>
        <w:bottom w:val="none" w:sz="0" w:space="0" w:color="auto"/>
        <w:right w:val="none" w:sz="0" w:space="0" w:color="auto"/>
      </w:divBdr>
    </w:div>
    <w:div w:id="1933079827">
      <w:bodyDiv w:val="1"/>
      <w:marLeft w:val="0"/>
      <w:marRight w:val="0"/>
      <w:marTop w:val="0"/>
      <w:marBottom w:val="0"/>
      <w:divBdr>
        <w:top w:val="none" w:sz="0" w:space="0" w:color="auto"/>
        <w:left w:val="none" w:sz="0" w:space="0" w:color="auto"/>
        <w:bottom w:val="none" w:sz="0" w:space="0" w:color="auto"/>
        <w:right w:val="none" w:sz="0" w:space="0" w:color="auto"/>
      </w:divBdr>
    </w:div>
    <w:div w:id="1974014847">
      <w:bodyDiv w:val="1"/>
      <w:marLeft w:val="0"/>
      <w:marRight w:val="0"/>
      <w:marTop w:val="0"/>
      <w:marBottom w:val="0"/>
      <w:divBdr>
        <w:top w:val="none" w:sz="0" w:space="0" w:color="auto"/>
        <w:left w:val="none" w:sz="0" w:space="0" w:color="auto"/>
        <w:bottom w:val="none" w:sz="0" w:space="0" w:color="auto"/>
        <w:right w:val="none" w:sz="0" w:space="0" w:color="auto"/>
      </w:divBdr>
    </w:div>
    <w:div w:id="1980303206">
      <w:bodyDiv w:val="1"/>
      <w:marLeft w:val="0"/>
      <w:marRight w:val="0"/>
      <w:marTop w:val="0"/>
      <w:marBottom w:val="0"/>
      <w:divBdr>
        <w:top w:val="none" w:sz="0" w:space="0" w:color="auto"/>
        <w:left w:val="none" w:sz="0" w:space="0" w:color="auto"/>
        <w:bottom w:val="none" w:sz="0" w:space="0" w:color="auto"/>
        <w:right w:val="none" w:sz="0" w:space="0" w:color="auto"/>
      </w:divBdr>
      <w:divsChild>
        <w:div w:id="1805465904">
          <w:marLeft w:val="0"/>
          <w:marRight w:val="0"/>
          <w:marTop w:val="0"/>
          <w:marBottom w:val="0"/>
          <w:divBdr>
            <w:top w:val="none" w:sz="0" w:space="0" w:color="auto"/>
            <w:left w:val="none" w:sz="0" w:space="0" w:color="auto"/>
            <w:bottom w:val="none" w:sz="0" w:space="0" w:color="auto"/>
            <w:right w:val="none" w:sz="0" w:space="0" w:color="auto"/>
          </w:divBdr>
          <w:divsChild>
            <w:div w:id="140714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70279">
      <w:bodyDiv w:val="1"/>
      <w:marLeft w:val="0"/>
      <w:marRight w:val="0"/>
      <w:marTop w:val="0"/>
      <w:marBottom w:val="0"/>
      <w:divBdr>
        <w:top w:val="none" w:sz="0" w:space="0" w:color="auto"/>
        <w:left w:val="none" w:sz="0" w:space="0" w:color="auto"/>
        <w:bottom w:val="none" w:sz="0" w:space="0" w:color="auto"/>
        <w:right w:val="none" w:sz="0" w:space="0" w:color="auto"/>
      </w:divBdr>
      <w:divsChild>
        <w:div w:id="384060567">
          <w:marLeft w:val="0"/>
          <w:marRight w:val="0"/>
          <w:marTop w:val="0"/>
          <w:marBottom w:val="0"/>
          <w:divBdr>
            <w:top w:val="none" w:sz="0" w:space="0" w:color="auto"/>
            <w:left w:val="none" w:sz="0" w:space="0" w:color="auto"/>
            <w:bottom w:val="none" w:sz="0" w:space="0" w:color="auto"/>
            <w:right w:val="none" w:sz="0" w:space="0" w:color="auto"/>
          </w:divBdr>
        </w:div>
      </w:divsChild>
    </w:div>
    <w:div w:id="2025667702">
      <w:bodyDiv w:val="1"/>
      <w:marLeft w:val="0"/>
      <w:marRight w:val="0"/>
      <w:marTop w:val="0"/>
      <w:marBottom w:val="0"/>
      <w:divBdr>
        <w:top w:val="none" w:sz="0" w:space="0" w:color="auto"/>
        <w:left w:val="none" w:sz="0" w:space="0" w:color="auto"/>
        <w:bottom w:val="none" w:sz="0" w:space="0" w:color="auto"/>
        <w:right w:val="none" w:sz="0" w:space="0" w:color="auto"/>
      </w:divBdr>
    </w:div>
    <w:div w:id="2057001574">
      <w:bodyDiv w:val="1"/>
      <w:marLeft w:val="0"/>
      <w:marRight w:val="0"/>
      <w:marTop w:val="0"/>
      <w:marBottom w:val="0"/>
      <w:divBdr>
        <w:top w:val="none" w:sz="0" w:space="0" w:color="auto"/>
        <w:left w:val="none" w:sz="0" w:space="0" w:color="auto"/>
        <w:bottom w:val="none" w:sz="0" w:space="0" w:color="auto"/>
        <w:right w:val="none" w:sz="0" w:space="0" w:color="auto"/>
      </w:divBdr>
    </w:div>
    <w:div w:id="2104453466">
      <w:bodyDiv w:val="1"/>
      <w:marLeft w:val="0"/>
      <w:marRight w:val="0"/>
      <w:marTop w:val="0"/>
      <w:marBottom w:val="0"/>
      <w:divBdr>
        <w:top w:val="none" w:sz="0" w:space="0" w:color="auto"/>
        <w:left w:val="none" w:sz="0" w:space="0" w:color="auto"/>
        <w:bottom w:val="none" w:sz="0" w:space="0" w:color="auto"/>
        <w:right w:val="none" w:sz="0" w:space="0" w:color="auto"/>
      </w:divBdr>
    </w:div>
    <w:div w:id="2116898387">
      <w:bodyDiv w:val="1"/>
      <w:marLeft w:val="0"/>
      <w:marRight w:val="0"/>
      <w:marTop w:val="0"/>
      <w:marBottom w:val="0"/>
      <w:divBdr>
        <w:top w:val="none" w:sz="0" w:space="0" w:color="auto"/>
        <w:left w:val="none" w:sz="0" w:space="0" w:color="auto"/>
        <w:bottom w:val="none" w:sz="0" w:space="0" w:color="auto"/>
        <w:right w:val="none" w:sz="0" w:space="0" w:color="auto"/>
      </w:divBdr>
      <w:divsChild>
        <w:div w:id="213472438">
          <w:marLeft w:val="0"/>
          <w:marRight w:val="0"/>
          <w:marTop w:val="0"/>
          <w:marBottom w:val="0"/>
          <w:divBdr>
            <w:top w:val="none" w:sz="0" w:space="0" w:color="auto"/>
            <w:left w:val="none" w:sz="0" w:space="0" w:color="auto"/>
            <w:bottom w:val="none" w:sz="0" w:space="0" w:color="auto"/>
            <w:right w:val="none" w:sz="0" w:space="0" w:color="auto"/>
          </w:divBdr>
        </w:div>
      </w:divsChild>
    </w:div>
    <w:div w:id="2131626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38/s41598-025-07403-w"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hyperlink" Target="https://doi.org/10.3390/su14063251"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hyperlink" Target="https://doi.org/10.1002/hyp.14620" TargetMode="External"/><Relationship Id="rId5" Type="http://schemas.openxmlformats.org/officeDocument/2006/relationships/hyperlink" Target="mailto:ttphuong@vnua.edu.vn" TargetMode="External"/><Relationship Id="rId15" Type="http://schemas.openxmlformats.org/officeDocument/2006/relationships/image" Target="media/image10.jpeg"/><Relationship Id="rId23" Type="http://schemas.openxmlformats.org/officeDocument/2006/relationships/hyperlink" Target="https://doi.org/10.1007/s43621-024-00735-z" TargetMode="External"/><Relationship Id="rId10" Type="http://schemas.openxmlformats.org/officeDocument/2006/relationships/image" Target="media/image5.jpeg"/><Relationship Id="rId19" Type="http://schemas.openxmlformats.org/officeDocument/2006/relationships/hyperlink" Target="https://doi.org/10.3390/su14063251"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doi.org/10.1038/s41598-024-84655-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492</TotalTime>
  <Pages>1</Pages>
  <Words>9223</Words>
  <Characters>52577</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 Le</dc:creator>
  <cp:keywords/>
  <dc:description/>
  <cp:lastModifiedBy>lan le</cp:lastModifiedBy>
  <cp:revision>75</cp:revision>
  <cp:lastPrinted>2025-11-05T19:25:00Z</cp:lastPrinted>
  <dcterms:created xsi:type="dcterms:W3CDTF">2025-10-14T04:48:00Z</dcterms:created>
  <dcterms:modified xsi:type="dcterms:W3CDTF">2025-11-05T19:26:00Z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