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 Assessment Tracker V2</w:t>
      </w:r>
    </w:p>
    <w:p>
      <w:pPr>
        <w:pStyle w:val="Subtitle"/>
      </w:pPr>
      <w:r>
        <w:t>Detailed implementation plan for two developers</w:t>
      </w:r>
    </w:p>
    <w:p>
      <w:r>
        <w:t>Prepared 9 October 2026  |  Timeline and milestones updated 13 October 2026  |  Version 1.1</w:t>
      </w:r>
    </w:p>
    <w:p>
      <w:pPr>
        <w:pStyle w:val="Heading2"/>
      </w:pPr>
      <w:r>
        <w:t>Delivery recommendation</w:t>
      </w:r>
    </w:p>
    <w:p>
      <w:r>
        <w:rPr>
          <w:rFonts w:ascii="Arial" w:hAnsi="Arial"/>
          <w:b w:val="0"/>
        </w:rPr>
        <w:t>Establish the client, team and member structure, enforce shared permissions, and agree the Cerebru integration contracts before expanding feature work. Then complete the assessment-to-development workflow, weekly reporting and training chatbot on those foundations. Reuse the existing local application rather than restart it.</w:t>
      </w:r>
    </w:p>
    <w:p>
      <w:r>
        <w:t>Developer A is the existing developer and technical lead. Developer B is the newly onboarded developer. The developers share one delivery timeline, subject to their priority tasks, other project commitments and availability. The responsibility assignments below remain proposed.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618"/>
      </w:tblGrid>
      <w:tr>
        <w:trPr>
          <w:cantSplit/>
        </w:trPr>
        <w:tc>
          <w:tcPr>
            <w:tcW w:type="dxa" w:w="2131"/>
            <w:vAlign w:val="center"/>
            <w:shd w:fill="F0F4F7"/>
            <w:tcMar>
              <w:top w:w="70" w:type="dxa"/>
              <w:bottom w:w="70" w:type="dxa"/>
              <w:left w:w="85" w:type="dxa"/>
              <w:right w:w="85" w:type="dxa"/>
            </w:tcMar>
          </w:tcPr>
          <w:p>
            <w:r>
              <w:rPr>
                <w:b/>
              </w:rPr>
              <w:t>Planning measure</w:t>
            </w:r>
          </w:p>
        </w:tc>
        <w:tc>
          <w:tcPr>
            <w:tcW w:type="dxa" w:w="7618"/>
            <w:vAlign w:val="center"/>
            <w:shd w:fill="F0F4F7"/>
            <w:tcMar>
              <w:top w:w="70" w:type="dxa"/>
              <w:bottom w:w="70" w:type="dxa"/>
              <w:left w:w="85" w:type="dxa"/>
              <w:right w:w="85" w:type="dxa"/>
            </w:tcMar>
          </w:tcPr>
          <w:p>
            <w:r>
              <w:rPr>
                <w:b/>
              </w:rPr>
              <w:t>Baseline</w:t>
            </w:r>
          </w:p>
        </w:tc>
      </w:tr>
      <w:tr>
        <w:trPr>
          <w:cantSplit/>
        </w:trPr>
        <w:tc>
          <w:tcPr>
            <w:tcW w:type="dxa" w:w="2131"/>
            <w:vAlign w:val="center"/>
            <w:shd w:fill="F0F4F7"/>
            <w:tcMar>
              <w:top w:w="70" w:type="dxa"/>
              <w:bottom w:w="70" w:type="dxa"/>
              <w:left w:w="85" w:type="dxa"/>
              <w:right w:w="85" w:type="dxa"/>
            </w:tcMar>
          </w:tcPr>
          <w:p>
            <w:r>
              <w:rPr>
                <w:b w:val="0"/>
              </w:rPr>
              <w:t>Delivery approach</w:t>
            </w:r>
          </w:p>
        </w:tc>
        <w:tc>
          <w:tcPr>
            <w:tcW w:type="dxa" w:w="7618"/>
            <w:vAlign w:val="center"/>
            <w:shd w:fill="F0F4F7"/>
            <w:tcMar>
              <w:top w:w="70" w:type="dxa"/>
              <w:bottom w:w="70" w:type="dxa"/>
              <w:left w:w="85" w:type="dxa"/>
              <w:right w:w="85" w:type="dxa"/>
            </w:tcMar>
          </w:tcPr>
          <w:p>
            <w:r>
              <w:rPr>
                <w:b w:val="0"/>
              </w:rPr>
              <w:t>Codex AI supports implementation, testing and fixes; developers review and validate generated changes.</w:t>
            </w:r>
          </w:p>
        </w:tc>
      </w:tr>
      <w:tr>
        <w:trPr>
          <w:cantSplit/>
        </w:trPr>
        <w:tc>
          <w:tcPr>
            <w:tcW w:type="dxa" w:w="2131"/>
            <w:vAlign w:val="center"/>
            <w:shd w:fill="F0F4F7"/>
            <w:tcMar>
              <w:top w:w="70" w:type="dxa"/>
              <w:bottom w:w="70" w:type="dxa"/>
              <w:left w:w="85" w:type="dxa"/>
              <w:right w:w="85" w:type="dxa"/>
            </w:tcMar>
          </w:tcPr>
          <w:p>
            <w:r>
              <w:rPr>
                <w:b w:val="0"/>
              </w:rPr>
              <w:t>Overall ETA</w:t>
            </w:r>
          </w:p>
        </w:tc>
        <w:tc>
          <w:tcPr>
            <w:tcW w:type="dxa" w:w="7618"/>
            <w:vAlign w:val="center"/>
            <w:shd w:fill="F0F4F7"/>
            <w:tcMar>
              <w:top w:w="70" w:type="dxa"/>
              <w:bottom w:w="70" w:type="dxa"/>
              <w:left w:w="85" w:type="dxa"/>
              <w:right w:w="85" w:type="dxa"/>
            </w:tcMar>
          </w:tcPr>
          <w:p>
            <w:r>
              <w:rPr>
                <w:b w:val="0"/>
              </w:rPr>
              <w:t>4 to 6 weeks from the agreed start date.</w:t>
            </w:r>
          </w:p>
        </w:tc>
      </w:tr>
      <w:tr>
        <w:trPr>
          <w:cantSplit/>
        </w:trPr>
        <w:tc>
          <w:tcPr>
            <w:tcW w:type="dxa" w:w="2131"/>
            <w:vAlign w:val="center"/>
            <w:shd w:fill="F0F4F7"/>
            <w:tcMar>
              <w:top w:w="70" w:type="dxa"/>
              <w:bottom w:w="70" w:type="dxa"/>
              <w:left w:w="85" w:type="dxa"/>
              <w:right w:w="85" w:type="dxa"/>
            </w:tcMar>
          </w:tcPr>
          <w:p>
            <w:r>
              <w:rPr>
                <w:b w:val="0"/>
              </w:rPr>
              <w:t>Schedule dependency</w:t>
            </w:r>
          </w:p>
        </w:tc>
        <w:tc>
          <w:tcPr>
            <w:tcW w:type="dxa" w:w="7618"/>
            <w:vAlign w:val="center"/>
            <w:shd w:fill="F0F4F7"/>
            <w:tcMar>
              <w:top w:w="70" w:type="dxa"/>
              <w:bottom w:w="70" w:type="dxa"/>
              <w:left w:w="85" w:type="dxa"/>
              <w:right w:w="85" w:type="dxa"/>
            </w:tcMar>
          </w:tcPr>
          <w:p>
            <w:r>
              <w:rPr>
                <w:b w:val="0"/>
              </w:rPr>
              <w:t>The priority tasks, other project commitments and availability of both developers; timely integration access and approvals.</w:t>
            </w:r>
          </w:p>
        </w:tc>
      </w:tr>
      <w:tr>
        <w:trPr>
          <w:cantSplit/>
        </w:trPr>
        <w:tc>
          <w:tcPr>
            <w:tcW w:type="dxa" w:w="2131"/>
            <w:vAlign w:val="center"/>
            <w:shd w:fill="F0F4F7"/>
            <w:tcMar>
              <w:top w:w="70" w:type="dxa"/>
              <w:bottom w:w="70" w:type="dxa"/>
              <w:left w:w="85" w:type="dxa"/>
              <w:right w:w="85" w:type="dxa"/>
            </w:tcMar>
          </w:tcPr>
          <w:p>
            <w:r>
              <w:rPr>
                <w:b w:val="0"/>
              </w:rPr>
              <w:t>Commercial status</w:t>
            </w:r>
          </w:p>
        </w:tc>
        <w:tc>
          <w:tcPr>
            <w:tcW w:type="dxa" w:w="7618"/>
            <w:vAlign w:val="center"/>
            <w:shd w:fill="F0F4F7"/>
            <w:tcMar>
              <w:top w:w="70" w:type="dxa"/>
              <w:bottom w:w="70" w:type="dxa"/>
              <w:left w:w="85" w:type="dxa"/>
              <w:right w:w="85" w:type="dxa"/>
            </w:tcMar>
          </w:tcPr>
          <w:p>
            <w:r>
              <w:rPr>
                <w:b w:val="0"/>
              </w:rPr>
              <w:t>No new paid service, licence, subscription or infrastructure commitment is authorised by this plan.</w:t>
            </w:r>
          </w:p>
        </w:tc>
      </w:tr>
    </w:tbl>
    <w:p>
      <w:pPr>
        <w:spacing w:after="0"/>
      </w:pPr>
    </w:p>
    <w:p>
      <w:pPr>
        <w:pStyle w:val="Heading2"/>
      </w:pPr>
      <w:r>
        <w:t>Scope and release boundary</w:t>
      </w:r>
    </w:p>
    <w:p>
      <w:r>
        <w:rPr>
          <w:rFonts w:ascii="Arial" w:hAnsi="Arial"/>
          <w:b w:val="0"/>
        </w:rPr>
        <w:t>The MVP includes multi-client branding, member and team management, Cerebru import/sync, assigned written assessments and uploads, explainable provisional AI scoring, coordinator decisions, a 30-day plan, weekly progress and recommendations, growth graphs, member notes, notifications and a basic scoped chatbot. Production release requires live identity, integration, provider and operational evidence; a synthetic demo does not satisfy these gates.</w:t>
      </w:r>
    </w:p>
    <w:p>
      <w:pPr>
        <w:pStyle w:val="Heading2"/>
      </w:pPr>
      <w:r>
        <w:t>How to use this plan</w:t>
      </w:r>
    </w:p>
    <w:p>
      <w:r>
        <w:t>Use the sections below for scope and contracts, coordination, the overall timeline, detailed milestone work packages, access and acceptance, dependencies, cost approval and first actions. Reforecast after M0 and the foundation gate.</w:t>
      </w:r>
    </w:p>
    <w:p>
      <w:r>
        <w:br w:type="page"/>
      </w:r>
    </w:p>
    <w:p>
      <w:pPr>
        <w:pStyle w:val="Heading1"/>
      </w:pPr>
      <w:r>
        <w:t>1 Source coverage and current implementation</w:t>
      </w:r>
    </w:p>
    <w:p>
      <w:r>
        <w:rPr>
          <w:rFonts w:ascii="Arial" w:hAnsi="Arial"/>
          <w:b w:val="0"/>
        </w:rPr>
        <w:t>The 26-page PDF in docs is the product scope authority for this update. The user’s latest instructions add two-developer coordination, explicit client/team/member access limits and prior approval of additional costs. Existing code and ledgers establish reusable work, not proof that the new PDF scope is 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6466"/>
        <w:gridCol w:w="1051"/>
      </w:tblGrid>
      <w:tr>
        <w:trPr>
          <w:cantSplit/>
          <w:tblHeader/>
        </w:trPr>
        <w:tc>
          <w:tcPr>
            <w:tcW w:type="dxa" w:w="2232"/>
            <w:vAlign w:val="center"/>
            <w:shd w:fill="203B50"/>
            <w:tcMar>
              <w:top w:w="70" w:type="dxa"/>
              <w:bottom w:w="70" w:type="dxa"/>
              <w:left w:w="85" w:type="dxa"/>
              <w:right w:w="85" w:type="dxa"/>
            </w:tcMar>
          </w:tcPr>
          <w:p>
            <w:pPr>
              <w:spacing w:after="0" w:line="245" w:lineRule="auto"/>
            </w:pPr>
            <w:r>
              <w:rPr>
                <w:b/>
                <w:color w:val="FFFFFF"/>
                <w:sz w:val="18"/>
              </w:rPr>
              <w:t>PDF scope</w:t>
            </w:r>
          </w:p>
        </w:tc>
        <w:tc>
          <w:tcPr>
            <w:tcW w:type="dxa" w:w="6466"/>
            <w:vAlign w:val="center"/>
            <w:shd w:fill="203B50"/>
            <w:tcMar>
              <w:top w:w="70" w:type="dxa"/>
              <w:bottom w:w="70" w:type="dxa"/>
              <w:left w:w="85" w:type="dxa"/>
              <w:right w:w="85" w:type="dxa"/>
            </w:tcMar>
          </w:tcPr>
          <w:p>
            <w:pPr>
              <w:spacing w:after="0" w:line="245" w:lineRule="auto"/>
            </w:pPr>
            <w:r>
              <w:rPr>
                <w:b/>
                <w:color w:val="FFFFFF"/>
                <w:sz w:val="18"/>
              </w:rPr>
              <w:t>Observed baseline and required change</w:t>
            </w:r>
          </w:p>
        </w:tc>
        <w:tc>
          <w:tcPr>
            <w:tcW w:type="dxa" w:w="1051"/>
            <w:vAlign w:val="center"/>
            <w:shd w:fill="203B50"/>
            <w:tcMar>
              <w:top w:w="70" w:type="dxa"/>
              <w:bottom w:w="70" w:type="dxa"/>
              <w:left w:w="85" w:type="dxa"/>
              <w:right w:w="85" w:type="dxa"/>
            </w:tcMar>
          </w:tcPr>
          <w:p>
            <w:pPr>
              <w:spacing w:after="0" w:line="245" w:lineRule="auto"/>
              <w:jc w:val="center"/>
            </w:pPr>
            <w:r>
              <w:rPr>
                <w:b/>
                <w:color w:val="FFFFFF"/>
                <w:sz w:val="18"/>
              </w:rPr>
              <w:t>Milestone</w:t>
            </w:r>
          </w:p>
        </w:tc>
      </w:tr>
      <w:tr>
        <w:trPr>
          <w:cantSplit/>
        </w:trPr>
        <w:tc>
          <w:tcPr>
            <w:tcW w:type="dxa" w:w="2232"/>
            <w:vAlign w:val="center"/>
            <w:shd w:fill="F0F4F7"/>
            <w:tcMar>
              <w:top w:w="70" w:type="dxa"/>
              <w:bottom w:w="70" w:type="dxa"/>
              <w:left w:w="85" w:type="dxa"/>
              <w:right w:w="85" w:type="dxa"/>
            </w:tcMar>
          </w:tcPr>
          <w:p>
            <w:pPr>
              <w:spacing w:after="0" w:line="245" w:lineRule="auto"/>
            </w:pPr>
            <w:r>
              <w:rPr>
                <w:b w:val="0"/>
                <w:color w:val="000000"/>
                <w:sz w:val="18"/>
              </w:rPr>
              <w:t>Sections 1–7, 24–25</w:t>
              <w:br/>
              <w:t>Clients, roles, Cerebru</w:t>
            </w:r>
          </w:p>
        </w:tc>
        <w:tc>
          <w:tcPr>
            <w:tcW w:type="dxa" w:w="6466"/>
            <w:vAlign w:val="center"/>
            <w:shd w:fill="F0F4F7"/>
            <w:tcMar>
              <w:top w:w="70" w:type="dxa"/>
              <w:bottom w:w="70" w:type="dxa"/>
              <w:left w:w="85" w:type="dxa"/>
              <w:right w:w="85" w:type="dxa"/>
            </w:tcMar>
          </w:tcPr>
          <w:p>
            <w:pPr>
              <w:spacing w:after="0" w:line="245" w:lineRule="auto"/>
            </w:pPr>
            <w:r>
              <w:rPr>
                <w:b w:val="0"/>
                <w:color w:val="000000"/>
                <w:sz w:val="18"/>
              </w:rPr>
              <w:t>Organisation and group fields exist. Add client lifecycle, branding, scoped grants and verified client/team mappings. Live identity remains pending.</w:t>
            </w:r>
          </w:p>
        </w:tc>
        <w:tc>
          <w:tcPr>
            <w:tcW w:type="dxa" w:w="1051"/>
            <w:vAlign w:val="center"/>
            <w:shd w:fill="F0F4F7"/>
            <w:tcMar>
              <w:top w:w="70" w:type="dxa"/>
              <w:bottom w:w="70" w:type="dxa"/>
              <w:left w:w="85" w:type="dxa"/>
              <w:right w:w="85" w:type="dxa"/>
            </w:tcMar>
          </w:tcPr>
          <w:p>
            <w:pPr>
              <w:spacing w:after="0" w:line="245" w:lineRule="auto"/>
              <w:jc w:val="center"/>
            </w:pPr>
            <w:r>
              <w:rPr>
                <w:b w:val="0"/>
                <w:color w:val="000000"/>
                <w:sz w:val="18"/>
              </w:rPr>
              <w:t>M1–M2</w:t>
            </w:r>
          </w:p>
        </w:tc>
      </w:tr>
      <w:tr>
        <w:trPr>
          <w:cantSplit/>
        </w:trPr>
        <w:tc>
          <w:tcPr>
            <w:tcW w:type="dxa" w:w="2232"/>
            <w:vAlign w:val="center"/>
            <w:shd w:fill="FFFFFF"/>
            <w:tcMar>
              <w:top w:w="70" w:type="dxa"/>
              <w:bottom w:w="70" w:type="dxa"/>
              <w:left w:w="85" w:type="dxa"/>
              <w:right w:w="85" w:type="dxa"/>
            </w:tcMar>
          </w:tcPr>
          <w:p>
            <w:pPr>
              <w:spacing w:after="0" w:line="245" w:lineRule="auto"/>
            </w:pPr>
            <w:r>
              <w:rPr>
                <w:b w:val="0"/>
                <w:color w:val="000000"/>
                <w:sz w:val="18"/>
              </w:rPr>
              <w:t>Sections 8–11, 20</w:t>
              <w:br/>
              <w:t>Assessments and scoring</w:t>
            </w:r>
          </w:p>
        </w:tc>
        <w:tc>
          <w:tcPr>
            <w:tcW w:type="dxa" w:w="6466"/>
            <w:vAlign w:val="center"/>
            <w:shd w:fill="FFFFFF"/>
            <w:tcMar>
              <w:top w:w="70" w:type="dxa"/>
              <w:bottom w:w="70" w:type="dxa"/>
              <w:left w:w="85" w:type="dxa"/>
              <w:right w:w="85" w:type="dxa"/>
            </w:tcMar>
          </w:tcPr>
          <w:p>
            <w:pPr>
              <w:spacing w:after="0" w:line="245" w:lineRule="auto"/>
            </w:pPr>
            <w:r>
              <w:rPr>
                <w:b w:val="0"/>
                <w:color w:val="000000"/>
                <w:sz w:val="18"/>
              </w:rPr>
              <w:t>Learning submissions, grading and scan-gated extraction exist. Add a distinct assessment assignment workflow and complete category-level score review.</w:t>
            </w:r>
          </w:p>
        </w:tc>
        <w:tc>
          <w:tcPr>
            <w:tcW w:type="dxa" w:w="1051"/>
            <w:vAlign w:val="center"/>
            <w:shd w:fill="FFFFFF"/>
            <w:tcMar>
              <w:top w:w="70" w:type="dxa"/>
              <w:bottom w:w="70" w:type="dxa"/>
              <w:left w:w="85" w:type="dxa"/>
              <w:right w:w="85" w:type="dxa"/>
            </w:tcMar>
          </w:tcPr>
          <w:p>
            <w:pPr>
              <w:spacing w:after="0" w:line="245" w:lineRule="auto"/>
              <w:jc w:val="center"/>
            </w:pPr>
            <w:r>
              <w:rPr>
                <w:b w:val="0"/>
                <w:color w:val="000000"/>
                <w:sz w:val="18"/>
              </w:rPr>
              <w:t>M3</w:t>
            </w:r>
          </w:p>
        </w:tc>
      </w:tr>
      <w:tr>
        <w:trPr>
          <w:cantSplit/>
        </w:trPr>
        <w:tc>
          <w:tcPr>
            <w:tcW w:type="dxa" w:w="2232"/>
            <w:vAlign w:val="center"/>
            <w:shd w:fill="F0F4F7"/>
            <w:tcMar>
              <w:top w:w="70" w:type="dxa"/>
              <w:bottom w:w="70" w:type="dxa"/>
              <w:left w:w="85" w:type="dxa"/>
              <w:right w:w="85" w:type="dxa"/>
            </w:tcMar>
          </w:tcPr>
          <w:p>
            <w:pPr>
              <w:spacing w:after="0" w:line="245" w:lineRule="auto"/>
            </w:pPr>
            <w:r>
              <w:rPr>
                <w:b w:val="0"/>
                <w:color w:val="000000"/>
                <w:sz w:val="18"/>
              </w:rPr>
              <w:t>Sections 12–14</w:t>
              <w:br/>
              <w:t>Development plans</w:t>
            </w:r>
          </w:p>
        </w:tc>
        <w:tc>
          <w:tcPr>
            <w:tcW w:type="dxa" w:w="6466"/>
            <w:vAlign w:val="center"/>
            <w:shd w:fill="F0F4F7"/>
            <w:tcMar>
              <w:top w:w="70" w:type="dxa"/>
              <w:bottom w:w="70" w:type="dxa"/>
              <w:left w:w="85" w:type="dxa"/>
              <w:right w:w="85" w:type="dxa"/>
            </w:tcMar>
          </w:tcPr>
          <w:p>
            <w:pPr>
              <w:spacing w:after="0" w:line="245" w:lineRule="auto"/>
            </w:pPr>
            <w:r>
              <w:rPr>
                <w:b w:val="0"/>
                <w:color w:val="000000"/>
                <w:sz w:val="18"/>
              </w:rPr>
              <w:t>Versioned block-based plans exist. Add an explicit 30-day mode, workload display and assessment-to-plan entry point.</w:t>
            </w:r>
          </w:p>
        </w:tc>
        <w:tc>
          <w:tcPr>
            <w:tcW w:type="dxa" w:w="1051"/>
            <w:vAlign w:val="center"/>
            <w:shd w:fill="F0F4F7"/>
            <w:tcMar>
              <w:top w:w="70" w:type="dxa"/>
              <w:bottom w:w="70" w:type="dxa"/>
              <w:left w:w="85" w:type="dxa"/>
              <w:right w:w="85" w:type="dxa"/>
            </w:tcMar>
          </w:tcPr>
          <w:p>
            <w:pPr>
              <w:spacing w:after="0" w:line="245" w:lineRule="auto"/>
              <w:jc w:val="center"/>
            </w:pPr>
            <w:r>
              <w:rPr>
                <w:b w:val="0"/>
                <w:color w:val="000000"/>
                <w:sz w:val="18"/>
              </w:rPr>
              <w:t>M4</w:t>
            </w:r>
          </w:p>
        </w:tc>
      </w:tr>
      <w:tr>
        <w:trPr>
          <w:cantSplit/>
        </w:trPr>
        <w:tc>
          <w:tcPr>
            <w:tcW w:type="dxa" w:w="2232"/>
            <w:vAlign w:val="center"/>
            <w:shd w:fill="FFFFFF"/>
            <w:tcMar>
              <w:top w:w="70" w:type="dxa"/>
              <w:bottom w:w="70" w:type="dxa"/>
              <w:left w:w="85" w:type="dxa"/>
              <w:right w:w="85" w:type="dxa"/>
            </w:tcMar>
          </w:tcPr>
          <w:p>
            <w:pPr>
              <w:spacing w:after="0" w:line="245" w:lineRule="auto"/>
            </w:pPr>
            <w:r>
              <w:rPr>
                <w:b w:val="0"/>
                <w:color w:val="000000"/>
                <w:sz w:val="18"/>
              </w:rPr>
              <w:t>Sections 15–17</w:t>
              <w:br/>
              <w:t>Weekly progress and growth</w:t>
            </w:r>
          </w:p>
        </w:tc>
        <w:tc>
          <w:tcPr>
            <w:tcW w:type="dxa" w:w="6466"/>
            <w:vAlign w:val="center"/>
            <w:shd w:fill="FFFFFF"/>
            <w:tcMar>
              <w:top w:w="70" w:type="dxa"/>
              <w:bottom w:w="70" w:type="dxa"/>
              <w:left w:w="85" w:type="dxa"/>
              <w:right w:w="85" w:type="dxa"/>
            </w:tcMar>
          </w:tcPr>
          <w:p>
            <w:pPr>
              <w:spacing w:after="0" w:line="245" w:lineRule="auto"/>
            </w:pPr>
            <w:r>
              <w:rPr>
                <w:b w:val="0"/>
                <w:color w:val="000000"/>
                <w:sz w:val="18"/>
              </w:rPr>
              <w:t>KPI snapshots and N+2 adaptation exist. Add weekly reports, comparisons, growth charts and agreed adjustment timing.</w:t>
            </w:r>
          </w:p>
        </w:tc>
        <w:tc>
          <w:tcPr>
            <w:tcW w:type="dxa" w:w="1051"/>
            <w:vAlign w:val="center"/>
            <w:shd w:fill="FFFFFF"/>
            <w:tcMar>
              <w:top w:w="70" w:type="dxa"/>
              <w:bottom w:w="70" w:type="dxa"/>
              <w:left w:w="85" w:type="dxa"/>
              <w:right w:w="85" w:type="dxa"/>
            </w:tcMar>
          </w:tcPr>
          <w:p>
            <w:pPr>
              <w:spacing w:after="0" w:line="245" w:lineRule="auto"/>
              <w:jc w:val="center"/>
            </w:pPr>
            <w:r>
              <w:rPr>
                <w:b w:val="0"/>
                <w:color w:val="000000"/>
                <w:sz w:val="18"/>
              </w:rPr>
              <w:t>M5</w:t>
            </w:r>
          </w:p>
        </w:tc>
      </w:tr>
      <w:tr>
        <w:trPr>
          <w:cantSplit/>
        </w:trPr>
        <w:tc>
          <w:tcPr>
            <w:tcW w:type="dxa" w:w="2232"/>
            <w:vAlign w:val="center"/>
            <w:shd w:fill="F0F4F7"/>
            <w:tcMar>
              <w:top w:w="70" w:type="dxa"/>
              <w:bottom w:w="70" w:type="dxa"/>
              <w:left w:w="85" w:type="dxa"/>
              <w:right w:w="85" w:type="dxa"/>
            </w:tcMar>
          </w:tcPr>
          <w:p>
            <w:pPr>
              <w:spacing w:after="0" w:line="245" w:lineRule="auto"/>
            </w:pPr>
            <w:r>
              <w:rPr>
                <w:b w:val="0"/>
                <w:color w:val="000000"/>
                <w:sz w:val="18"/>
              </w:rPr>
              <w:t>Sections 18, 21</w:t>
              <w:br/>
              <w:t>Notes and communication</w:t>
            </w:r>
          </w:p>
        </w:tc>
        <w:tc>
          <w:tcPr>
            <w:tcW w:type="dxa" w:w="6466"/>
            <w:vAlign w:val="center"/>
            <w:shd w:fill="F0F4F7"/>
            <w:tcMar>
              <w:top w:w="70" w:type="dxa"/>
              <w:bottom w:w="70" w:type="dxa"/>
              <w:left w:w="85" w:type="dxa"/>
              <w:right w:w="85" w:type="dxa"/>
            </w:tcMar>
          </w:tcPr>
          <w:p>
            <w:pPr>
              <w:spacing w:after="0" w:line="245" w:lineRule="auto"/>
            </w:pPr>
            <w:r>
              <w:rPr>
                <w:b w:val="0"/>
                <w:color w:val="000000"/>
                <w:sz w:val="18"/>
              </w:rPr>
              <w:t>In-app notices and SMTP boundary exist. Add direct member notes, weekly triggers and qualified live delivery.</w:t>
            </w:r>
          </w:p>
        </w:tc>
        <w:tc>
          <w:tcPr>
            <w:tcW w:type="dxa" w:w="1051"/>
            <w:vAlign w:val="center"/>
            <w:shd w:fill="F0F4F7"/>
            <w:tcMar>
              <w:top w:w="70" w:type="dxa"/>
              <w:bottom w:w="70" w:type="dxa"/>
              <w:left w:w="85" w:type="dxa"/>
              <w:right w:w="85" w:type="dxa"/>
            </w:tcMar>
          </w:tcPr>
          <w:p>
            <w:pPr>
              <w:spacing w:after="0" w:line="245" w:lineRule="auto"/>
              <w:jc w:val="center"/>
            </w:pPr>
            <w:r>
              <w:rPr>
                <w:b w:val="0"/>
                <w:color w:val="000000"/>
                <w:sz w:val="18"/>
              </w:rPr>
              <w:t>M5, M7</w:t>
            </w:r>
          </w:p>
        </w:tc>
      </w:tr>
      <w:tr>
        <w:trPr>
          <w:cantSplit/>
        </w:trPr>
        <w:tc>
          <w:tcPr>
            <w:tcW w:type="dxa" w:w="2232"/>
            <w:vAlign w:val="center"/>
            <w:shd w:fill="FFFFFF"/>
            <w:tcMar>
              <w:top w:w="70" w:type="dxa"/>
              <w:bottom w:w="70" w:type="dxa"/>
              <w:left w:w="85" w:type="dxa"/>
              <w:right w:w="85" w:type="dxa"/>
            </w:tcMar>
          </w:tcPr>
          <w:p>
            <w:pPr>
              <w:spacing w:after="0" w:line="245" w:lineRule="auto"/>
            </w:pPr>
            <w:r>
              <w:rPr>
                <w:b w:val="0"/>
                <w:color w:val="000000"/>
                <w:sz w:val="18"/>
              </w:rPr>
              <w:t>Sections 19, 22</w:t>
              <w:br/>
              <w:t>Training chatbot and AI</w:t>
            </w:r>
          </w:p>
        </w:tc>
        <w:tc>
          <w:tcPr>
            <w:tcW w:type="dxa" w:w="6466"/>
            <w:vAlign w:val="center"/>
            <w:shd w:fill="FFFFFF"/>
            <w:tcMar>
              <w:top w:w="70" w:type="dxa"/>
              <w:bottom w:w="70" w:type="dxa"/>
              <w:left w:w="85" w:type="dxa"/>
              <w:right w:w="85" w:type="dxa"/>
            </w:tcMar>
          </w:tcPr>
          <w:p>
            <w:pPr>
              <w:spacing w:after="0" w:line="245" w:lineRule="auto"/>
            </w:pPr>
            <w:r>
              <w:rPr>
                <w:b w:val="0"/>
                <w:color w:val="000000"/>
                <w:sz w:val="18"/>
              </w:rPr>
              <w:t>Two provider adapters and mock exist. No dedicated chatbot located in reviewed service, route and view areas. Add scoped context and cost controls.</w:t>
            </w:r>
          </w:p>
        </w:tc>
        <w:tc>
          <w:tcPr>
            <w:tcW w:type="dxa" w:w="1051"/>
            <w:vAlign w:val="center"/>
            <w:shd w:fill="FFFFFF"/>
            <w:tcMar>
              <w:top w:w="70" w:type="dxa"/>
              <w:bottom w:w="70" w:type="dxa"/>
              <w:left w:w="85" w:type="dxa"/>
              <w:right w:w="85" w:type="dxa"/>
            </w:tcMar>
          </w:tcPr>
          <w:p>
            <w:pPr>
              <w:spacing w:after="0" w:line="245" w:lineRule="auto"/>
              <w:jc w:val="center"/>
            </w:pPr>
            <w:r>
              <w:rPr>
                <w:b w:val="0"/>
                <w:color w:val="000000"/>
                <w:sz w:val="18"/>
              </w:rPr>
              <w:t>M3, M6</w:t>
            </w:r>
          </w:p>
        </w:tc>
      </w:tr>
      <w:tr>
        <w:trPr>
          <w:cantSplit/>
        </w:trPr>
        <w:tc>
          <w:tcPr>
            <w:tcW w:type="dxa" w:w="2232"/>
            <w:vAlign w:val="center"/>
            <w:shd w:fill="F0F4F7"/>
            <w:tcMar>
              <w:top w:w="70" w:type="dxa"/>
              <w:bottom w:w="70" w:type="dxa"/>
              <w:left w:w="85" w:type="dxa"/>
              <w:right w:w="85" w:type="dxa"/>
            </w:tcMar>
          </w:tcPr>
          <w:p>
            <w:pPr>
              <w:spacing w:after="0" w:line="245" w:lineRule="auto"/>
            </w:pPr>
            <w:r>
              <w:rPr>
                <w:b w:val="0"/>
                <w:color w:val="000000"/>
                <w:sz w:val="18"/>
              </w:rPr>
              <w:t>Section 23</w:t>
              <w:br/>
              <w:t>Role dashboards</w:t>
            </w:r>
          </w:p>
        </w:tc>
        <w:tc>
          <w:tcPr>
            <w:tcW w:type="dxa" w:w="6466"/>
            <w:vAlign w:val="center"/>
            <w:shd w:fill="F0F4F7"/>
            <w:tcMar>
              <w:top w:w="70" w:type="dxa"/>
              <w:bottom w:w="70" w:type="dxa"/>
              <w:left w:w="85" w:type="dxa"/>
              <w:right w:w="85" w:type="dxa"/>
            </w:tcMar>
          </w:tcPr>
          <w:p>
            <w:pPr>
              <w:spacing w:after="0" w:line="245" w:lineRule="auto"/>
            </w:pPr>
            <w:r>
              <w:rPr>
                <w:b w:val="0"/>
                <w:color w:val="000000"/>
                <w:sz w:val="18"/>
              </w:rPr>
              <w:t>Local administration and learner/reviewer screens exist. Extend dashboards with permission-filtered totals and attention queues.</w:t>
            </w:r>
          </w:p>
        </w:tc>
        <w:tc>
          <w:tcPr>
            <w:tcW w:type="dxa" w:w="1051"/>
            <w:vAlign w:val="center"/>
            <w:shd w:fill="F0F4F7"/>
            <w:tcMar>
              <w:top w:w="70" w:type="dxa"/>
              <w:bottom w:w="70" w:type="dxa"/>
              <w:left w:w="85" w:type="dxa"/>
              <w:right w:w="85" w:type="dxa"/>
            </w:tcMar>
          </w:tcPr>
          <w:p>
            <w:pPr>
              <w:spacing w:after="0" w:line="245" w:lineRule="auto"/>
              <w:jc w:val="center"/>
            </w:pPr>
            <w:r>
              <w:rPr>
                <w:b w:val="0"/>
                <w:color w:val="000000"/>
                <w:sz w:val="18"/>
              </w:rPr>
              <w:t>M5</w:t>
            </w:r>
          </w:p>
        </w:tc>
      </w:tr>
      <w:tr>
        <w:trPr>
          <w:cantSplit/>
        </w:trPr>
        <w:tc>
          <w:tcPr>
            <w:tcW w:type="dxa" w:w="2232"/>
            <w:vAlign w:val="center"/>
            <w:shd w:fill="FFFFFF"/>
            <w:tcMar>
              <w:top w:w="70" w:type="dxa"/>
              <w:bottom w:w="70" w:type="dxa"/>
              <w:left w:w="85" w:type="dxa"/>
              <w:right w:w="85" w:type="dxa"/>
            </w:tcMar>
          </w:tcPr>
          <w:p>
            <w:pPr>
              <w:spacing w:after="0" w:line="245" w:lineRule="auto"/>
            </w:pPr>
            <w:r>
              <w:rPr>
                <w:b w:val="0"/>
                <w:color w:val="000000"/>
                <w:sz w:val="18"/>
              </w:rPr>
              <w:t>Sections 26–31, 35, 37</w:t>
              <w:br/>
              <w:t>Planning and engineering</w:t>
            </w:r>
          </w:p>
        </w:tc>
        <w:tc>
          <w:tcPr>
            <w:tcW w:type="dxa" w:w="6466"/>
            <w:vAlign w:val="center"/>
            <w:shd w:fill="FFFFFF"/>
            <w:tcMar>
              <w:top w:w="70" w:type="dxa"/>
              <w:bottom w:w="70" w:type="dxa"/>
              <w:left w:w="85" w:type="dxa"/>
              <w:right w:w="85" w:type="dxa"/>
            </w:tcMar>
          </w:tcPr>
          <w:p>
            <w:pPr>
              <w:spacing w:after="0" w:line="245" w:lineRule="auto"/>
            </w:pPr>
            <w:r>
              <w:rPr>
                <w:b w:val="0"/>
                <w:color w:val="000000"/>
                <w:sz w:val="18"/>
              </w:rPr>
              <w:t>Repository and application already exist. Reconcile architecture, decision log, contract tests and two-developer guidance; do not repeat a greenfield setup.</w:t>
            </w:r>
          </w:p>
        </w:tc>
        <w:tc>
          <w:tcPr>
            <w:tcW w:type="dxa" w:w="1051"/>
            <w:vAlign w:val="center"/>
            <w:shd w:fill="FFFFFF"/>
            <w:tcMar>
              <w:top w:w="70" w:type="dxa"/>
              <w:bottom w:w="70" w:type="dxa"/>
              <w:left w:w="85" w:type="dxa"/>
              <w:right w:w="85" w:type="dxa"/>
            </w:tcMar>
          </w:tcPr>
          <w:p>
            <w:pPr>
              <w:spacing w:after="0" w:line="245" w:lineRule="auto"/>
              <w:jc w:val="center"/>
            </w:pPr>
            <w:r>
              <w:rPr>
                <w:b w:val="0"/>
                <w:color w:val="000000"/>
                <w:sz w:val="18"/>
              </w:rPr>
              <w:t>M0–M2</w:t>
            </w:r>
          </w:p>
        </w:tc>
      </w:tr>
      <w:tr>
        <w:trPr>
          <w:cantSplit/>
        </w:trPr>
        <w:tc>
          <w:tcPr>
            <w:tcW w:type="dxa" w:w="2232"/>
            <w:vAlign w:val="center"/>
            <w:shd w:fill="F0F4F7"/>
            <w:tcMar>
              <w:top w:w="70" w:type="dxa"/>
              <w:bottom w:w="70" w:type="dxa"/>
              <w:left w:w="85" w:type="dxa"/>
              <w:right w:w="85" w:type="dxa"/>
            </w:tcMar>
          </w:tcPr>
          <w:p>
            <w:pPr>
              <w:spacing w:after="0" w:line="245" w:lineRule="auto"/>
            </w:pPr>
            <w:r>
              <w:rPr>
                <w:b w:val="0"/>
                <w:color w:val="000000"/>
                <w:sz w:val="18"/>
              </w:rPr>
              <w:t>Sections 32–34, 36</w:t>
              <w:br/>
              <w:t>MVP and complete demo</w:t>
            </w:r>
          </w:p>
        </w:tc>
        <w:tc>
          <w:tcPr>
            <w:tcW w:type="dxa" w:w="6466"/>
            <w:vAlign w:val="center"/>
            <w:shd w:fill="F0F4F7"/>
            <w:tcMar>
              <w:top w:w="70" w:type="dxa"/>
              <w:bottom w:w="70" w:type="dxa"/>
              <w:left w:w="85" w:type="dxa"/>
              <w:right w:w="85" w:type="dxa"/>
            </w:tcMar>
          </w:tcPr>
          <w:p>
            <w:pPr>
              <w:spacing w:after="0" w:line="245" w:lineRule="auto"/>
            </w:pPr>
            <w:r>
              <w:rPr>
                <w:b w:val="0"/>
                <w:color w:val="000000"/>
                <w:sz w:val="18"/>
              </w:rPr>
              <w:t>Synthetic learning pilot exists. Extend the story to PDF features and run a representative, authorised human pilot.</w:t>
            </w:r>
          </w:p>
        </w:tc>
        <w:tc>
          <w:tcPr>
            <w:tcW w:type="dxa" w:w="1051"/>
            <w:vAlign w:val="center"/>
            <w:shd w:fill="F0F4F7"/>
            <w:tcMar>
              <w:top w:w="70" w:type="dxa"/>
              <w:bottom w:w="70" w:type="dxa"/>
              <w:left w:w="85" w:type="dxa"/>
              <w:right w:w="85" w:type="dxa"/>
            </w:tcMar>
          </w:tcPr>
          <w:p>
            <w:pPr>
              <w:spacing w:after="0" w:line="245" w:lineRule="auto"/>
              <w:jc w:val="center"/>
            </w:pPr>
            <w:r>
              <w:rPr>
                <w:b w:val="0"/>
                <w:color w:val="000000"/>
                <w:sz w:val="18"/>
              </w:rPr>
              <w:t>M7</w:t>
            </w:r>
          </w:p>
        </w:tc>
      </w:tr>
    </w:tbl>
    <w:p>
      <w:pPr>
        <w:spacing w:after="0"/>
      </w:pPr>
    </w:p>
    <w:p>
      <w:pPr>
        <w:pStyle w:val="Heading2"/>
      </w:pPr>
      <w:r>
        <w:t>Evidence limits</w:t>
      </w:r>
    </w:p>
    <w:p>
      <w:r>
        <w:rPr>
          <w:rFonts w:ascii="Arial" w:hAnsi="Arial"/>
          <w:b w:val="0"/>
        </w:rPr>
        <w:t>Reviewed checkout: bdc55df. Sources include AGENT.md, the requirements and remaining-milestones ledgers, Access.php, Administration.php, User.php, PrimaryPlatform.php and foundation migrations. The existing admin role has broad organisation enrolment access; sensitive file access has a separate check. PrimaryPlatform deliberately throws primary_not_configured. Local UI/browser files already have uncommitted changes and must be preserved.</w:t>
      </w:r>
    </w:p>
    <w:p>
      <w:r>
        <w:rPr>
          <w:rFonts w:ascii="Arial" w:hAnsi="Arial"/>
          <w:b w:val="0"/>
        </w:rPr>
        <w:t>The ledger records October 5 hosted test results, including 113 MariaDB tests and seven browser tests. These were not rerun for this planning task. No live service, paid model call, deployment or production readiness was verified here.</w:t>
      </w:r>
    </w:p>
    <w:p>
      <w:r>
        <w:br w:type="page"/>
      </w:r>
    </w:p>
    <w:p>
      <w:pPr>
        <w:pStyle w:val="Heading1"/>
      </w:pPr>
      <w:r>
        <w:t>2 Client structure and data foundations</w:t>
      </w:r>
    </w:p>
    <w:p>
      <w:pPr>
        <w:pStyle w:val="Heading2"/>
      </w:pPr>
      <w:r>
        <w:t>Proposed model and ownership</w:t>
      </w:r>
    </w:p>
    <w:p>
      <w:r>
        <w:rPr>
          <w:rFonts w:ascii="Arial" w:hAnsi="Arial"/>
          <w:b w:val="0"/>
        </w:rPr>
        <w:t>Use the existing organisation identifier as the client boundary unless Cerebru discovery proves it represents a different level. Avoid introducing a second competing tenant identifier. The business relationship is Client → Team → Member → Assessment → Development plan → Progress. A client may have many teams; a member has one active client for the MVP and may have explicitly granted team memberships within it.</w:t>
      </w:r>
    </w:p>
    <w:p>
      <w:r>
        <w:rPr>
          <w:rFonts w:ascii="Arial" w:hAnsi="Arial"/>
          <w:b w:val="0"/>
        </w:rPr>
        <w:t>Keep imported Cerebru teams distinct from training cohorts. Existing groups may represent either; add explicit type and external source mappings rather than treating every cohort as an organisational team. Cohorts cannot widen access beyond the client and authorised team/member assignment.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589"/>
      </w:tblGrid>
      <w:tr>
        <w:trPr>
          <w:cantSplit/>
          <w:tblHeader/>
        </w:trPr>
        <w:tc>
          <w:tcPr>
            <w:tcW w:type="dxa" w:w="2160"/>
            <w:vAlign w:val="center"/>
            <w:shd w:fill="203B50"/>
            <w:tcMar>
              <w:top w:w="70" w:type="dxa"/>
              <w:bottom w:w="70" w:type="dxa"/>
              <w:left w:w="85" w:type="dxa"/>
              <w:right w:w="85" w:type="dxa"/>
            </w:tcMar>
          </w:tcPr>
          <w:p>
            <w:pPr>
              <w:spacing w:after="0" w:line="245" w:lineRule="auto"/>
            </w:pPr>
            <w:r>
              <w:rPr>
                <w:b/>
                <w:color w:val="FFFFFF"/>
                <w:sz w:val="19"/>
              </w:rPr>
              <w:t>Entity or boundary</w:t>
            </w:r>
          </w:p>
        </w:tc>
        <w:tc>
          <w:tcPr>
            <w:tcW w:type="dxa" w:w="7589"/>
            <w:vAlign w:val="center"/>
            <w:shd w:fill="203B50"/>
            <w:tcMar>
              <w:top w:w="70" w:type="dxa"/>
              <w:bottom w:w="70" w:type="dxa"/>
              <w:left w:w="85" w:type="dxa"/>
              <w:right w:w="85" w:type="dxa"/>
            </w:tcMar>
          </w:tcPr>
          <w:p>
            <w:pPr>
              <w:spacing w:after="0" w:line="245" w:lineRule="auto"/>
            </w:pPr>
            <w:r>
              <w:rPr>
                <w:b/>
                <w:color w:val="FFFFFF"/>
                <w:sz w:val="19"/>
              </w:rPr>
              <w:t>Implementation rule</w:t>
            </w:r>
          </w:p>
        </w:tc>
      </w:tr>
      <w:tr>
        <w:trPr>
          <w:cantSplit/>
        </w:trPr>
        <w:tc>
          <w:tcPr>
            <w:tcW w:type="dxa" w:w="2160"/>
            <w:vAlign w:val="center"/>
            <w:shd w:fill="F0F4F7"/>
            <w:tcMar>
              <w:top w:w="70" w:type="dxa"/>
              <w:bottom w:w="70" w:type="dxa"/>
              <w:left w:w="85" w:type="dxa"/>
              <w:right w:w="85" w:type="dxa"/>
            </w:tcMar>
          </w:tcPr>
          <w:p>
            <w:pPr>
              <w:spacing w:after="0" w:line="245" w:lineRule="auto"/>
            </w:pPr>
            <w:r>
              <w:rPr>
                <w:b w:val="0"/>
                <w:color w:val="000000"/>
                <w:sz w:val="19"/>
              </w:rPr>
              <w:t>Client and configuration</w:t>
            </w:r>
          </w:p>
        </w:tc>
        <w:tc>
          <w:tcPr>
            <w:tcW w:type="dxa" w:w="7589"/>
            <w:vAlign w:val="center"/>
            <w:shd w:fill="F0F4F7"/>
            <w:tcMar>
              <w:top w:w="70" w:type="dxa"/>
              <w:bottom w:w="70" w:type="dxa"/>
              <w:left w:w="85" w:type="dxa"/>
              <w:right w:w="85" w:type="dxa"/>
            </w:tcMar>
          </w:tcPr>
          <w:p>
            <w:pPr>
              <w:spacing w:after="0" w:line="245" w:lineRule="auto"/>
            </w:pPr>
            <w:r>
              <w:rPr>
                <w:b w:val="0"/>
                <w:color w:val="000000"/>
                <w:sz w:val="19"/>
              </w:rPr>
              <w:t>Active state, stable external ID, name, approved logo/colours/title, terminology and versioned programme defaults. Client configuration must never change another client’s settings.</w:t>
            </w:r>
          </w:p>
        </w:tc>
      </w:tr>
      <w:tr>
        <w:trPr>
          <w:cantSplit/>
        </w:trPr>
        <w:tc>
          <w:tcPr>
            <w:tcW w:type="dxa" w:w="2160"/>
            <w:vAlign w:val="center"/>
            <w:shd w:fill="FFFFFF"/>
            <w:tcMar>
              <w:top w:w="70" w:type="dxa"/>
              <w:bottom w:w="70" w:type="dxa"/>
              <w:left w:w="85" w:type="dxa"/>
              <w:right w:w="85" w:type="dxa"/>
            </w:tcMar>
          </w:tcPr>
          <w:p>
            <w:pPr>
              <w:spacing w:after="0" w:line="245" w:lineRule="auto"/>
            </w:pPr>
            <w:r>
              <w:rPr>
                <w:b w:val="0"/>
                <w:color w:val="000000"/>
                <w:sz w:val="19"/>
              </w:rPr>
              <w:t>Identity and grants</w:t>
            </w:r>
          </w:p>
        </w:tc>
        <w:tc>
          <w:tcPr>
            <w:tcW w:type="dxa" w:w="7589"/>
            <w:vAlign w:val="center"/>
            <w:shd w:fill="FFFFFF"/>
            <w:tcMar>
              <w:top w:w="70" w:type="dxa"/>
              <w:bottom w:w="70" w:type="dxa"/>
              <w:left w:w="85" w:type="dxa"/>
              <w:right w:w="85" w:type="dxa"/>
            </w:tcMar>
          </w:tcPr>
          <w:p>
            <w:pPr>
              <w:spacing w:after="0" w:line="245" w:lineRule="auto"/>
            </w:pPr>
            <w:r>
              <w:rPr>
                <w:b w:val="0"/>
                <w:color w:val="000000"/>
                <w:sz w:val="19"/>
              </w:rPr>
              <w:t>Immutable issuer plus subject identifies the person. Separate sign-in identity from client-scoped role/capability grants. Record effective dates, source, permission version and revocation.</w:t>
            </w:r>
          </w:p>
        </w:tc>
      </w:tr>
      <w:tr>
        <w:trPr>
          <w:cantSplit/>
        </w:trPr>
        <w:tc>
          <w:tcPr>
            <w:tcW w:type="dxa" w:w="2160"/>
            <w:vAlign w:val="center"/>
            <w:shd w:fill="F0F4F7"/>
            <w:tcMar>
              <w:top w:w="70" w:type="dxa"/>
              <w:bottom w:w="70" w:type="dxa"/>
              <w:left w:w="85" w:type="dxa"/>
              <w:right w:w="85" w:type="dxa"/>
            </w:tcMar>
          </w:tcPr>
          <w:p>
            <w:pPr>
              <w:spacing w:after="0" w:line="245" w:lineRule="auto"/>
            </w:pPr>
            <w:r>
              <w:rPr>
                <w:b w:val="0"/>
                <w:color w:val="000000"/>
                <w:sz w:val="19"/>
              </w:rPr>
              <w:t>Teams and members</w:t>
            </w:r>
          </w:p>
        </w:tc>
        <w:tc>
          <w:tcPr>
            <w:tcW w:type="dxa" w:w="7589"/>
            <w:vAlign w:val="center"/>
            <w:shd w:fill="F0F4F7"/>
            <w:tcMar>
              <w:top w:w="70" w:type="dxa"/>
              <w:bottom w:w="70" w:type="dxa"/>
              <w:left w:w="85" w:type="dxa"/>
              <w:right w:w="85" w:type="dxa"/>
            </w:tcMar>
          </w:tcPr>
          <w:p>
            <w:pPr>
              <w:spacing w:after="0" w:line="245" w:lineRule="auto"/>
            </w:pPr>
            <w:r>
              <w:rPr>
                <w:b w:val="0"/>
                <w:color w:val="000000"/>
                <w:sz w:val="19"/>
              </w:rPr>
              <w:t>Client-scoped source IDs and effective memberships. Imported fields stay source-owned; local cohorts and reviewer assignments stay training-owned.</w:t>
            </w:r>
          </w:p>
        </w:tc>
      </w:tr>
      <w:tr>
        <w:trPr>
          <w:cantSplit/>
        </w:trPr>
        <w:tc>
          <w:tcPr>
            <w:tcW w:type="dxa" w:w="2160"/>
            <w:vAlign w:val="center"/>
            <w:shd w:fill="FFFFFF"/>
            <w:tcMar>
              <w:top w:w="70" w:type="dxa"/>
              <w:bottom w:w="70" w:type="dxa"/>
              <w:left w:w="85" w:type="dxa"/>
              <w:right w:w="85" w:type="dxa"/>
            </w:tcMar>
          </w:tcPr>
          <w:p>
            <w:pPr>
              <w:spacing w:after="0" w:line="245" w:lineRule="auto"/>
            </w:pPr>
            <w:r>
              <w:rPr>
                <w:b w:val="0"/>
                <w:color w:val="000000"/>
                <w:sz w:val="19"/>
              </w:rPr>
              <w:t>Training records</w:t>
            </w:r>
          </w:p>
        </w:tc>
        <w:tc>
          <w:tcPr>
            <w:tcW w:type="dxa" w:w="7589"/>
            <w:vAlign w:val="center"/>
            <w:shd w:fill="FFFFFF"/>
            <w:tcMar>
              <w:top w:w="70" w:type="dxa"/>
              <w:bottom w:w="70" w:type="dxa"/>
              <w:left w:w="85" w:type="dxa"/>
              <w:right w:w="85" w:type="dxa"/>
            </w:tcMar>
          </w:tcPr>
          <w:p>
            <w:pPr>
              <w:spacing w:after="0" w:line="245" w:lineRule="auto"/>
            </w:pPr>
            <w:r>
              <w:rPr>
                <w:b w:val="0"/>
                <w:color w:val="000000"/>
                <w:sz w:val="19"/>
              </w:rPr>
              <w:t>Assessments, plans, weekly reports, notes, chat sessions, report jobs and private files carry client/environment scope and member/enrolment ownership.</w:t>
            </w:r>
          </w:p>
        </w:tc>
      </w:tr>
      <w:tr>
        <w:trPr>
          <w:cantSplit/>
        </w:trPr>
        <w:tc>
          <w:tcPr>
            <w:tcW w:type="dxa" w:w="2160"/>
            <w:vAlign w:val="center"/>
            <w:shd w:fill="F0F4F7"/>
            <w:tcMar>
              <w:top w:w="70" w:type="dxa"/>
              <w:bottom w:w="70" w:type="dxa"/>
              <w:left w:w="85" w:type="dxa"/>
              <w:right w:w="85" w:type="dxa"/>
            </w:tcMar>
          </w:tcPr>
          <w:p>
            <w:pPr>
              <w:spacing w:after="0" w:line="245" w:lineRule="auto"/>
            </w:pPr>
            <w:r>
              <w:rPr>
                <w:b w:val="0"/>
                <w:color w:val="000000"/>
                <w:sz w:val="19"/>
              </w:rPr>
              <w:t>Data integrity</w:t>
            </w:r>
          </w:p>
        </w:tc>
        <w:tc>
          <w:tcPr>
            <w:tcW w:type="dxa" w:w="7589"/>
            <w:vAlign w:val="center"/>
            <w:shd w:fill="F0F4F7"/>
            <w:tcMar>
              <w:top w:w="70" w:type="dxa"/>
              <w:bottom w:w="70" w:type="dxa"/>
              <w:left w:w="85" w:type="dxa"/>
              <w:right w:w="85" w:type="dxa"/>
            </w:tcMar>
          </w:tcPr>
          <w:p>
            <w:pPr>
              <w:spacing w:after="0" w:line="245" w:lineRule="auto"/>
            </w:pPr>
            <w:r>
              <w:rPr>
                <w:b w:val="0"/>
                <w:color w:val="000000"/>
                <w:sz w:val="19"/>
              </w:rPr>
              <w:t>Prevent cross-client relationships using service validation and appropriate composite constraints/indexes. Do not rely only on UI filters or UUIDs being hard to guess.</w:t>
            </w:r>
          </w:p>
        </w:tc>
      </w:tr>
      <w:tr>
        <w:trPr>
          <w:cantSplit/>
        </w:trPr>
        <w:tc>
          <w:tcPr>
            <w:tcW w:type="dxa" w:w="2160"/>
            <w:vAlign w:val="center"/>
            <w:shd w:fill="FFFFFF"/>
            <w:tcMar>
              <w:top w:w="70" w:type="dxa"/>
              <w:bottom w:w="70" w:type="dxa"/>
              <w:left w:w="85" w:type="dxa"/>
              <w:right w:w="85" w:type="dxa"/>
            </w:tcMar>
          </w:tcPr>
          <w:p>
            <w:pPr>
              <w:spacing w:after="0" w:line="245" w:lineRule="auto"/>
            </w:pPr>
            <w:r>
              <w:rPr>
                <w:b w:val="0"/>
                <w:color w:val="000000"/>
                <w:sz w:val="19"/>
              </w:rPr>
              <w:t>Files jobs and caches</w:t>
            </w:r>
          </w:p>
        </w:tc>
        <w:tc>
          <w:tcPr>
            <w:tcW w:type="dxa" w:w="7589"/>
            <w:vAlign w:val="center"/>
            <w:shd w:fill="FFFFFF"/>
            <w:tcMar>
              <w:top w:w="70" w:type="dxa"/>
              <w:bottom w:w="70" w:type="dxa"/>
              <w:left w:w="85" w:type="dxa"/>
              <w:right w:w="85" w:type="dxa"/>
            </w:tcMar>
          </w:tcPr>
          <w:p>
            <w:pPr>
              <w:spacing w:after="0" w:line="245" w:lineRule="auto"/>
            </w:pPr>
            <w:r>
              <w:rPr>
                <w:b w:val="0"/>
                <w:color w:val="000000"/>
                <w:sz w:val="19"/>
              </w:rPr>
              <w:t>Private storage; reference-based queue payloads; client/member/permission-version cache keys; server-side access checks at execution and download time.</w:t>
            </w:r>
          </w:p>
        </w:tc>
      </w:tr>
    </w:tbl>
    <w:p>
      <w:pPr>
        <w:spacing w:after="0"/>
      </w:pPr>
    </w:p>
    <w:p>
      <w:pPr>
        <w:pStyle w:val="Heading2"/>
      </w:pPr>
      <w:r>
        <w:t>Migration and compatibility</w:t>
      </w:r>
    </w:p>
    <w:p>
      <w:r>
        <w:rPr>
          <w:rFonts w:ascii="Arial" w:hAnsi="Arial"/>
          <w:b w:val="0"/>
        </w:rPr>
        <w:t>Developer A owns the migration sequence. Inventory existing organisation, role, group and identity records; back up the development database; add fields and mapping tables before enforcing constraints. Backfill the existing organisation as an explicit client and validate row counts, orphan relationships, uniqueness and permissions. Preserve approved grades, evidence hashes, programme versions and audit history. Rehearse on MariaDB and an isolated restored copy before production migration.</w:t>
      </w:r>
    </w:p>
    <w:p>
      <w:r>
        <w:rPr>
          <w:rFonts w:ascii="Arial" w:hAnsi="Arial"/>
          <w:b w:val="0"/>
        </w:rPr>
        <w:t>Do not silently move historical training when a member changes client. End old access, create the new client membership, and require a separately authorised history-transfer decision. For the MVP, cross-client coordinators and shared login identities must either use explicit client grants and a validated client switch or be excluded by a recorded decision in M0; never infer access from email.</w:t>
      </w:r>
    </w:p>
    <w:p>
      <w:pPr>
        <w:pStyle w:val="Heading2"/>
      </w:pPr>
      <w:r>
        <w:t>Foundation exit gate</w:t>
      </w:r>
    </w:p>
    <w:p>
      <w:r>
        <w:rPr>
          <w:rFonts w:ascii="Arial" w:hAnsi="Arial"/>
          <w:b w:val="0"/>
        </w:rPr>
        <w:t>Two clients, at least two teams per client and several members must coexist in the same test instance with no cross-client reads, writes, files, counts, jobs or cache leakage. All later features consume the same authorised query and command services.</w:t>
      </w:r>
    </w:p>
    <w:p>
      <w:r>
        <w:br w:type="page"/>
      </w:r>
    </w:p>
    <w:p>
      <w:pPr>
        <w:pStyle w:val="Heading1"/>
      </w:pPr>
      <w:r>
        <w:t>3 Permissions and visibility contract</w:t>
      </w:r>
    </w:p>
    <w:p>
      <w:r>
        <w:rPr>
          <w:rFonts w:ascii="Arial" w:hAnsi="Arial"/>
          <w:b w:val="0"/>
        </w:rPr>
        <w:t>Deny by default. Resolve the actor, active client, environment, role capabilities, effective team assignment and member/record ownership on the server. A URL, hidden field, chatbot prompt or selected dashboard client is not authority. An Admin title alone does not grant access to personal assessment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02"/>
        <w:gridCol w:w="4046"/>
      </w:tblGrid>
      <w:tr>
        <w:trPr>
          <w:cantSplit/>
          <w:tblHeader/>
        </w:trPr>
        <w:tc>
          <w:tcPr>
            <w:tcW w:type="dxa" w:w="1800"/>
            <w:vAlign w:val="center"/>
            <w:shd w:fill="203B50"/>
            <w:tcMar>
              <w:top w:w="70" w:type="dxa"/>
              <w:bottom w:w="70" w:type="dxa"/>
              <w:left w:w="85" w:type="dxa"/>
              <w:right w:w="85" w:type="dxa"/>
            </w:tcMar>
          </w:tcPr>
          <w:p>
            <w:pPr>
              <w:spacing w:after="0" w:line="245" w:lineRule="auto"/>
            </w:pPr>
            <w:r>
              <w:rPr>
                <w:b/>
                <w:color w:val="FFFFFF"/>
                <w:sz w:val="18"/>
              </w:rPr>
              <w:t>Actor</w:t>
            </w:r>
          </w:p>
        </w:tc>
        <w:tc>
          <w:tcPr>
            <w:tcW w:type="dxa" w:w="3902"/>
            <w:vAlign w:val="center"/>
            <w:shd w:fill="203B50"/>
            <w:tcMar>
              <w:top w:w="70" w:type="dxa"/>
              <w:bottom w:w="70" w:type="dxa"/>
              <w:left w:w="85" w:type="dxa"/>
              <w:right w:w="85" w:type="dxa"/>
            </w:tcMar>
          </w:tcPr>
          <w:p>
            <w:pPr>
              <w:spacing w:after="0" w:line="245" w:lineRule="auto"/>
            </w:pPr>
            <w:r>
              <w:rPr>
                <w:b/>
                <w:color w:val="FFFFFF"/>
                <w:sz w:val="18"/>
              </w:rPr>
              <w:t>Permitted scope</w:t>
            </w:r>
          </w:p>
        </w:tc>
        <w:tc>
          <w:tcPr>
            <w:tcW w:type="dxa" w:w="4046"/>
            <w:vAlign w:val="center"/>
            <w:shd w:fill="203B50"/>
            <w:tcMar>
              <w:top w:w="70" w:type="dxa"/>
              <w:bottom w:w="70" w:type="dxa"/>
              <w:left w:w="85" w:type="dxa"/>
              <w:right w:w="85" w:type="dxa"/>
            </w:tcMar>
          </w:tcPr>
          <w:p>
            <w:pPr>
              <w:spacing w:after="0" w:line="245" w:lineRule="auto"/>
            </w:pPr>
            <w:r>
              <w:rPr>
                <w:b/>
                <w:color w:val="FFFFFF"/>
                <w:sz w:val="18"/>
              </w:rPr>
              <w:t>Restrictions</w:t>
            </w:r>
          </w:p>
        </w:tc>
      </w:tr>
      <w:tr>
        <w:trPr>
          <w:cantSplit/>
        </w:trPr>
        <w:tc>
          <w:tcPr>
            <w:tcW w:type="dxa" w:w="1800"/>
            <w:vAlign w:val="center"/>
            <w:shd w:fill="F0F4F7"/>
            <w:tcMar>
              <w:top w:w="70" w:type="dxa"/>
              <w:bottom w:w="70" w:type="dxa"/>
              <w:left w:w="85" w:type="dxa"/>
              <w:right w:w="85" w:type="dxa"/>
            </w:tcMar>
          </w:tcPr>
          <w:p>
            <w:pPr>
              <w:spacing w:after="0" w:line="245" w:lineRule="auto"/>
            </w:pPr>
            <w:r>
              <w:rPr>
                <w:b w:val="0"/>
                <w:color w:val="000000"/>
                <w:sz w:val="18"/>
              </w:rPr>
              <w:t>System administrator</w:t>
            </w:r>
          </w:p>
        </w:tc>
        <w:tc>
          <w:tcPr>
            <w:tcW w:type="dxa" w:w="3902"/>
            <w:vAlign w:val="center"/>
            <w:shd w:fill="F0F4F7"/>
            <w:tcMar>
              <w:top w:w="70" w:type="dxa"/>
              <w:bottom w:w="70" w:type="dxa"/>
              <w:left w:w="85" w:type="dxa"/>
              <w:right w:w="85" w:type="dxa"/>
            </w:tcMar>
          </w:tcPr>
          <w:p>
            <w:pPr>
              <w:spacing w:after="0" w:line="245" w:lineRule="auto"/>
            </w:pPr>
            <w:r>
              <w:rPr>
                <w:b w:val="0"/>
                <w:color w:val="000000"/>
                <w:sz w:val="18"/>
              </w:rPr>
              <w:t>Manage platform settings, clients and grants; see approved operational totals.</w:t>
            </w:r>
          </w:p>
        </w:tc>
        <w:tc>
          <w:tcPr>
            <w:tcW w:type="dxa" w:w="4046"/>
            <w:vAlign w:val="center"/>
            <w:shd w:fill="F0F4F7"/>
            <w:tcMar>
              <w:top w:w="70" w:type="dxa"/>
              <w:bottom w:w="70" w:type="dxa"/>
              <w:left w:w="85" w:type="dxa"/>
              <w:right w:w="85" w:type="dxa"/>
            </w:tcMar>
          </w:tcPr>
          <w:p>
            <w:pPr>
              <w:spacing w:after="0" w:line="245" w:lineRule="auto"/>
            </w:pPr>
            <w:r>
              <w:rPr>
                <w:b w:val="0"/>
                <w:color w:val="000000"/>
                <w:sz w:val="18"/>
              </w:rPr>
              <w:t>Personal reports and assessments require an explicit client data capability. Support access is reasoned, time-limited and audited.</w:t>
            </w:r>
          </w:p>
        </w:tc>
      </w:tr>
      <w:tr>
        <w:trPr>
          <w:cantSplit/>
        </w:trPr>
        <w:tc>
          <w:tcPr>
            <w:tcW w:type="dxa" w:w="1800"/>
            <w:vAlign w:val="center"/>
            <w:shd w:fill="FFFFFF"/>
            <w:tcMar>
              <w:top w:w="70" w:type="dxa"/>
              <w:bottom w:w="70" w:type="dxa"/>
              <w:left w:w="85" w:type="dxa"/>
              <w:right w:w="85" w:type="dxa"/>
            </w:tcMar>
          </w:tcPr>
          <w:p>
            <w:pPr>
              <w:spacing w:after="0" w:line="245" w:lineRule="auto"/>
            </w:pPr>
            <w:r>
              <w:rPr>
                <w:b w:val="0"/>
                <w:color w:val="000000"/>
                <w:sz w:val="18"/>
              </w:rPr>
              <w:t>Client administrator capability</w:t>
            </w:r>
          </w:p>
        </w:tc>
        <w:tc>
          <w:tcPr>
            <w:tcW w:type="dxa" w:w="3902"/>
            <w:vAlign w:val="center"/>
            <w:shd w:fill="FFFFFF"/>
            <w:tcMar>
              <w:top w:w="70" w:type="dxa"/>
              <w:bottom w:w="70" w:type="dxa"/>
              <w:left w:w="85" w:type="dxa"/>
              <w:right w:w="85" w:type="dxa"/>
            </w:tcMar>
          </w:tcPr>
          <w:p>
            <w:pPr>
              <w:spacing w:after="0" w:line="245" w:lineRule="auto"/>
            </w:pPr>
            <w:r>
              <w:rPr>
                <w:b w:val="0"/>
                <w:color w:val="000000"/>
                <w:sz w:val="18"/>
              </w:rPr>
              <w:t>Manage members, teams, branding and permitted configuration within the selected client.</w:t>
            </w:r>
          </w:p>
        </w:tc>
        <w:tc>
          <w:tcPr>
            <w:tcW w:type="dxa" w:w="4046"/>
            <w:vAlign w:val="center"/>
            <w:shd w:fill="FFFFFF"/>
            <w:tcMar>
              <w:top w:w="70" w:type="dxa"/>
              <w:bottom w:w="70" w:type="dxa"/>
              <w:left w:w="85" w:type="dxa"/>
              <w:right w:w="85" w:type="dxa"/>
            </w:tcMar>
          </w:tcPr>
          <w:p>
            <w:pPr>
              <w:spacing w:after="0" w:line="245" w:lineRule="auto"/>
            </w:pPr>
            <w:r>
              <w:rPr>
                <w:b w:val="0"/>
                <w:color w:val="000000"/>
                <w:sz w:val="18"/>
              </w:rPr>
              <w:t>No other client. Sensitive assessments and identifiable reports need explicit capability; no automatic grading authority.</w:t>
            </w:r>
          </w:p>
        </w:tc>
      </w:tr>
      <w:tr>
        <w:trPr>
          <w:cantSplit/>
        </w:trPr>
        <w:tc>
          <w:tcPr>
            <w:tcW w:type="dxa" w:w="1800"/>
            <w:vAlign w:val="center"/>
            <w:shd w:fill="F0F4F7"/>
            <w:tcMar>
              <w:top w:w="70" w:type="dxa"/>
              <w:bottom w:w="70" w:type="dxa"/>
              <w:left w:w="85" w:type="dxa"/>
              <w:right w:w="85" w:type="dxa"/>
            </w:tcMar>
          </w:tcPr>
          <w:p>
            <w:pPr>
              <w:spacing w:after="0" w:line="245" w:lineRule="auto"/>
            </w:pPr>
            <w:r>
              <w:rPr>
                <w:b w:val="0"/>
                <w:color w:val="000000"/>
                <w:sz w:val="18"/>
              </w:rPr>
              <w:t>Training Coordinator</w:t>
            </w:r>
          </w:p>
        </w:tc>
        <w:tc>
          <w:tcPr>
            <w:tcW w:type="dxa" w:w="3902"/>
            <w:vAlign w:val="center"/>
            <w:shd w:fill="F0F4F7"/>
            <w:tcMar>
              <w:top w:w="70" w:type="dxa"/>
              <w:bottom w:w="70" w:type="dxa"/>
              <w:left w:w="85" w:type="dxa"/>
              <w:right w:w="85" w:type="dxa"/>
            </w:tcMar>
          </w:tcPr>
          <w:p>
            <w:pPr>
              <w:spacing w:after="0" w:line="245" w:lineRule="auto"/>
            </w:pPr>
            <w:r>
              <w:rPr>
                <w:b w:val="0"/>
                <w:color w:val="000000"/>
                <w:sz w:val="18"/>
              </w:rPr>
              <w:t>Assigned teams and accountable member/enrolment assignments; assessment and plan review; permitted weekly reports and notes.</w:t>
            </w:r>
          </w:p>
        </w:tc>
        <w:tc>
          <w:tcPr>
            <w:tcW w:type="dxa" w:w="4046"/>
            <w:vAlign w:val="center"/>
            <w:shd w:fill="F0F4F7"/>
            <w:tcMar>
              <w:top w:w="70" w:type="dxa"/>
              <w:bottom w:w="70" w:type="dxa"/>
              <w:left w:w="85" w:type="dxa"/>
              <w:right w:w="85" w:type="dxa"/>
            </w:tcMar>
          </w:tcPr>
          <w:p>
            <w:pPr>
              <w:spacing w:after="0" w:line="245" w:lineRule="auto"/>
            </w:pPr>
            <w:r>
              <w:rPr>
                <w:b w:val="0"/>
                <w:color w:val="000000"/>
                <w:sz w:val="18"/>
              </w:rPr>
              <w:t>Team membership alone is not coordinator authority. No unassigned members, self-approval or hidden reviewer material without permission.</w:t>
            </w:r>
          </w:p>
        </w:tc>
      </w:tr>
      <w:tr>
        <w:trPr>
          <w:cantSplit/>
        </w:trPr>
        <w:tc>
          <w:tcPr>
            <w:tcW w:type="dxa" w:w="1800"/>
            <w:vAlign w:val="center"/>
            <w:shd w:fill="FFFFFF"/>
            <w:tcMar>
              <w:top w:w="70" w:type="dxa"/>
              <w:bottom w:w="70" w:type="dxa"/>
              <w:left w:w="85" w:type="dxa"/>
              <w:right w:w="85" w:type="dxa"/>
            </w:tcMar>
          </w:tcPr>
          <w:p>
            <w:pPr>
              <w:spacing w:after="0" w:line="245" w:lineRule="auto"/>
            </w:pPr>
            <w:r>
              <w:rPr>
                <w:b w:val="0"/>
                <w:color w:val="000000"/>
                <w:sz w:val="18"/>
              </w:rPr>
              <w:t>Member</w:t>
            </w:r>
          </w:p>
        </w:tc>
        <w:tc>
          <w:tcPr>
            <w:tcW w:type="dxa" w:w="3902"/>
            <w:vAlign w:val="center"/>
            <w:shd w:fill="FFFFFF"/>
            <w:tcMar>
              <w:top w:w="70" w:type="dxa"/>
              <w:bottom w:w="70" w:type="dxa"/>
              <w:left w:w="85" w:type="dxa"/>
              <w:right w:w="85" w:type="dxa"/>
            </w:tcMar>
          </w:tcPr>
          <w:p>
            <w:pPr>
              <w:spacing w:after="0" w:line="245" w:lineRule="auto"/>
            </w:pPr>
            <w:r>
              <w:rPr>
                <w:b w:val="0"/>
                <w:color w:val="000000"/>
                <w:sz w:val="18"/>
              </w:rPr>
              <w:t>Own assignments, uploads, approved results and plan, own progress, notes and chat history.</w:t>
            </w:r>
          </w:p>
        </w:tc>
        <w:tc>
          <w:tcPr>
            <w:tcW w:type="dxa" w:w="4046"/>
            <w:vAlign w:val="center"/>
            <w:shd w:fill="FFFFFF"/>
            <w:tcMar>
              <w:top w:w="70" w:type="dxa"/>
              <w:bottom w:w="70" w:type="dxa"/>
              <w:left w:w="85" w:type="dxa"/>
              <w:right w:w="85" w:type="dxa"/>
            </w:tcMar>
          </w:tcPr>
          <w:p>
            <w:pPr>
              <w:spacing w:after="0" w:line="245" w:lineRule="auto"/>
            </w:pPr>
            <w:r>
              <w:rPr>
                <w:b w:val="0"/>
                <w:color w:val="000000"/>
                <w:sz w:val="18"/>
              </w:rPr>
              <w:t>No peers, team aggregates, answer keys, private reviewer notes or provisional grades by default.</w:t>
            </w:r>
          </w:p>
        </w:tc>
      </w:tr>
      <w:tr>
        <w:trPr>
          <w:cantSplit/>
        </w:trPr>
        <w:tc>
          <w:tcPr>
            <w:tcW w:type="dxa" w:w="1800"/>
            <w:vAlign w:val="center"/>
            <w:shd w:fill="F0F4F7"/>
            <w:tcMar>
              <w:top w:w="70" w:type="dxa"/>
              <w:bottom w:w="70" w:type="dxa"/>
              <w:left w:w="85" w:type="dxa"/>
              <w:right w:w="85" w:type="dxa"/>
            </w:tcMar>
          </w:tcPr>
          <w:p>
            <w:pPr>
              <w:spacing w:after="0" w:line="245" w:lineRule="auto"/>
            </w:pPr>
            <w:r>
              <w:rPr>
                <w:b w:val="0"/>
                <w:color w:val="000000"/>
                <w:sz w:val="18"/>
              </w:rPr>
              <w:t>Integration service</w:t>
            </w:r>
          </w:p>
        </w:tc>
        <w:tc>
          <w:tcPr>
            <w:tcW w:type="dxa" w:w="3902"/>
            <w:vAlign w:val="center"/>
            <w:shd w:fill="F0F4F7"/>
            <w:tcMar>
              <w:top w:w="70" w:type="dxa"/>
              <w:bottom w:w="70" w:type="dxa"/>
              <w:left w:w="85" w:type="dxa"/>
              <w:right w:w="85" w:type="dxa"/>
            </w:tcMar>
          </w:tcPr>
          <w:p>
            <w:pPr>
              <w:spacing w:after="0" w:line="245" w:lineRule="auto"/>
            </w:pPr>
            <w:r>
              <w:rPr>
                <w:b w:val="0"/>
                <w:color w:val="000000"/>
                <w:sz w:val="18"/>
              </w:rPr>
              <w:t>Approved directory operations or delegated read scopes under a registered client/audience.</w:t>
            </w:r>
          </w:p>
        </w:tc>
        <w:tc>
          <w:tcPr>
            <w:tcW w:type="dxa" w:w="4046"/>
            <w:vAlign w:val="center"/>
            <w:shd w:fill="F0F4F7"/>
            <w:tcMar>
              <w:top w:w="70" w:type="dxa"/>
              <w:bottom w:w="70" w:type="dxa"/>
              <w:left w:w="85" w:type="dxa"/>
              <w:right w:w="85" w:type="dxa"/>
            </w:tcMar>
          </w:tcPr>
          <w:p>
            <w:pPr>
              <w:spacing w:after="0" w:line="245" w:lineRule="auto"/>
            </w:pPr>
            <w:r>
              <w:rPr>
                <w:b w:val="0"/>
                <w:color w:val="000000"/>
                <w:sz w:val="18"/>
              </w:rPr>
              <w:t>Machine directory credentials never impersonate a member. Delegated access intersects current actor policy.</w:t>
            </w:r>
          </w:p>
        </w:tc>
      </w:tr>
      <w:tr>
        <w:trPr>
          <w:cantSplit/>
        </w:trPr>
        <w:tc>
          <w:tcPr>
            <w:tcW w:type="dxa" w:w="1800"/>
            <w:vAlign w:val="center"/>
            <w:shd w:fill="FFFFFF"/>
            <w:tcMar>
              <w:top w:w="70" w:type="dxa"/>
              <w:bottom w:w="70" w:type="dxa"/>
              <w:left w:w="85" w:type="dxa"/>
              <w:right w:w="85" w:type="dxa"/>
            </w:tcMar>
          </w:tcPr>
          <w:p>
            <w:pPr>
              <w:spacing w:after="0" w:line="245" w:lineRule="auto"/>
            </w:pPr>
            <w:r>
              <w:rPr>
                <w:b w:val="0"/>
                <w:color w:val="000000"/>
                <w:sz w:val="18"/>
              </w:rPr>
              <w:t>Background worker</w:t>
            </w:r>
          </w:p>
        </w:tc>
        <w:tc>
          <w:tcPr>
            <w:tcW w:type="dxa" w:w="3902"/>
            <w:vAlign w:val="center"/>
            <w:shd w:fill="FFFFFF"/>
            <w:tcMar>
              <w:top w:w="70" w:type="dxa"/>
              <w:bottom w:w="70" w:type="dxa"/>
              <w:left w:w="85" w:type="dxa"/>
              <w:right w:w="85" w:type="dxa"/>
            </w:tcMar>
          </w:tcPr>
          <w:p>
            <w:pPr>
              <w:spacing w:after="0" w:line="245" w:lineRule="auto"/>
            </w:pPr>
            <w:r>
              <w:rPr>
                <w:b w:val="0"/>
                <w:color w:val="000000"/>
                <w:sz w:val="18"/>
              </w:rPr>
              <w:t>Only the scoped task and data references it was authorised to process.</w:t>
            </w:r>
          </w:p>
        </w:tc>
        <w:tc>
          <w:tcPr>
            <w:tcW w:type="dxa" w:w="4046"/>
            <w:vAlign w:val="center"/>
            <w:shd w:fill="FFFFFF"/>
            <w:tcMar>
              <w:top w:w="70" w:type="dxa"/>
              <w:bottom w:w="70" w:type="dxa"/>
              <w:left w:w="85" w:type="dxa"/>
              <w:right w:w="85" w:type="dxa"/>
            </w:tcMar>
          </w:tcPr>
          <w:p>
            <w:pPr>
              <w:spacing w:after="0" w:line="245" w:lineRule="auto"/>
            </w:pPr>
            <w:r>
              <w:rPr>
                <w:b w:val="0"/>
                <w:color w:val="000000"/>
                <w:sz w:val="18"/>
              </w:rPr>
              <w:t>Recheck grants before processing, publication, export and notification; discard or hold work after revocation.</w:t>
            </w:r>
          </w:p>
        </w:tc>
      </w:tr>
    </w:tbl>
    <w:p>
      <w:pPr>
        <w:spacing w:after="0"/>
      </w:pPr>
    </w:p>
    <w:p>
      <w:pPr>
        <w:pStyle w:val="Heading2"/>
      </w:pPr>
      <w:r>
        <w:t>One policy for application reports and chat</w:t>
      </w:r>
    </w:p>
    <w:p>
      <w:r>
        <w:rPr>
          <w:rFonts w:ascii="Arial" w:hAnsi="Arial"/>
          <w:b w:val="0"/>
        </w:rPr>
        <w:t>Apply scope filters before pagination, totals, search, aggregation or AI context assembly. Report exports, chart tooltips, chatbot citations and direct downloads must enforce the same policy as the originating screen. Store source and permission versions on generated artifacts. Recheck access at download or response time, even if the artifact was authorised when queued.</w:t>
      </w:r>
    </w:p>
    <w:p>
      <w:pPr>
        <w:pStyle w:val="Heading2"/>
      </w:pPr>
      <w:r>
        <w:t>Revocation and sensitive data</w:t>
      </w:r>
    </w:p>
    <w:p>
      <w:r>
        <w:rPr>
          <w:rFonts w:ascii="Arial" w:hAnsi="Arial"/>
          <w:b w:val="0"/>
        </w:rPr>
        <w:t>Client suspension, team removal, member deactivation and coordinator reassignment invalidate sessions, caches and queued recipients. Preserve the existing five-minute permission freshness ceiling as a proposed maximum until Cerebru confirms the contract; stale imported permissions deny privileged/external retrieval. Keep sensitive-assessment access separate from ordinary reporting. A member may access their own clean supporting evidence without receiving unrelated sensitive material.</w:t>
      </w:r>
    </w:p>
    <w:p>
      <w:pPr>
        <w:pStyle w:val="Heading2"/>
      </w:pPr>
      <w:r>
        <w:t>Required negative tests</w:t>
      </w:r>
    </w:p>
    <w:p>
      <w:r>
        <w:rPr>
          <w:rFonts w:ascii="Arial" w:hAnsi="Arial"/>
          <w:b w:val="0"/>
        </w:rPr>
        <w:t>Test Client A against Client B, Team A1 against A2, member against peer, unassigned coordinator, revoked actor, stale permissions, forged client/member IDs, direct file URLs and cross-client foreign keys. Repeat the denial tests through HTTP, Livewire, worker execution, reporting and chatbot retrieval. Confirm no titles, counts or existence clues are returned.</w:t>
      </w:r>
    </w:p>
    <w:p>
      <w:r>
        <w:br w:type="page"/>
      </w:r>
    </w:p>
    <w:p>
      <w:pPr>
        <w:pStyle w:val="Heading1"/>
      </w:pPr>
      <w:r>
        <w:t>4 Cerebru and shared integration contracts</w:t>
      </w:r>
    </w:p>
    <w:p>
      <w:r>
        <w:rPr>
          <w:rFonts w:ascii="Arial" w:hAnsi="Arial"/>
          <w:b w:val="0"/>
        </w:rPr>
        <w:t>Treat Cerebru as the parent application from the outset. Developer A owns discovery and adapters; Developer B verifies the member/admin journeys against shared fixtures. No Cerebru endpoint, token format, permission claim or source field is assumed to exist until documented and tested.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618"/>
      </w:tblGrid>
      <w:tr>
        <w:trPr>
          <w:cantSplit/>
          <w:tblHeader/>
        </w:trPr>
        <w:tc>
          <w:tcPr>
            <w:tcW w:type="dxa" w:w="2131"/>
            <w:vAlign w:val="center"/>
            <w:shd w:fill="203B50"/>
            <w:tcMar>
              <w:top w:w="70" w:type="dxa"/>
              <w:bottom w:w="70" w:type="dxa"/>
              <w:left w:w="85" w:type="dxa"/>
              <w:right w:w="85" w:type="dxa"/>
            </w:tcMar>
          </w:tcPr>
          <w:p>
            <w:pPr>
              <w:spacing w:after="0" w:line="245" w:lineRule="auto"/>
            </w:pPr>
            <w:r>
              <w:rPr>
                <w:b/>
                <w:color w:val="FFFFFF"/>
                <w:sz w:val="19"/>
              </w:rPr>
              <w:t>Contract</w:t>
            </w:r>
          </w:p>
        </w:tc>
        <w:tc>
          <w:tcPr>
            <w:tcW w:type="dxa" w:w="7618"/>
            <w:vAlign w:val="center"/>
            <w:shd w:fill="203B50"/>
            <w:tcMar>
              <w:top w:w="70" w:type="dxa"/>
              <w:bottom w:w="70" w:type="dxa"/>
              <w:left w:w="85" w:type="dxa"/>
              <w:right w:w="85" w:type="dxa"/>
            </w:tcMar>
          </w:tcPr>
          <w:p>
            <w:pPr>
              <w:spacing w:after="0" w:line="245" w:lineRule="auto"/>
            </w:pPr>
            <w:r>
              <w:rPr>
                <w:b/>
                <w:color w:val="FFFFFF"/>
                <w:sz w:val="19"/>
              </w:rPr>
              <w:t>Required agreement and proof</w:t>
            </w:r>
          </w:p>
        </w:tc>
      </w:tr>
      <w:tr>
        <w:trPr>
          <w:cantSplit/>
        </w:trPr>
        <w:tc>
          <w:tcPr>
            <w:tcW w:type="dxa" w:w="2131"/>
            <w:vAlign w:val="center"/>
            <w:shd w:fill="F0F4F7"/>
            <w:tcMar>
              <w:top w:w="70" w:type="dxa"/>
              <w:bottom w:w="70" w:type="dxa"/>
              <w:left w:w="85" w:type="dxa"/>
              <w:right w:w="85" w:type="dxa"/>
            </w:tcMar>
          </w:tcPr>
          <w:p>
            <w:pPr>
              <w:spacing w:after="0" w:line="245" w:lineRule="auto"/>
            </w:pPr>
            <w:r>
              <w:rPr>
                <w:b w:val="0"/>
                <w:color w:val="000000"/>
                <w:sz w:val="19"/>
              </w:rPr>
              <w:t>Authentication and navigation</w:t>
            </w:r>
          </w:p>
        </w:tc>
        <w:tc>
          <w:tcPr>
            <w:tcW w:type="dxa" w:w="7618"/>
            <w:vAlign w:val="center"/>
            <w:shd w:fill="F0F4F7"/>
            <w:tcMar>
              <w:top w:w="70" w:type="dxa"/>
              <w:bottom w:w="70" w:type="dxa"/>
              <w:left w:w="85" w:type="dxa"/>
              <w:right w:w="85" w:type="dxa"/>
            </w:tcMar>
          </w:tcPr>
          <w:p>
            <w:pPr>
              <w:spacing w:after="0" w:line="245" w:lineRule="auto"/>
            </w:pPr>
            <w:r>
              <w:rPr>
                <w:b w:val="0"/>
                <w:color w:val="000000"/>
                <w:sz w:val="19"/>
              </w:rPr>
              <w:t>Confirm the actual IdP and Cerebru launch/return flow. If OIDC is supported, verify PKCE, state, nonce, issuer, audience, expiry, signatures, key rotation, MFA and revocation. The current mock is not production authentication.</w:t>
            </w:r>
          </w:p>
        </w:tc>
      </w:tr>
      <w:tr>
        <w:trPr>
          <w:cantSplit/>
        </w:trPr>
        <w:tc>
          <w:tcPr>
            <w:tcW w:type="dxa" w:w="2131"/>
            <w:vAlign w:val="center"/>
            <w:shd w:fill="FFFFFF"/>
            <w:tcMar>
              <w:top w:w="70" w:type="dxa"/>
              <w:bottom w:w="70" w:type="dxa"/>
              <w:left w:w="85" w:type="dxa"/>
              <w:right w:w="85" w:type="dxa"/>
            </w:tcMar>
          </w:tcPr>
          <w:p>
            <w:pPr>
              <w:spacing w:after="0" w:line="245" w:lineRule="auto"/>
            </w:pPr>
            <w:r>
              <w:rPr>
                <w:b w:val="0"/>
                <w:color w:val="000000"/>
                <w:sz w:val="19"/>
              </w:rPr>
              <w:t>Directory and hierarchy</w:t>
            </w:r>
          </w:p>
        </w:tc>
        <w:tc>
          <w:tcPr>
            <w:tcW w:type="dxa" w:w="7618"/>
            <w:vAlign w:val="center"/>
            <w:shd w:fill="FFFFFF"/>
            <w:tcMar>
              <w:top w:w="70" w:type="dxa"/>
              <w:bottom w:w="70" w:type="dxa"/>
              <w:left w:w="85" w:type="dxa"/>
              <w:right w:w="85" w:type="dxa"/>
            </w:tcMar>
          </w:tcPr>
          <w:p>
            <w:pPr>
              <w:spacing w:after="0" w:line="245" w:lineRule="auto"/>
            </w:pPr>
            <w:r>
              <w:rPr>
                <w:b w:val="0"/>
                <w:color w:val="000000"/>
                <w:sz w:val="19"/>
              </w:rPr>
              <w:t>Obtain schemas and sandbox samples for clients, teams, users, memberships, roles, relationships and deactivations. Agree immutable source IDs, field ownership, pagination, rate limits and conflict rules.</w:t>
            </w:r>
          </w:p>
        </w:tc>
      </w:tr>
      <w:tr>
        <w:trPr>
          <w:cantSplit/>
        </w:trPr>
        <w:tc>
          <w:tcPr>
            <w:tcW w:type="dxa" w:w="2131"/>
            <w:vAlign w:val="center"/>
            <w:shd w:fill="F0F4F7"/>
            <w:tcMar>
              <w:top w:w="70" w:type="dxa"/>
              <w:bottom w:w="70" w:type="dxa"/>
              <w:left w:w="85" w:type="dxa"/>
              <w:right w:w="85" w:type="dxa"/>
            </w:tcMar>
          </w:tcPr>
          <w:p>
            <w:pPr>
              <w:spacing w:after="0" w:line="245" w:lineRule="auto"/>
            </w:pPr>
            <w:r>
              <w:rPr>
                <w:b w:val="0"/>
                <w:color w:val="000000"/>
                <w:sz w:val="19"/>
              </w:rPr>
              <w:t>Import and ongoing sync</w:t>
            </w:r>
          </w:p>
        </w:tc>
        <w:tc>
          <w:tcPr>
            <w:tcW w:type="dxa" w:w="7618"/>
            <w:vAlign w:val="center"/>
            <w:shd w:fill="F0F4F7"/>
            <w:tcMar>
              <w:top w:w="70" w:type="dxa"/>
              <w:bottom w:w="70" w:type="dxa"/>
              <w:left w:w="85" w:type="dxa"/>
              <w:right w:w="85" w:type="dxa"/>
            </w:tcMar>
          </w:tcPr>
          <w:p>
            <w:pPr>
              <w:spacing w:after="0" w:line="245" w:lineRule="auto"/>
            </w:pPr>
            <w:r>
              <w:rPr>
                <w:b w:val="0"/>
                <w:color w:val="000000"/>
                <w:sz w:val="19"/>
              </w:rPr>
              <w:t>Provide preview, duplicate review, explicit confirmation, status and retry handling. Support full reconciliation plus agreed delta/webhook mechanism. Use event IDs, versions and tombstones; advance cursors only after persistence.</w:t>
            </w:r>
          </w:p>
        </w:tc>
      </w:tr>
      <w:tr>
        <w:trPr>
          <w:cantSplit/>
        </w:trPr>
        <w:tc>
          <w:tcPr>
            <w:tcW w:type="dxa" w:w="2131"/>
            <w:vAlign w:val="center"/>
            <w:shd w:fill="FFFFFF"/>
            <w:tcMar>
              <w:top w:w="70" w:type="dxa"/>
              <w:bottom w:w="70" w:type="dxa"/>
              <w:left w:w="85" w:type="dxa"/>
              <w:right w:w="85" w:type="dxa"/>
            </w:tcMar>
          </w:tcPr>
          <w:p>
            <w:pPr>
              <w:spacing w:after="0" w:line="245" w:lineRule="auto"/>
            </w:pPr>
            <w:r>
              <w:rPr>
                <w:b w:val="0"/>
                <w:color w:val="000000"/>
                <w:sz w:val="19"/>
              </w:rPr>
              <w:t>Local member linking</w:t>
            </w:r>
          </w:p>
        </w:tc>
        <w:tc>
          <w:tcPr>
            <w:tcW w:type="dxa" w:w="7618"/>
            <w:vAlign w:val="center"/>
            <w:shd w:fill="FFFFFF"/>
            <w:tcMar>
              <w:top w:w="70" w:type="dxa"/>
              <w:bottom w:w="70" w:type="dxa"/>
              <w:left w:w="85" w:type="dxa"/>
              <w:right w:w="85" w:type="dxa"/>
            </w:tcMar>
          </w:tcPr>
          <w:p>
            <w:pPr>
              <w:spacing w:after="0" w:line="245" w:lineRule="auto"/>
            </w:pPr>
            <w:r>
              <w:rPr>
                <w:b w:val="0"/>
                <w:color w:val="000000"/>
                <w:sz w:val="19"/>
              </w:rPr>
              <w:t>Keep manual local-only records usable internally. Link only after verified matching and acknowledgement. Reuse the original idempotency key after timeout; history export remains a separate decision.</w:t>
            </w:r>
          </w:p>
        </w:tc>
      </w:tr>
      <w:tr>
        <w:trPr>
          <w:cantSplit/>
        </w:trPr>
        <w:tc>
          <w:tcPr>
            <w:tcW w:type="dxa" w:w="2131"/>
            <w:vAlign w:val="center"/>
            <w:shd w:fill="F0F4F7"/>
            <w:tcMar>
              <w:top w:w="70" w:type="dxa"/>
              <w:bottom w:w="70" w:type="dxa"/>
              <w:left w:w="85" w:type="dxa"/>
              <w:right w:w="85" w:type="dxa"/>
            </w:tcMar>
          </w:tcPr>
          <w:p>
            <w:pPr>
              <w:spacing w:after="0" w:line="245" w:lineRule="auto"/>
            </w:pPr>
            <w:r>
              <w:rPr>
                <w:b w:val="0"/>
                <w:color w:val="000000"/>
                <w:sz w:val="19"/>
              </w:rPr>
              <w:t>Delegated questions and facts</w:t>
            </w:r>
          </w:p>
        </w:tc>
        <w:tc>
          <w:tcPr>
            <w:tcW w:type="dxa" w:w="7618"/>
            <w:vAlign w:val="center"/>
            <w:shd w:fill="F0F4F7"/>
            <w:tcMar>
              <w:top w:w="70" w:type="dxa"/>
              <w:bottom w:w="70" w:type="dxa"/>
              <w:left w:w="85" w:type="dxa"/>
              <w:right w:w="85" w:type="dxa"/>
            </w:tcMar>
          </w:tcPr>
          <w:p>
            <w:pPr>
              <w:spacing w:after="0" w:line="245" w:lineRule="auto"/>
            </w:pPr>
            <w:r>
              <w:rPr>
                <w:b w:val="0"/>
                <w:color w:val="000000"/>
                <w:sz w:val="19"/>
              </w:rPr>
              <w:t>Authenticate caller and user separately, intersect delegated scopes with active client/team/member rights, and return approved minimal facts with provenance. Directory tokens plus arbitrary user headers are invalid.</w:t>
            </w:r>
          </w:p>
        </w:tc>
      </w:tr>
      <w:tr>
        <w:trPr>
          <w:cantSplit/>
        </w:trPr>
        <w:tc>
          <w:tcPr>
            <w:tcW w:type="dxa" w:w="2131"/>
            <w:vAlign w:val="center"/>
            <w:shd w:fill="FFFFFF"/>
            <w:tcMar>
              <w:top w:w="70" w:type="dxa"/>
              <w:bottom w:w="70" w:type="dxa"/>
              <w:left w:w="85" w:type="dxa"/>
              <w:right w:w="85" w:type="dxa"/>
            </w:tcMar>
          </w:tcPr>
          <w:p>
            <w:pPr>
              <w:spacing w:after="0" w:line="245" w:lineRule="auto"/>
            </w:pPr>
            <w:r>
              <w:rPr>
                <w:b w:val="0"/>
                <w:color w:val="000000"/>
                <w:sz w:val="19"/>
              </w:rPr>
              <w:t>Failures and operations</w:t>
            </w:r>
          </w:p>
        </w:tc>
        <w:tc>
          <w:tcPr>
            <w:tcW w:type="dxa" w:w="7618"/>
            <w:vAlign w:val="center"/>
            <w:shd w:fill="FFFFFF"/>
            <w:tcMar>
              <w:top w:w="70" w:type="dxa"/>
              <w:bottom w:w="70" w:type="dxa"/>
              <w:left w:w="85" w:type="dxa"/>
              <w:right w:w="85" w:type="dxa"/>
            </w:tcMar>
          </w:tcPr>
          <w:p>
            <w:pPr>
              <w:spacing w:after="0" w:line="245" w:lineRule="auto"/>
            </w:pPr>
            <w:r>
              <w:rPr>
                <w:b w:val="0"/>
                <w:color w:val="000000"/>
                <w:sz w:val="19"/>
              </w:rPr>
              <w:t>Document timeout/retry budgets, replay protection, signature validation, stale-permission behaviour, audit correlation, monitoring and reconciliation. External outages must not produce duplicate members or grants.</w:t>
            </w:r>
          </w:p>
        </w:tc>
      </w:tr>
    </w:tbl>
    <w:p>
      <w:pPr>
        <w:spacing w:after="0"/>
      </w:pPr>
    </w:p>
    <w:p>
      <w:pPr>
        <w:pStyle w:val="Heading2"/>
      </w:pPr>
      <w:r>
        <w:t>Contracts that unblock parallel work</w:t>
      </w:r>
    </w:p>
    <w:p>
      <w:r>
        <w:rPr>
          <w:rFonts w:ascii="Arial" w:hAnsi="Arial"/>
          <w:b w:val="0"/>
        </w:rPr>
        <w:t>Freeze a small versioned contract set in M1: resolved actor/client context, authorised member selector, assessment result summary, programme version summary, weekly progress summary, approved chat context and report projection. Agree error semantics, idempotency, pagination, optimistic versions and audit events. Use repository schemas and synthetic fixtures; provisional contract names do not claim real Cerebru API support.</w:t>
      </w:r>
    </w:p>
    <w:p>
      <w:pPr>
        <w:pStyle w:val="Heading2"/>
      </w:pPr>
      <w:r>
        <w:t>Technical approach</w:t>
      </w:r>
    </w:p>
    <w:p>
      <w:r>
        <w:rPr>
          <w:rFonts w:ascii="Arial" w:hAnsi="Arial"/>
          <w:b w:val="0"/>
        </w:rPr>
        <w:t>Extend the current Laravel application, Blade/Livewire screens, MariaDB and database queues. Keep adapters behind application services; reuse the outbox and private file pipeline. Avoid a mandatory new vector database or reporting SaaS for the basic chatbot and reports. Validate the final deployment and identity choices against the actual Cerebru environment in M0–M2.</w:t>
      </w:r>
    </w:p>
    <w:p>
      <w:pPr>
        <w:pStyle w:val="Heading2"/>
      </w:pPr>
      <w:r>
        <w:t>Integration gate</w:t>
      </w:r>
    </w:p>
    <w:p>
      <w:r>
        <w:rPr>
          <w:rFonts w:ascii="Arial" w:hAnsi="Arial"/>
          <w:b w:val="0"/>
        </w:rPr>
        <w:t>Contract mocks allow feature development to proceed, but full integrated-MVP acceptance requires real sandbox evidence of allowed reads, denied reads, import, sync, deactivation, duplicate prevention and recovery. If the API is unavailable, publish a dependency delay and demonstrate the adapter locally without calling it integrated.</w:t>
      </w:r>
    </w:p>
    <w:p>
      <w:r>
        <w:br w:type="page"/>
      </w:r>
    </w:p>
    <w:p>
      <w:pPr>
        <w:pStyle w:val="Heading1"/>
      </w:pPr>
      <w:r>
        <w:t>5 Working agreement for two developers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118"/>
        <w:gridCol w:w="4118"/>
      </w:tblGrid>
      <w:tr>
        <w:trPr>
          <w:cantSplit/>
          <w:tblHeader/>
        </w:trPr>
        <w:tc>
          <w:tcPr>
            <w:tcW w:type="dxa" w:w="1512"/>
            <w:vAlign w:val="center"/>
            <w:shd w:fill="203B50"/>
            <w:tcMar>
              <w:top w:w="70" w:type="dxa"/>
              <w:bottom w:w="70" w:type="dxa"/>
              <w:left w:w="85" w:type="dxa"/>
              <w:right w:w="85" w:type="dxa"/>
            </w:tcMar>
          </w:tcPr>
          <w:p>
            <w:pPr>
              <w:spacing w:after="0" w:line="245" w:lineRule="auto"/>
            </w:pPr>
            <w:r>
              <w:rPr>
                <w:b/>
                <w:color w:val="FFFFFF"/>
                <w:sz w:val="19"/>
              </w:rPr>
              <w:t>Area</w:t>
            </w:r>
          </w:p>
        </w:tc>
        <w:tc>
          <w:tcPr>
            <w:tcW w:type="dxa" w:w="4118"/>
            <w:vAlign w:val="center"/>
            <w:shd w:fill="203B50"/>
            <w:tcMar>
              <w:top w:w="70" w:type="dxa"/>
              <w:bottom w:w="70" w:type="dxa"/>
              <w:left w:w="85" w:type="dxa"/>
              <w:right w:w="85" w:type="dxa"/>
            </w:tcMar>
          </w:tcPr>
          <w:p>
            <w:pPr>
              <w:spacing w:after="0" w:line="245" w:lineRule="auto"/>
            </w:pPr>
            <w:r>
              <w:rPr>
                <w:b/>
                <w:color w:val="FFFFFF"/>
                <w:sz w:val="19"/>
              </w:rPr>
              <w:t>Developer A</w:t>
            </w:r>
          </w:p>
        </w:tc>
        <w:tc>
          <w:tcPr>
            <w:tcW w:type="dxa" w:w="4118"/>
            <w:vAlign w:val="center"/>
            <w:shd w:fill="203B50"/>
            <w:tcMar>
              <w:top w:w="70" w:type="dxa"/>
              <w:bottom w:w="70" w:type="dxa"/>
              <w:left w:w="85" w:type="dxa"/>
              <w:right w:w="85" w:type="dxa"/>
            </w:tcMar>
          </w:tcPr>
          <w:p>
            <w:pPr>
              <w:spacing w:after="0" w:line="245" w:lineRule="auto"/>
            </w:pPr>
            <w:r>
              <w:rPr>
                <w:b/>
                <w:color w:val="FFFFFF"/>
                <w:sz w:val="19"/>
              </w:rPr>
              <w:t>Developer B</w:t>
            </w:r>
          </w:p>
        </w:tc>
      </w:tr>
      <w:tr>
        <w:trPr>
          <w:cantSplit/>
        </w:trPr>
        <w:tc>
          <w:tcPr>
            <w:tcW w:type="dxa" w:w="1512"/>
            <w:vAlign w:val="center"/>
            <w:shd w:fill="F0F4F7"/>
            <w:tcMar>
              <w:top w:w="70" w:type="dxa"/>
              <w:bottom w:w="70" w:type="dxa"/>
              <w:left w:w="85" w:type="dxa"/>
              <w:right w:w="85" w:type="dxa"/>
            </w:tcMar>
          </w:tcPr>
          <w:p>
            <w:pPr>
              <w:spacing w:after="0" w:line="245" w:lineRule="auto"/>
            </w:pPr>
            <w:r>
              <w:rPr>
                <w:b w:val="0"/>
                <w:color w:val="000000"/>
                <w:sz w:val="19"/>
              </w:rPr>
              <w:t>Foundations</w:t>
            </w:r>
          </w:p>
        </w:tc>
        <w:tc>
          <w:tcPr>
            <w:tcW w:type="dxa" w:w="4118"/>
            <w:vAlign w:val="center"/>
            <w:shd w:fill="F0F4F7"/>
            <w:tcMar>
              <w:top w:w="70" w:type="dxa"/>
              <w:bottom w:w="70" w:type="dxa"/>
              <w:left w:w="85" w:type="dxa"/>
              <w:right w:w="85" w:type="dxa"/>
            </w:tcMar>
          </w:tcPr>
          <w:p>
            <w:pPr>
              <w:spacing w:after="0" w:line="245" w:lineRule="auto"/>
            </w:pPr>
            <w:r>
              <w:rPr>
                <w:b w:val="0"/>
                <w:color w:val="000000"/>
                <w:sz w:val="19"/>
              </w:rPr>
              <w:t>Own client schema, grants, access services, migrations and architecture decisions.</w:t>
            </w:r>
          </w:p>
        </w:tc>
        <w:tc>
          <w:tcPr>
            <w:tcW w:type="dxa" w:w="4118"/>
            <w:vAlign w:val="center"/>
            <w:shd w:fill="F0F4F7"/>
            <w:tcMar>
              <w:top w:w="70" w:type="dxa"/>
              <w:bottom w:w="70" w:type="dxa"/>
              <w:left w:w="85" w:type="dxa"/>
              <w:right w:w="85" w:type="dxa"/>
            </w:tcMar>
          </w:tcPr>
          <w:p>
            <w:pPr>
              <w:spacing w:after="0" w:line="245" w:lineRule="auto"/>
            </w:pPr>
            <w:r>
              <w:rPr>
                <w:b w:val="0"/>
                <w:color w:val="000000"/>
                <w:sz w:val="19"/>
              </w:rPr>
              <w:t>Own client/team/member and branding screens; write isolation fixtures and adversarial UI/API tests.</w:t>
            </w:r>
          </w:p>
        </w:tc>
      </w:tr>
      <w:tr>
        <w:trPr>
          <w:cantSplit/>
        </w:trPr>
        <w:tc>
          <w:tcPr>
            <w:tcW w:type="dxa" w:w="1512"/>
            <w:vAlign w:val="center"/>
            <w:shd w:fill="FFFFFF"/>
            <w:tcMar>
              <w:top w:w="70" w:type="dxa"/>
              <w:bottom w:w="70" w:type="dxa"/>
              <w:left w:w="85" w:type="dxa"/>
              <w:right w:w="85" w:type="dxa"/>
            </w:tcMar>
          </w:tcPr>
          <w:p>
            <w:pPr>
              <w:spacing w:after="0" w:line="245" w:lineRule="auto"/>
            </w:pPr>
            <w:r>
              <w:rPr>
                <w:b w:val="0"/>
                <w:color w:val="000000"/>
                <w:sz w:val="19"/>
              </w:rPr>
              <w:t>Cerebru and AI</w:t>
            </w:r>
          </w:p>
        </w:tc>
        <w:tc>
          <w:tcPr>
            <w:tcW w:type="dxa" w:w="4118"/>
            <w:vAlign w:val="center"/>
            <w:shd w:fill="FFFFFF"/>
            <w:tcMar>
              <w:top w:w="70" w:type="dxa"/>
              <w:bottom w:w="70" w:type="dxa"/>
              <w:left w:w="85" w:type="dxa"/>
              <w:right w:w="85" w:type="dxa"/>
            </w:tcMar>
          </w:tcPr>
          <w:p>
            <w:pPr>
              <w:spacing w:after="0" w:line="245" w:lineRule="auto"/>
            </w:pPr>
            <w:r>
              <w:rPr>
                <w:b w:val="0"/>
                <w:color w:val="000000"/>
                <w:sz w:val="19"/>
              </w:rPr>
              <w:t>Own identity, directory/delegation adapters, AI gateway and scoped chatbot retrieval.</w:t>
            </w:r>
          </w:p>
        </w:tc>
        <w:tc>
          <w:tcPr>
            <w:tcW w:type="dxa" w:w="4118"/>
            <w:vAlign w:val="center"/>
            <w:shd w:fill="FFFFFF"/>
            <w:tcMar>
              <w:top w:w="70" w:type="dxa"/>
              <w:bottom w:w="70" w:type="dxa"/>
              <w:left w:w="85" w:type="dxa"/>
              <w:right w:w="85" w:type="dxa"/>
            </w:tcMar>
          </w:tcPr>
          <w:p>
            <w:pPr>
              <w:spacing w:after="0" w:line="245" w:lineRule="auto"/>
            </w:pPr>
            <w:r>
              <w:rPr>
                <w:b w:val="0"/>
                <w:color w:val="000000"/>
                <w:sz w:val="19"/>
              </w:rPr>
              <w:t>Own import/sync UX, chatbot interface, context display, failure states and accessibility.</w:t>
            </w:r>
          </w:p>
        </w:tc>
      </w:tr>
      <w:tr>
        <w:trPr>
          <w:cantSplit/>
        </w:trPr>
        <w:tc>
          <w:tcPr>
            <w:tcW w:type="dxa" w:w="1512"/>
            <w:vAlign w:val="center"/>
            <w:shd w:fill="F0F4F7"/>
            <w:tcMar>
              <w:top w:w="70" w:type="dxa"/>
              <w:bottom w:w="70" w:type="dxa"/>
              <w:left w:w="85" w:type="dxa"/>
              <w:right w:w="85" w:type="dxa"/>
            </w:tcMar>
          </w:tcPr>
          <w:p>
            <w:pPr>
              <w:spacing w:after="0" w:line="245" w:lineRule="auto"/>
            </w:pPr>
            <w:r>
              <w:rPr>
                <w:b w:val="0"/>
                <w:color w:val="000000"/>
                <w:sz w:val="19"/>
              </w:rPr>
              <w:t>Learning workflows</w:t>
            </w:r>
          </w:p>
        </w:tc>
        <w:tc>
          <w:tcPr>
            <w:tcW w:type="dxa" w:w="4118"/>
            <w:vAlign w:val="center"/>
            <w:shd w:fill="F0F4F7"/>
            <w:tcMar>
              <w:top w:w="70" w:type="dxa"/>
              <w:bottom w:w="70" w:type="dxa"/>
              <w:left w:w="85" w:type="dxa"/>
              <w:right w:w="85" w:type="dxa"/>
            </w:tcMar>
          </w:tcPr>
          <w:p>
            <w:pPr>
              <w:spacing w:after="0" w:line="245" w:lineRule="auto"/>
            </w:pPr>
            <w:r>
              <w:rPr>
                <w:b w:val="0"/>
                <w:color w:val="000000"/>
                <w:sz w:val="19"/>
              </w:rPr>
              <w:t>Own assessment/plan state transitions, versioning, approval and shared calendar rules.</w:t>
            </w:r>
          </w:p>
        </w:tc>
        <w:tc>
          <w:tcPr>
            <w:tcW w:type="dxa" w:w="4118"/>
            <w:vAlign w:val="center"/>
            <w:shd w:fill="F0F4F7"/>
            <w:tcMar>
              <w:top w:w="70" w:type="dxa"/>
              <w:bottom w:w="70" w:type="dxa"/>
              <w:left w:w="85" w:type="dxa"/>
              <w:right w:w="85" w:type="dxa"/>
            </w:tcMar>
          </w:tcPr>
          <w:p>
            <w:pPr>
              <w:spacing w:after="0" w:line="245" w:lineRule="auto"/>
            </w:pPr>
            <w:r>
              <w:rPr>
                <w:b w:val="0"/>
                <w:color w:val="000000"/>
                <w:sz w:val="19"/>
              </w:rPr>
              <w:t>Own assessment, plan, progress and notes journeys; integrate approved domain contracts.</w:t>
            </w:r>
          </w:p>
        </w:tc>
      </w:tr>
      <w:tr>
        <w:trPr>
          <w:cantSplit/>
        </w:trPr>
        <w:tc>
          <w:tcPr>
            <w:tcW w:type="dxa" w:w="1512"/>
            <w:vAlign w:val="center"/>
            <w:shd w:fill="FFFFFF"/>
            <w:tcMar>
              <w:top w:w="70" w:type="dxa"/>
              <w:bottom w:w="70" w:type="dxa"/>
              <w:left w:w="85" w:type="dxa"/>
              <w:right w:w="85" w:type="dxa"/>
            </w:tcMar>
          </w:tcPr>
          <w:p>
            <w:pPr>
              <w:spacing w:after="0" w:line="245" w:lineRule="auto"/>
            </w:pPr>
            <w:r>
              <w:rPr>
                <w:b w:val="0"/>
                <w:color w:val="000000"/>
                <w:sz w:val="19"/>
              </w:rPr>
              <w:t>Reporting and release</w:t>
            </w:r>
          </w:p>
        </w:tc>
        <w:tc>
          <w:tcPr>
            <w:tcW w:type="dxa" w:w="4118"/>
            <w:vAlign w:val="center"/>
            <w:shd w:fill="FFFFFF"/>
            <w:tcMar>
              <w:top w:w="70" w:type="dxa"/>
              <w:bottom w:w="70" w:type="dxa"/>
              <w:left w:w="85" w:type="dxa"/>
              <w:right w:w="85" w:type="dxa"/>
            </w:tcMar>
          </w:tcPr>
          <w:p>
            <w:pPr>
              <w:spacing w:after="0" w:line="245" w:lineRule="auto"/>
            </w:pPr>
            <w:r>
              <w:rPr>
                <w:b w:val="0"/>
                <w:color w:val="000000"/>
                <w:sz w:val="19"/>
              </w:rPr>
              <w:t>Own authorised projections, export execution, operational security and deployment procedure.</w:t>
            </w:r>
          </w:p>
        </w:tc>
        <w:tc>
          <w:tcPr>
            <w:tcW w:type="dxa" w:w="4118"/>
            <w:vAlign w:val="center"/>
            <w:shd w:fill="FFFFFF"/>
            <w:tcMar>
              <w:top w:w="70" w:type="dxa"/>
              <w:bottom w:w="70" w:type="dxa"/>
              <w:left w:w="85" w:type="dxa"/>
              <w:right w:w="85" w:type="dxa"/>
            </w:tcMar>
          </w:tcPr>
          <w:p>
            <w:pPr>
              <w:spacing w:after="0" w:line="245" w:lineRule="auto"/>
            </w:pPr>
            <w:r>
              <w:rPr>
                <w:b w:val="0"/>
                <w:color w:val="000000"/>
                <w:sz w:val="19"/>
              </w:rPr>
              <w:t>Own report/dashboard/chart UI, browser regressions, demo script and UAT evidence.</w:t>
            </w:r>
          </w:p>
        </w:tc>
      </w:tr>
      <w:tr>
        <w:trPr>
          <w:cantSplit/>
        </w:trPr>
        <w:tc>
          <w:tcPr>
            <w:tcW w:type="dxa" w:w="1512"/>
            <w:vAlign w:val="center"/>
            <w:shd w:fill="F0F4F7"/>
            <w:tcMar>
              <w:top w:w="70" w:type="dxa"/>
              <w:bottom w:w="70" w:type="dxa"/>
              <w:left w:w="85" w:type="dxa"/>
              <w:right w:w="85" w:type="dxa"/>
            </w:tcMar>
          </w:tcPr>
          <w:p>
            <w:pPr>
              <w:spacing w:after="0" w:line="245" w:lineRule="auto"/>
            </w:pPr>
            <w:r>
              <w:rPr>
                <w:b w:val="0"/>
                <w:color w:val="000000"/>
                <w:sz w:val="19"/>
              </w:rPr>
              <w:t>Peer coverage</w:t>
            </w:r>
          </w:p>
        </w:tc>
        <w:tc>
          <w:tcPr>
            <w:tcW w:type="dxa" w:w="4118"/>
            <w:vAlign w:val="center"/>
            <w:shd w:fill="F0F4F7"/>
            <w:tcMar>
              <w:top w:w="70" w:type="dxa"/>
              <w:bottom w:w="70" w:type="dxa"/>
              <w:left w:w="85" w:type="dxa"/>
              <w:right w:w="85" w:type="dxa"/>
            </w:tcMar>
          </w:tcPr>
          <w:p>
            <w:pPr>
              <w:spacing w:after="0" w:line="245" w:lineRule="auto"/>
            </w:pPr>
            <w:r>
              <w:rPr>
                <w:b w:val="0"/>
                <w:color w:val="000000"/>
                <w:sz w:val="19"/>
              </w:rPr>
              <w:t>Review B’s work; document contracts and mentor on current invariants.</w:t>
            </w:r>
          </w:p>
        </w:tc>
        <w:tc>
          <w:tcPr>
            <w:tcW w:type="dxa" w:w="4118"/>
            <w:vAlign w:val="center"/>
            <w:shd w:fill="F0F4F7"/>
            <w:tcMar>
              <w:top w:w="70" w:type="dxa"/>
              <w:bottom w:w="70" w:type="dxa"/>
              <w:left w:w="85" w:type="dxa"/>
              <w:right w:w="85" w:type="dxa"/>
            </w:tcMar>
          </w:tcPr>
          <w:p>
            <w:pPr>
              <w:spacing w:after="0" w:line="245" w:lineRule="auto"/>
            </w:pPr>
            <w:r>
              <w:rPr>
                <w:b w:val="0"/>
                <w:color w:val="000000"/>
                <w:sz w:val="19"/>
              </w:rPr>
              <w:t>Review A’s work; challenge permission gaps and maintain reproducible user journeys.</w:t>
            </w:r>
          </w:p>
        </w:tc>
      </w:tr>
    </w:tbl>
    <w:p>
      <w:pPr>
        <w:spacing w:after="0"/>
      </w:pPr>
    </w:p>
    <w:p>
      <w:pPr>
        <w:pStyle w:val="Heading2"/>
      </w:pPr>
      <w:r>
        <w:t>Weekly coordination</w:t>
      </w:r>
    </w:p>
    <w:p>
      <w:r>
        <w:t>Coordinate planning, integration demonstrations, peer review and asynchronous decisions each week. Agree availability around the priority tasks and other projects of both developers; reforecast the shared timeline when those commitments change.</w:t>
      </w:r>
    </w:p>
    <w:p>
      <w:pPr>
        <w:pStyle w:val="Heading2"/>
      </w:pPr>
      <w:r>
        <w:t>Branches and shared files</w:t>
      </w:r>
    </w:p>
    <w:p>
      <w:r>
        <w:rPr>
          <w:rFonts w:ascii="Arial" w:hAnsi="Arial"/>
          <w:b w:val="0"/>
        </w:rPr>
        <w:t>Use one short-lived branch or isolated worktree per task, based on the current shared main branch. Each developer has a separate local database and worker configuration. Assign one writer at a time for access services, shared migrations, dependency locks, route registration, shared layouts and common fixtures. Developer A coordinates migration ordering; Developer B coordinates shared UI components. Integrate at least weekly and before the next dependent task begins.</w:t>
      </w:r>
    </w:p>
    <w:p>
      <w:r>
        <w:rPr>
          <w:rFonts w:ascii="Arial" w:hAnsi="Arial"/>
          <w:b w:val="0"/>
        </w:rPr>
        <w:t>A task ticket states PDF requirement, scope, owner, reviewer, dependency, estimate, acceptance scenarios and contract/schema changes. A pull request links the ticket, explains behaviour and lists actual checks. The other developer reviews it before merge. Security, migration and integration changes require explicit review of failure and revocation cases; a green build alone is insufficient.</w:t>
      </w:r>
    </w:p>
    <w:p>
      <w:pPr>
        <w:pStyle w:val="Heading2"/>
      </w:pPr>
      <w:r>
        <w:t>Handoffs and conflict resolution</w:t>
      </w:r>
    </w:p>
    <w:p>
      <w:r>
        <w:rPr>
          <w:rFonts w:ascii="Arial" w:hAnsi="Arial"/>
          <w:b w:val="0"/>
        </w:rPr>
        <w:t>Publish schemas and fixtures before parallel implementation. The consumer acknowledges the contract in the ticket; incompatible changes require both developers to update dependent tests in the same integration window. Rebase/update before review, let the designated owner resolve shared-file conflicts, then rerun affected checks. Limit work in progress to one main task per developer, plus urgent fixes.</w:t>
      </w:r>
    </w:p>
    <w:p>
      <w:pPr>
        <w:pStyle w:val="Heading2"/>
      </w:pPr>
      <w:r>
        <w:t>Decision and continuity ownership</w:t>
      </w:r>
    </w:p>
    <w:p>
      <w:r>
        <w:rPr>
          <w:rFonts w:ascii="Arial" w:hAnsi="Arial"/>
          <w:b w:val="0"/>
        </w:rPr>
        <w:t>The existing developer coordinates technical decisions; the project owner approves scope, budget and release. Both developers keep setup notes and runbooks current and can run the other’s feature locally. Developers are not substitutes for the human Training Coordinators needed to approve and calibrate training outcomes during the pilot.</w:t>
      </w:r>
    </w:p>
    <w:p>
      <w:r>
        <w:br w:type="page"/>
      </w:r>
    </w:p>
    <w:p>
      <w:pPr>
        <w:pStyle w:val="Heading1"/>
      </w:pPr>
      <w:r>
        <w:t>6 Milestones and overall delivery timeline</w:t>
      </w:r>
    </w:p>
    <w:p>
      <w:r>
        <w:t>The overall delivery ETA is 4 to 6 weeks from the agreed start date. Delivery depends on the priority tasks, other project commitments and availability of both developers, plus timely integration access and approvals. The estimate assumes Codex AI assists implementation, testing and fixes, with developer review and validation. No time allocation is assigned per developer.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655"/>
        <w:gridCol w:w="4680"/>
      </w:tblGrid>
      <w:tr>
        <w:trPr>
          <w:cantSplit/>
        </w:trPr>
        <w:tc>
          <w:tcPr>
            <w:tcW w:type="dxa" w:w="3024"/>
            <w:vAlign w:val="center"/>
            <w:shd w:fill="F0F4F7"/>
            <w:tcMar>
              <w:top w:w="70" w:type="dxa"/>
              <w:bottom w:w="70" w:type="dxa"/>
              <w:left w:w="85" w:type="dxa"/>
              <w:right w:w="85" w:type="dxa"/>
            </w:tcMar>
          </w:tcPr>
          <w:p>
            <w:r>
              <w:rPr>
                <w:b/>
              </w:rPr>
              <w:t>Milestone and outcome</w:t>
            </w:r>
          </w:p>
        </w:tc>
        <w:tc>
          <w:tcPr>
            <w:tcW w:type="dxa" w:w="1656"/>
            <w:vAlign w:val="center"/>
            <w:shd w:fill="F0F4F7"/>
            <w:tcMar>
              <w:top w:w="70" w:type="dxa"/>
              <w:bottom w:w="70" w:type="dxa"/>
              <w:left w:w="85" w:type="dxa"/>
              <w:right w:w="85" w:type="dxa"/>
            </w:tcMar>
          </w:tcPr>
          <w:p>
            <w:r>
              <w:rPr>
                <w:b/>
              </w:rPr>
              <w:t>Shared window</w:t>
            </w:r>
          </w:p>
        </w:tc>
        <w:tc>
          <w:tcPr>
            <w:tcW w:type="dxa" w:w="4680"/>
            <w:vAlign w:val="center"/>
            <w:shd w:fill="F0F4F7"/>
            <w:tcMar>
              <w:top w:w="70" w:type="dxa"/>
              <w:bottom w:w="70" w:type="dxa"/>
              <w:left w:w="85" w:type="dxa"/>
              <w:right w:w="85" w:type="dxa"/>
            </w:tcMar>
          </w:tcPr>
          <w:p>
            <w:r>
              <w:rPr>
                <w:b/>
              </w:rPr>
              <w:t>Dependencies</w:t>
            </w:r>
          </w:p>
        </w:tc>
      </w:tr>
      <w:tr>
        <w:trPr>
          <w:cantSplit/>
        </w:trPr>
        <w:tc>
          <w:tcPr>
            <w:tcW w:type="dxa" w:w="3024"/>
            <w:vAlign w:val="center"/>
            <w:shd w:fill="F0F4F7"/>
            <w:tcMar>
              <w:top w:w="70" w:type="dxa"/>
              <w:bottom w:w="70" w:type="dxa"/>
              <w:left w:w="85" w:type="dxa"/>
              <w:right w:w="85" w:type="dxa"/>
            </w:tcMar>
          </w:tcPr>
          <w:p>
            <w:r>
              <w:rPr>
                <w:b w:val="0"/>
              </w:rPr>
              <w:t>M0 Authentik integration</w:t>
            </w:r>
          </w:p>
        </w:tc>
        <w:tc>
          <w:tcPr>
            <w:tcW w:type="dxa" w:w="1656"/>
            <w:vAlign w:val="center"/>
            <w:shd w:fill="F0F4F7"/>
            <w:tcMar>
              <w:top w:w="70" w:type="dxa"/>
              <w:bottom w:w="70" w:type="dxa"/>
              <w:left w:w="85" w:type="dxa"/>
              <w:right w:w="85" w:type="dxa"/>
            </w:tcMar>
          </w:tcPr>
          <w:p>
            <w:r>
              <w:rPr>
                <w:b w:val="0"/>
              </w:rPr>
              <w:t>Week 1</w:t>
            </w:r>
          </w:p>
        </w:tc>
        <w:tc>
          <w:tcPr>
            <w:tcW w:type="dxa" w:w="4680"/>
            <w:vAlign w:val="center"/>
            <w:shd w:fill="F0F4F7"/>
            <w:tcMar>
              <w:top w:w="70" w:type="dxa"/>
              <w:bottom w:w="70" w:type="dxa"/>
              <w:left w:w="85" w:type="dxa"/>
              <w:right w:w="85" w:type="dxa"/>
            </w:tcMar>
          </w:tcPr>
          <w:p>
            <w:r>
              <w:rPr>
                <w:b w:val="0"/>
              </w:rPr>
              <w:t>Approved Authentik instance, OIDC configuration and sandbox access</w:t>
            </w:r>
          </w:p>
        </w:tc>
      </w:tr>
      <w:tr>
        <w:trPr>
          <w:cantSplit/>
        </w:trPr>
        <w:tc>
          <w:tcPr>
            <w:tcW w:type="dxa" w:w="3024"/>
            <w:vAlign w:val="center"/>
            <w:shd w:fill="F0F4F7"/>
            <w:tcMar>
              <w:top w:w="70" w:type="dxa"/>
              <w:bottom w:w="70" w:type="dxa"/>
              <w:left w:w="85" w:type="dxa"/>
              <w:right w:w="85" w:type="dxa"/>
            </w:tcMar>
          </w:tcPr>
          <w:p>
            <w:r>
              <w:rPr>
                <w:b w:val="0"/>
              </w:rPr>
              <w:t>M1 Clients and permissions</w:t>
            </w:r>
          </w:p>
        </w:tc>
        <w:tc>
          <w:tcPr>
            <w:tcW w:type="dxa" w:w="1656"/>
            <w:vAlign w:val="center"/>
            <w:shd w:fill="F0F4F7"/>
            <w:tcMar>
              <w:top w:w="70" w:type="dxa"/>
              <w:bottom w:w="70" w:type="dxa"/>
              <w:left w:w="85" w:type="dxa"/>
              <w:right w:w="85" w:type="dxa"/>
            </w:tcMar>
          </w:tcPr>
          <w:p>
            <w:r>
              <w:rPr>
                <w:b w:val="0"/>
              </w:rPr>
              <w:t>Week 1</w:t>
            </w:r>
          </w:p>
        </w:tc>
        <w:tc>
          <w:tcPr>
            <w:tcW w:type="dxa" w:w="4680"/>
            <w:vAlign w:val="center"/>
            <w:shd w:fill="F0F4F7"/>
            <w:tcMar>
              <w:top w:w="70" w:type="dxa"/>
              <w:bottom w:w="70" w:type="dxa"/>
              <w:left w:w="85" w:type="dxa"/>
              <w:right w:w="85" w:type="dxa"/>
            </w:tcMar>
          </w:tcPr>
          <w:p>
            <w:r>
              <w:rPr>
                <w:b w:val="0"/>
              </w:rPr>
              <w:t>Agreed client/grant decisions; foundation gate</w:t>
            </w:r>
          </w:p>
        </w:tc>
      </w:tr>
      <w:tr>
        <w:trPr>
          <w:cantSplit/>
        </w:trPr>
        <w:tc>
          <w:tcPr>
            <w:tcW w:type="dxa" w:w="3024"/>
            <w:vAlign w:val="center"/>
            <w:shd w:fill="F0F4F7"/>
            <w:tcMar>
              <w:top w:w="70" w:type="dxa"/>
              <w:bottom w:w="70" w:type="dxa"/>
              <w:left w:w="85" w:type="dxa"/>
              <w:right w:w="85" w:type="dxa"/>
            </w:tcMar>
          </w:tcPr>
          <w:p>
            <w:r>
              <w:rPr>
                <w:b w:val="0"/>
              </w:rPr>
              <w:t>M2 Cerebru and integration</w:t>
            </w:r>
          </w:p>
        </w:tc>
        <w:tc>
          <w:tcPr>
            <w:tcW w:type="dxa" w:w="1656"/>
            <w:vAlign w:val="center"/>
            <w:shd w:fill="F0F4F7"/>
            <w:tcMar>
              <w:top w:w="70" w:type="dxa"/>
              <w:bottom w:w="70" w:type="dxa"/>
              <w:left w:w="85" w:type="dxa"/>
              <w:right w:w="85" w:type="dxa"/>
            </w:tcMar>
          </w:tcPr>
          <w:p>
            <w:r>
              <w:rPr>
                <w:b w:val="0"/>
              </w:rPr>
              <w:t>Weeks 2 to 3</w:t>
            </w:r>
          </w:p>
        </w:tc>
        <w:tc>
          <w:tcPr>
            <w:tcW w:type="dxa" w:w="4680"/>
            <w:vAlign w:val="center"/>
            <w:shd w:fill="F0F4F7"/>
            <w:tcMar>
              <w:top w:w="70" w:type="dxa"/>
              <w:bottom w:w="70" w:type="dxa"/>
              <w:left w:w="85" w:type="dxa"/>
              <w:right w:w="85" w:type="dxa"/>
            </w:tcMar>
          </w:tcPr>
          <w:p>
            <w:r>
              <w:rPr>
                <w:b w:val="0"/>
              </w:rPr>
              <w:t>M0 identity; M1 contracts; real sandbox</w:t>
            </w:r>
          </w:p>
        </w:tc>
      </w:tr>
      <w:tr>
        <w:trPr>
          <w:cantSplit/>
        </w:trPr>
        <w:tc>
          <w:tcPr>
            <w:tcW w:type="dxa" w:w="3024"/>
            <w:vAlign w:val="center"/>
            <w:shd w:fill="F0F4F7"/>
            <w:tcMar>
              <w:top w:w="70" w:type="dxa"/>
              <w:bottom w:w="70" w:type="dxa"/>
              <w:left w:w="85" w:type="dxa"/>
              <w:right w:w="85" w:type="dxa"/>
            </w:tcMar>
          </w:tcPr>
          <w:p>
            <w:r>
              <w:rPr>
                <w:b w:val="0"/>
              </w:rPr>
              <w:t>M3 Assessments and review</w:t>
            </w:r>
          </w:p>
        </w:tc>
        <w:tc>
          <w:tcPr>
            <w:tcW w:type="dxa" w:w="1656"/>
            <w:vAlign w:val="center"/>
            <w:shd w:fill="F0F4F7"/>
            <w:tcMar>
              <w:top w:w="70" w:type="dxa"/>
              <w:bottom w:w="70" w:type="dxa"/>
              <w:left w:w="85" w:type="dxa"/>
              <w:right w:w="85" w:type="dxa"/>
            </w:tcMar>
          </w:tcPr>
          <w:p>
            <w:r>
              <w:rPr>
                <w:b w:val="0"/>
              </w:rPr>
              <w:t>Weeks 2 to 3</w:t>
            </w:r>
          </w:p>
        </w:tc>
        <w:tc>
          <w:tcPr>
            <w:tcW w:type="dxa" w:w="4680"/>
            <w:vAlign w:val="center"/>
            <w:shd w:fill="F0F4F7"/>
            <w:tcMar>
              <w:top w:w="70" w:type="dxa"/>
              <w:bottom w:w="70" w:type="dxa"/>
              <w:left w:w="85" w:type="dxa"/>
              <w:right w:w="85" w:type="dxa"/>
            </w:tcMar>
          </w:tcPr>
          <w:p>
            <w:r>
              <w:rPr>
                <w:b w:val="0"/>
              </w:rPr>
              <w:t>M1 gate; M2 adapter contracts</w:t>
            </w:r>
          </w:p>
        </w:tc>
      </w:tr>
      <w:tr>
        <w:trPr>
          <w:cantSplit/>
        </w:trPr>
        <w:tc>
          <w:tcPr>
            <w:tcW w:type="dxa" w:w="3024"/>
            <w:vAlign w:val="center"/>
            <w:shd w:fill="F0F4F7"/>
            <w:tcMar>
              <w:top w:w="70" w:type="dxa"/>
              <w:bottom w:w="70" w:type="dxa"/>
              <w:left w:w="85" w:type="dxa"/>
              <w:right w:w="85" w:type="dxa"/>
            </w:tcMar>
          </w:tcPr>
          <w:p>
            <w:r>
              <w:rPr>
                <w:b w:val="0"/>
              </w:rPr>
              <w:t>M4 30 day development plans</w:t>
            </w:r>
          </w:p>
        </w:tc>
        <w:tc>
          <w:tcPr>
            <w:tcW w:type="dxa" w:w="1656"/>
            <w:vAlign w:val="center"/>
            <w:shd w:fill="F0F4F7"/>
            <w:tcMar>
              <w:top w:w="70" w:type="dxa"/>
              <w:bottom w:w="70" w:type="dxa"/>
              <w:left w:w="85" w:type="dxa"/>
              <w:right w:w="85" w:type="dxa"/>
            </w:tcMar>
          </w:tcPr>
          <w:p>
            <w:r>
              <w:rPr>
                <w:b w:val="0"/>
              </w:rPr>
              <w:t>Weeks 2 to 3</w:t>
            </w:r>
          </w:p>
        </w:tc>
        <w:tc>
          <w:tcPr>
            <w:tcW w:type="dxa" w:w="4680"/>
            <w:vAlign w:val="center"/>
            <w:shd w:fill="F0F4F7"/>
            <w:tcMar>
              <w:top w:w="70" w:type="dxa"/>
              <w:bottom w:w="70" w:type="dxa"/>
              <w:left w:w="85" w:type="dxa"/>
              <w:right w:w="85" w:type="dxa"/>
            </w:tcMar>
          </w:tcPr>
          <w:p>
            <w:r>
              <w:rPr>
                <w:b w:val="0"/>
              </w:rPr>
              <w:t>Approved assessment contract; calendar decisions</w:t>
            </w:r>
          </w:p>
        </w:tc>
      </w:tr>
      <w:tr>
        <w:trPr>
          <w:cantSplit/>
        </w:trPr>
        <w:tc>
          <w:tcPr>
            <w:tcW w:type="dxa" w:w="3024"/>
            <w:vAlign w:val="center"/>
            <w:shd w:fill="F0F4F7"/>
            <w:tcMar>
              <w:top w:w="70" w:type="dxa"/>
              <w:bottom w:w="70" w:type="dxa"/>
              <w:left w:w="85" w:type="dxa"/>
              <w:right w:w="85" w:type="dxa"/>
            </w:tcMar>
          </w:tcPr>
          <w:p>
            <w:r>
              <w:rPr>
                <w:b w:val="0"/>
              </w:rPr>
              <w:t>M5 Progress notes and reports</w:t>
            </w:r>
          </w:p>
        </w:tc>
        <w:tc>
          <w:tcPr>
            <w:tcW w:type="dxa" w:w="1656"/>
            <w:vAlign w:val="center"/>
            <w:shd w:fill="F0F4F7"/>
            <w:tcMar>
              <w:top w:w="70" w:type="dxa"/>
              <w:bottom w:w="70" w:type="dxa"/>
              <w:left w:w="85" w:type="dxa"/>
              <w:right w:w="85" w:type="dxa"/>
            </w:tcMar>
          </w:tcPr>
          <w:p>
            <w:r>
              <w:rPr>
                <w:b w:val="0"/>
              </w:rPr>
              <w:t>Week 4</w:t>
            </w:r>
          </w:p>
        </w:tc>
        <w:tc>
          <w:tcPr>
            <w:tcW w:type="dxa" w:w="4680"/>
            <w:vAlign w:val="center"/>
            <w:shd w:fill="F0F4F7"/>
            <w:tcMar>
              <w:top w:w="70" w:type="dxa"/>
              <w:bottom w:w="70" w:type="dxa"/>
              <w:left w:w="85" w:type="dxa"/>
              <w:right w:w="85" w:type="dxa"/>
            </w:tcMar>
          </w:tcPr>
          <w:p>
            <w:r>
              <w:rPr>
                <w:b w:val="0"/>
              </w:rPr>
              <w:t>M4 plan/calendar semantics</w:t>
            </w:r>
          </w:p>
        </w:tc>
      </w:tr>
      <w:tr>
        <w:trPr>
          <w:cantSplit/>
        </w:trPr>
        <w:tc>
          <w:tcPr>
            <w:tcW w:type="dxa" w:w="3024"/>
            <w:vAlign w:val="center"/>
            <w:shd w:fill="F0F4F7"/>
            <w:tcMar>
              <w:top w:w="70" w:type="dxa"/>
              <w:bottom w:w="70" w:type="dxa"/>
              <w:left w:w="85" w:type="dxa"/>
              <w:right w:w="85" w:type="dxa"/>
            </w:tcMar>
          </w:tcPr>
          <w:p>
            <w:r>
              <w:rPr>
                <w:b w:val="0"/>
              </w:rPr>
              <w:t>M6 Scoped training chatbot</w:t>
            </w:r>
          </w:p>
        </w:tc>
        <w:tc>
          <w:tcPr>
            <w:tcW w:type="dxa" w:w="1656"/>
            <w:vAlign w:val="center"/>
            <w:shd w:fill="F0F4F7"/>
            <w:tcMar>
              <w:top w:w="70" w:type="dxa"/>
              <w:bottom w:w="70" w:type="dxa"/>
              <w:left w:w="85" w:type="dxa"/>
              <w:right w:w="85" w:type="dxa"/>
            </w:tcMar>
          </w:tcPr>
          <w:p>
            <w:r>
              <w:rPr>
                <w:b w:val="0"/>
              </w:rPr>
              <w:t>Week 4</w:t>
            </w:r>
          </w:p>
        </w:tc>
        <w:tc>
          <w:tcPr>
            <w:tcW w:type="dxa" w:w="4680"/>
            <w:vAlign w:val="center"/>
            <w:shd w:fill="F0F4F7"/>
            <w:tcMar>
              <w:top w:w="70" w:type="dxa"/>
              <w:bottom w:w="70" w:type="dxa"/>
              <w:left w:w="85" w:type="dxa"/>
              <w:right w:w="85" w:type="dxa"/>
            </w:tcMar>
          </w:tcPr>
          <w:p>
            <w:r>
              <w:rPr>
                <w:b w:val="0"/>
              </w:rPr>
              <w:t>M1 policy; approved M4 context</w:t>
            </w:r>
          </w:p>
        </w:tc>
      </w:tr>
      <w:tr>
        <w:trPr>
          <w:cantSplit/>
        </w:trPr>
        <w:tc>
          <w:tcPr>
            <w:tcW w:type="dxa" w:w="3024"/>
            <w:vAlign w:val="center"/>
            <w:shd w:fill="F0F4F7"/>
            <w:tcMar>
              <w:top w:w="70" w:type="dxa"/>
              <w:bottom w:w="70" w:type="dxa"/>
              <w:left w:w="85" w:type="dxa"/>
              <w:right w:w="85" w:type="dxa"/>
            </w:tcMar>
          </w:tcPr>
          <w:p>
            <w:r>
              <w:rPr>
                <w:b w:val="0"/>
              </w:rPr>
              <w:t>M7 Qualification and pilot</w:t>
            </w:r>
          </w:p>
        </w:tc>
        <w:tc>
          <w:tcPr>
            <w:tcW w:type="dxa" w:w="1656"/>
            <w:vAlign w:val="center"/>
            <w:shd w:fill="F0F4F7"/>
            <w:tcMar>
              <w:top w:w="70" w:type="dxa"/>
              <w:bottom w:w="70" w:type="dxa"/>
              <w:left w:w="85" w:type="dxa"/>
              <w:right w:w="85" w:type="dxa"/>
            </w:tcMar>
          </w:tcPr>
          <w:p>
            <w:r>
              <w:rPr>
                <w:b w:val="0"/>
              </w:rPr>
              <w:t>Weeks 4 to 6</w:t>
            </w:r>
          </w:p>
        </w:tc>
        <w:tc>
          <w:tcPr>
            <w:tcW w:type="dxa" w:w="4680"/>
            <w:vAlign w:val="center"/>
            <w:shd w:fill="F0F4F7"/>
            <w:tcMar>
              <w:top w:w="70" w:type="dxa"/>
              <w:bottom w:w="70" w:type="dxa"/>
              <w:left w:w="85" w:type="dxa"/>
              <w:right w:w="85" w:type="dxa"/>
            </w:tcMar>
          </w:tcPr>
          <w:p>
            <w:r>
              <w:rPr>
                <w:b w:val="0"/>
              </w:rPr>
              <w:t>All features; external and human acceptance gates</w:t>
            </w:r>
          </w:p>
        </w:tc>
      </w:tr>
    </w:tbl>
    <w:p>
      <w:pPr>
        <w:spacing w:after="0"/>
      </w:pPr>
    </w:p>
    <w:p>
      <w:pPr>
        <w:spacing w:after="0"/>
      </w:pPr>
    </w:p>
    <w:p>
      <w:pPr>
        <w:pStyle w:val="Heading2"/>
      </w:pPr>
      <w:r>
        <w:t>Interpretation and checkpoints</w:t>
      </w:r>
    </w:p>
    <w:p>
      <w:r>
        <w:t>Week 1 targets Authentik integration and client permissions foundations. Weeks 2 to 3 focus on Cerebru integration, assessments and development plans. Week 4 targets progress, reporting, chatbot integration and integrated testing. Weeks 5 to 6 allow remaining priority work, integration fixes, pilot feedback and release checks. These are shared planning windows, subject to dependencies and acceptance evidence.</w:t>
      </w:r>
    </w:p>
    <w:p>
      <w:r>
        <w:t>Review the shared forecast weekly. The four-week target assumes sufficient developer availability and ready dependencies; allow up to six weeks for competing priorities and validation. If availability or an external gate prevents delivery within that window, record the blocker and revised ETA.</w:t>
      </w:r>
    </w:p>
    <w:p>
      <w:r>
        <w:rPr>
          <w:rFonts w:ascii="Arial" w:hAnsi="Arial"/>
          <w:b w:val="0"/>
        </w:rPr>
        <w:t>Estimates assume reuse of existing workflows, one primary Cerebru contract, basic client branding, in-app reports and a bounded chatbot. Re-estimate if discovery requires a different authentication architecture, extensive historical data migration, custom domains, advanced analytics or more complex membership rules.</w:t>
      </w:r>
    </w:p>
    <w:p>
      <w:r>
        <w:br w:type="page"/>
      </w:r>
    </w:p>
    <w:p>
      <w:pPr>
        <w:pStyle w:val="Heading1"/>
      </w:pPr>
      <w:r>
        <w:t>7 Shared delivery schedule</w:t>
      </w:r>
    </w:p>
    <w:p>
      <w:r>
        <w:t>Use the overall delivery windows below rather than developer-hour allocations. Parallel work starts only when the shared contract is stable; preserve the milestone acceptance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112"/>
        <w:gridCol w:w="2664"/>
      </w:tblGrid>
      <w:tr>
        <w:trPr>
          <w:cantSplit/>
        </w:trPr>
        <w:tc>
          <w:tcPr>
            <w:tcW w:type="dxa" w:w="1584"/>
            <w:vAlign w:val="center"/>
            <w:shd w:fill="F0F4F7"/>
            <w:tcMar>
              <w:top w:w="70" w:type="dxa"/>
              <w:bottom w:w="70" w:type="dxa"/>
              <w:left w:w="85" w:type="dxa"/>
              <w:right w:w="85" w:type="dxa"/>
            </w:tcMar>
          </w:tcPr>
          <w:p>
            <w:r>
              <w:rPr>
                <w:b/>
              </w:rPr>
              <w:t>Delivery window</w:t>
            </w:r>
          </w:p>
        </w:tc>
        <w:tc>
          <w:tcPr>
            <w:tcW w:type="dxa" w:w="5112"/>
            <w:vAlign w:val="center"/>
            <w:shd w:fill="F0F4F7"/>
            <w:tcMar>
              <w:top w:w="70" w:type="dxa"/>
              <w:bottom w:w="70" w:type="dxa"/>
              <w:left w:w="85" w:type="dxa"/>
              <w:right w:w="85" w:type="dxa"/>
            </w:tcMar>
          </w:tcPr>
          <w:p>
            <w:r>
              <w:rPr>
                <w:b/>
              </w:rPr>
              <w:t>Shared focus</w:t>
            </w:r>
          </w:p>
        </w:tc>
        <w:tc>
          <w:tcPr>
            <w:tcW w:type="dxa" w:w="2664"/>
            <w:vAlign w:val="center"/>
            <w:shd w:fill="F0F4F7"/>
            <w:tcMar>
              <w:top w:w="70" w:type="dxa"/>
              <w:bottom w:w="70" w:type="dxa"/>
              <w:left w:w="85" w:type="dxa"/>
              <w:right w:w="85" w:type="dxa"/>
            </w:tcMar>
          </w:tcPr>
          <w:p>
            <w:r>
              <w:rPr>
                <w:b/>
              </w:rPr>
              <w:t>Acceptance focus</w:t>
            </w:r>
          </w:p>
        </w:tc>
      </w:tr>
      <w:tr>
        <w:trPr>
          <w:cantSplit/>
        </w:trPr>
        <w:tc>
          <w:tcPr>
            <w:tcW w:type="dxa" w:w="1584"/>
            <w:vAlign w:val="center"/>
            <w:shd w:fill="F0F4F7"/>
            <w:tcMar>
              <w:top w:w="70" w:type="dxa"/>
              <w:bottom w:w="70" w:type="dxa"/>
              <w:left w:w="85" w:type="dxa"/>
              <w:right w:w="85" w:type="dxa"/>
            </w:tcMar>
          </w:tcPr>
          <w:p>
            <w:r>
              <w:rPr>
                <w:b w:val="0"/>
              </w:rPr>
              <w:t>Week 1</w:t>
            </w:r>
          </w:p>
        </w:tc>
        <w:tc>
          <w:tcPr>
            <w:tcW w:type="dxa" w:w="5112"/>
            <w:vAlign w:val="center"/>
            <w:shd w:fill="F0F4F7"/>
            <w:tcMar>
              <w:top w:w="70" w:type="dxa"/>
              <w:bottom w:w="70" w:type="dxa"/>
              <w:left w:w="85" w:type="dxa"/>
              <w:right w:w="85" w:type="dxa"/>
            </w:tcMar>
          </w:tcPr>
          <w:p>
            <w:r>
              <w:rPr>
                <w:b w:val="0"/>
              </w:rPr>
              <w:t>Authentik integration; client permissions and branding foundations.</w:t>
            </w:r>
          </w:p>
        </w:tc>
        <w:tc>
          <w:tcPr>
            <w:tcW w:type="dxa" w:w="2664"/>
            <w:vAlign w:val="center"/>
            <w:shd w:fill="F0F4F7"/>
            <w:tcMar>
              <w:top w:w="70" w:type="dxa"/>
              <w:bottom w:w="70" w:type="dxa"/>
              <w:left w:w="85" w:type="dxa"/>
              <w:right w:w="85" w:type="dxa"/>
            </w:tcMar>
          </w:tcPr>
          <w:p>
            <w:r>
              <w:rPr>
                <w:b w:val="0"/>
              </w:rPr>
              <w:t>Identity and isolation checks</w:t>
            </w:r>
          </w:p>
        </w:tc>
      </w:tr>
      <w:tr>
        <w:trPr>
          <w:cantSplit/>
        </w:trPr>
        <w:tc>
          <w:tcPr>
            <w:tcW w:type="dxa" w:w="1584"/>
            <w:vAlign w:val="center"/>
            <w:shd w:fill="F0F4F7"/>
            <w:tcMar>
              <w:top w:w="70" w:type="dxa"/>
              <w:bottom w:w="70" w:type="dxa"/>
              <w:left w:w="85" w:type="dxa"/>
              <w:right w:w="85" w:type="dxa"/>
            </w:tcMar>
          </w:tcPr>
          <w:p>
            <w:r>
              <w:rPr>
                <w:b w:val="0"/>
              </w:rPr>
              <w:t>Weeks 2 to 3</w:t>
            </w:r>
          </w:p>
        </w:tc>
        <w:tc>
          <w:tcPr>
            <w:tcW w:type="dxa" w:w="5112"/>
            <w:vAlign w:val="center"/>
            <w:shd w:fill="F0F4F7"/>
            <w:tcMar>
              <w:top w:w="70" w:type="dxa"/>
              <w:bottom w:w="70" w:type="dxa"/>
              <w:left w:w="85" w:type="dxa"/>
              <w:right w:w="85" w:type="dxa"/>
            </w:tcMar>
          </w:tcPr>
          <w:p>
            <w:r>
              <w:rPr>
                <w:b w:val="0"/>
              </w:rPr>
              <w:t>Cerebru directory/sync; assessments and approved 30-day development plans.</w:t>
            </w:r>
          </w:p>
        </w:tc>
        <w:tc>
          <w:tcPr>
            <w:tcW w:type="dxa" w:w="2664"/>
            <w:vAlign w:val="center"/>
            <w:shd w:fill="F0F4F7"/>
            <w:tcMar>
              <w:top w:w="70" w:type="dxa"/>
              <w:bottom w:w="70" w:type="dxa"/>
              <w:left w:w="85" w:type="dxa"/>
              <w:right w:w="85" w:type="dxa"/>
            </w:tcMar>
          </w:tcPr>
          <w:p>
            <w:r>
              <w:rPr>
                <w:b w:val="0"/>
              </w:rPr>
              <w:t>Integration and approval journeys</w:t>
            </w:r>
          </w:p>
        </w:tc>
      </w:tr>
      <w:tr>
        <w:trPr>
          <w:cantSplit/>
        </w:trPr>
        <w:tc>
          <w:tcPr>
            <w:tcW w:type="dxa" w:w="1584"/>
            <w:vAlign w:val="center"/>
            <w:shd w:fill="F0F4F7"/>
            <w:tcMar>
              <w:top w:w="70" w:type="dxa"/>
              <w:bottom w:w="70" w:type="dxa"/>
              <w:left w:w="85" w:type="dxa"/>
              <w:right w:w="85" w:type="dxa"/>
            </w:tcMar>
          </w:tcPr>
          <w:p>
            <w:r>
              <w:rPr>
                <w:b w:val="0"/>
              </w:rPr>
              <w:t>Week 4</w:t>
            </w:r>
          </w:p>
        </w:tc>
        <w:tc>
          <w:tcPr>
            <w:tcW w:type="dxa" w:w="5112"/>
            <w:vAlign w:val="center"/>
            <w:shd w:fill="F0F4F7"/>
            <w:tcMar>
              <w:top w:w="70" w:type="dxa"/>
              <w:bottom w:w="70" w:type="dxa"/>
              <w:left w:w="85" w:type="dxa"/>
              <w:right w:w="85" w:type="dxa"/>
            </w:tcMar>
          </w:tcPr>
          <w:p>
            <w:r>
              <w:rPr>
                <w:b w:val="0"/>
              </w:rPr>
              <w:t>Weekly progress, notes, dashboards, reports and chatbot; integrated testing.</w:t>
            </w:r>
          </w:p>
        </w:tc>
        <w:tc>
          <w:tcPr>
            <w:tcW w:type="dxa" w:w="2664"/>
            <w:vAlign w:val="center"/>
            <w:shd w:fill="F0F4F7"/>
            <w:tcMar>
              <w:top w:w="70" w:type="dxa"/>
              <w:bottom w:w="70" w:type="dxa"/>
              <w:left w:w="85" w:type="dxa"/>
              <w:right w:w="85" w:type="dxa"/>
            </w:tcMar>
          </w:tcPr>
          <w:p>
            <w:r>
              <w:rPr>
                <w:b w:val="0"/>
              </w:rPr>
              <w:t>Scoped access and complete user journeys</w:t>
            </w:r>
          </w:p>
        </w:tc>
      </w:tr>
      <w:tr>
        <w:trPr>
          <w:cantSplit/>
        </w:trPr>
        <w:tc>
          <w:tcPr>
            <w:tcW w:type="dxa" w:w="1584"/>
            <w:vAlign w:val="center"/>
            <w:shd w:fill="F0F4F7"/>
            <w:tcMar>
              <w:top w:w="70" w:type="dxa"/>
              <w:bottom w:w="70" w:type="dxa"/>
              <w:left w:w="85" w:type="dxa"/>
              <w:right w:w="85" w:type="dxa"/>
            </w:tcMar>
          </w:tcPr>
          <w:p>
            <w:r>
              <w:rPr>
                <w:b w:val="0"/>
              </w:rPr>
              <w:t>Weeks 5 to 6 as needed</w:t>
            </w:r>
          </w:p>
        </w:tc>
        <w:tc>
          <w:tcPr>
            <w:tcW w:type="dxa" w:w="5112"/>
            <w:vAlign w:val="center"/>
            <w:shd w:fill="F0F4F7"/>
            <w:tcMar>
              <w:top w:w="70" w:type="dxa"/>
              <w:bottom w:w="70" w:type="dxa"/>
              <w:left w:w="85" w:type="dxa"/>
              <w:right w:w="85" w:type="dxa"/>
            </w:tcMar>
          </w:tcPr>
          <w:p>
            <w:r>
              <w:rPr>
                <w:b w:val="0"/>
              </w:rPr>
              <w:t>Remaining priority work, integration fixes, pilot feedback and release checks.</w:t>
            </w:r>
          </w:p>
        </w:tc>
        <w:tc>
          <w:tcPr>
            <w:tcW w:type="dxa" w:w="2664"/>
            <w:vAlign w:val="center"/>
            <w:shd w:fill="F0F4F7"/>
            <w:tcMar>
              <w:top w:w="70" w:type="dxa"/>
              <w:bottom w:w="70" w:type="dxa"/>
              <w:left w:w="85" w:type="dxa"/>
              <w:right w:w="85" w:type="dxa"/>
            </w:tcMar>
          </w:tcPr>
          <w:p>
            <w:r>
              <w:rPr>
                <w:b w:val="0"/>
              </w:rPr>
              <w:t>Evidence-backed release decision</w:t>
            </w:r>
          </w:p>
        </w:tc>
      </w:tr>
    </w:tbl>
    <w:p>
      <w:pPr>
        <w:spacing w:after="0"/>
      </w:pPr>
    </w:p>
    <w:p>
      <w:pPr>
        <w:pStyle w:val="Heading2"/>
      </w:pPr>
      <w:r>
        <w:t>Dependency discipline</w:t>
      </w:r>
    </w:p>
    <w:p>
      <w:r>
        <w:rPr>
          <w:rFonts w:ascii="Arial" w:hAnsi="Arial"/>
          <w:b w:val="0"/>
        </w:rPr>
        <w:t>M2 begins with fixtures and import screens while the final M1 isolation work completes. M3 begins with assessment UI and schemas against approved access contracts; production integration waits for M2 evidence. M4 begins only once the assessment-result contract is stable. M6 initially covers approved-plan retrieval and threat tests, while M5 reporting is finishing. Early M7 work is deployment rehearsal and test preparation, not a premature release.</w:t>
      </w:r>
    </w:p>
    <w:p>
      <w:pPr>
        <w:pStyle w:val="Heading2"/>
      </w:pPr>
      <w:r>
        <w:t>Slack and reforecasting</w:t>
      </w:r>
    </w:p>
    <w:p>
      <w:r>
        <w:t>Review completed acceptance criteria, remaining work and developer availability each week. Transfer bounded work after an explicit handoff when one developer becomes the bottleneck; preserve shared-file ownership and peer review.</w:t>
      </w:r>
    </w:p>
    <w:p>
      <w:r>
        <w:t>If either developer becomes unavailable, record the effect on the overall ETA. Do not assume overtime. Continue dependency-independent fixtures or tests and surface blocked work promptly.</w:t>
      </w:r>
    </w:p>
    <w:p>
      <w:r>
        <w:br w:type="page"/>
      </w:r>
    </w:p>
    <w:p>
      <w:pPr>
        <w:pStyle w:val="Heading1"/>
      </w:pPr>
      <w:r>
        <w:t>8 Foundation milestone work packages</w:t>
      </w:r>
    </w:p>
    <w:p>
      <w:pPr>
        <w:pStyle w:val="Heading2"/>
      </w:pPr>
      <w:r>
        <w:t>M0 Authentik integration</w:t>
      </w:r>
    </w:p>
    <w:p>
      <w:r>
        <w:t>Shared delivery window: Week 1</w:t>
      </w:r>
    </w:p>
    <w:p>
      <w:r>
        <w:t>Integrate Authentik with the application sign-in flow. Developer A owns the identity adapter and security controls; Developer B verifies sign-in, failure states and the member/admin journeys against the agreed identity contract.</w:t>
      </w:r>
    </w:p>
    <w:p>
      <w:pPr>
        <w:ind w:left="173" w:hanging="173"/>
      </w:pPr>
      <w:r>
        <w:t>• Configure the Authentik application and OIDC provider for the approved environment; verify redirect URIs, authorisation code with PKCE, state and nonce.</w:t>
      </w:r>
    </w:p>
    <w:p>
      <w:pPr>
        <w:ind w:left="173" w:hanging="173"/>
      </w:pPr>
      <w:r>
        <w:t>• Validate issuer, audience, signature, expiry and immutable issuer plus subject mapping. Confirm MFA requirements and explicit role/client mapping; never link identities by an unverified email match.</w:t>
      </w:r>
    </w:p>
    <w:p>
      <w:pPr>
        <w:ind w:left="173" w:hanging="173"/>
      </w:pPr>
      <w:r>
        <w:t>• Test session rotation, logout, access revocation, invalid tokens and unavailable-provider behaviour. Keep secrets outside source control and disable mock authentication in production.</w:t>
      </w:r>
    </w:p>
    <w:p>
      <w:r>
        <w:t>Acceptance: authorised users sign in through Authentik, invalid or revoked identities are denied, sessions and role mapping behave correctly, and dated sandbox evidence is recorded. Deliverable: verified identity integration, configuration guidance and regression tests. If live access is unavailable, distinguish local contract tests from completed integration.</w:t>
      </w:r>
    </w:p>
    <w:p>
      <w:pPr>
        <w:pStyle w:val="Heading2"/>
      </w:pPr>
      <w:r>
        <w:t>M1 Client structure permissions and branding</w:t>
      </w:r>
    </w:p>
    <w:p>
      <w:r>
        <w:t>Shared delivery window: Week 1</w:t>
      </w:r>
    </w:p>
    <w:p>
      <w:r>
        <w:t>Developer A owns client/identity/grant schema and migration, shared authorisation and revocation, contract publication and integrity checks. Developer B owns client/team/member and branding screens, isolation fixtures, navigation and permission regression tests.</w:t>
      </w:r>
    </w:p>
    <w:p>
      <w:pPr>
        <w:ind w:left="173" w:hanging="173"/>
      </w:pPr>
      <w:r>
        <w:rPr>
          <w:rFonts w:ascii="Arial" w:hAnsi="Arial"/>
          <w:b w:val="0"/>
        </w:rPr>
        <w:t>• Add client lifecycle and configuration, effective team/member grants and explicit coordinator assignments; prevent implicit privilege escalation from directory imports.</w:t>
      </w:r>
    </w:p>
    <w:p>
      <w:pPr>
        <w:ind w:left="173" w:hanging="173"/>
      </w:pPr>
      <w:r>
        <w:rPr>
          <w:rFonts w:ascii="Arial" w:hAnsi="Arial"/>
          <w:b w:val="0"/>
        </w:rPr>
        <w:t>• Replace single role assumptions where needed with scoped capabilities. Keep the familiar Admin, Coordinator and Member UX without granting broad sensitive access.</w:t>
      </w:r>
    </w:p>
    <w:p>
      <w:pPr>
        <w:ind w:left="173" w:hanging="173"/>
      </w:pPr>
      <w:r>
        <w:rPr>
          <w:rFonts w:ascii="Arial" w:hAnsi="Arial"/>
          <w:b w:val="0"/>
        </w:rPr>
        <w:t>• Apply authorised selectors to members, plans, evidence, notifications and AI entry points. Partition caches and background work by client and environment.</w:t>
      </w:r>
    </w:p>
    <w:p>
      <w:pPr>
        <w:ind w:left="173" w:hanging="173"/>
      </w:pPr>
      <w:r>
        <w:rPr>
          <w:rFonts w:ascii="Arial" w:hAnsi="Arial"/>
          <w:b w:val="0"/>
        </w:rPr>
        <w:t>• Provide validated logo, colours, name and title settings with accessible contrast and safe asset handling. Branding is configuration, never arbitrary client code.</w:t>
      </w:r>
    </w:p>
    <w:p>
      <w:r>
        <w:rPr>
          <w:rFonts w:ascii="Arial" w:hAnsi="Arial"/>
          <w:b w:val="0"/>
        </w:rPr>
        <w:t>Acceptance: two-client tests deny cross-client read/write and aggregate access, team removal revokes access, sensitive capability checks hold, and all existing learning flows remain usable. A restored database can be migrated without losing history. B reviews A’s policy changes; A reviews B’s screen and input boundaries.</w:t>
      </w:r>
    </w:p>
    <w:p>
      <w:pPr>
        <w:pStyle w:val="Heading2"/>
      </w:pPr>
      <w:r>
        <w:t>Handoff to feature development</w:t>
      </w:r>
    </w:p>
    <w:p>
      <w:r>
        <w:rPr>
          <w:rFonts w:ascii="Arial" w:hAnsi="Arial"/>
          <w:b w:val="0"/>
        </w:rPr>
        <w:t>Publish the actor/client context and policy API, scoped member and team selectors, fixture factories, migration notes and approved error semantics. Neither reporting nor chatbot work may invent its own client filter or bypass this foundation gate. Later permission changes require both developers’ review and regression evidence.</w:t>
      </w:r>
    </w:p>
    <w:p>
      <w:r>
        <w:br w:type="page"/>
      </w:r>
    </w:p>
    <w:p>
      <w:pPr>
        <w:pStyle w:val="Heading1"/>
      </w:pPr>
      <w:r>
        <w:t>9 Integration and assessment work packages</w:t>
      </w:r>
    </w:p>
    <w:p>
      <w:pPr>
        <w:pStyle w:val="Heading2"/>
      </w:pPr>
      <w:r>
        <w:t>M2 Cerebru identity directory and integration</w:t>
      </w:r>
    </w:p>
    <w:p>
      <w:r>
        <w:t>Shared delivery window: Weeks 2 to 3</w:t>
      </w:r>
    </w:p>
    <w:p>
      <w:r>
        <w:t>Developer A owns Cerebru delegation integration, directory mapping, idempotent sync, revocation, failure handling and sandbox qualification. Developer B owns import preview/status/conflict screens, user journeys and contract tests. Reuse the Authentik sign-in foundation from M0; usable API documentation and sandbox access are prerequisites.</w:t>
      </w:r>
    </w:p>
    <w:p>
      <w:pPr>
        <w:ind w:left="173" w:hanging="173"/>
      </w:pPr>
      <w:r>
        <w:rPr>
          <w:rFonts w:ascii="Arial" w:hAnsi="Arial"/>
          <w:b w:val="0"/>
        </w:rPr>
        <w:t>• Prove sign-in, client selection, identity mapping and safe navigation to/from Cerebru. Disable mock authentication in production configuration.</w:t>
      </w:r>
    </w:p>
    <w:p>
      <w:pPr>
        <w:ind w:left="173" w:hanging="173"/>
      </w:pPr>
      <w:r>
        <w:rPr>
          <w:rFonts w:ascii="Arial" w:hAnsi="Arial"/>
          <w:b w:val="0"/>
        </w:rPr>
        <w:t>• Import clients, teams and permitted members; show source-owned versus local fields; implement explicit duplicate/linking decisions and sync failure recovery.</w:t>
      </w:r>
    </w:p>
    <w:p>
      <w:pPr>
        <w:ind w:left="173" w:hanging="173"/>
      </w:pPr>
      <w:r>
        <w:rPr>
          <w:rFonts w:ascii="Arial" w:hAnsi="Arial"/>
          <w:b w:val="0"/>
        </w:rPr>
        <w:t>• Test replay, out-of-order events, deactivation, key rotation, stale permissions and caller/actor separation. Record schema examples and real sandbox evidence.</w:t>
      </w:r>
    </w:p>
    <w:p>
      <w:r>
        <w:rPr>
          <w:rFonts w:ascii="Arial" w:hAnsi="Arial"/>
          <w:b w:val="0"/>
        </w:rPr>
        <w:t>Acceptance: authorised users see only their client/team/member data through both app and delegated API; removals invalidate access; repeated sync produces no duplicates; an outage recovers with the original event/key. If live prerequisites are absent, mark M2 contract-complete only and keep integrated release blocked.</w:t>
      </w:r>
    </w:p>
    <w:p>
      <w:pPr>
        <w:pStyle w:val="Heading2"/>
      </w:pPr>
      <w:r>
        <w:t>M3 Assigned assessments and explainable review</w:t>
      </w:r>
    </w:p>
    <w:p>
      <w:r>
        <w:t>Shared delivery window: Weeks 2 to 3</w:t>
      </w:r>
    </w:p>
    <w:p>
      <w:r>
        <w:t>Developer A owns assessment assignment/submission lifecycle, rubric-bound AI analysis and human decisions. Developer B owns coordinator authoring/assignment, member response/upload screens, review UX, notifications and end-to-end regressions.</w:t>
      </w:r>
    </w:p>
    <w:p>
      <w:pPr>
        <w:ind w:left="173" w:hanging="173"/>
      </w:pPr>
      <w:r>
        <w:rPr>
          <w:rFonts w:ascii="Arial" w:hAnsi="Arial"/>
          <w:b w:val="0"/>
        </w:rPr>
        <w:t>• Create reusable assessment definitions, versioned questions/rubrics, assignments, deadlines, statuses and member history. Reuse submission/file primitives without pretending lesson submissions already cover standalone initial assessments.</w:t>
      </w:r>
    </w:p>
    <w:p>
      <w:pPr>
        <w:ind w:left="173" w:hanging="173"/>
      </w:pPr>
      <w:r>
        <w:rPr>
          <w:rFonts w:ascii="Arial" w:hAnsi="Arial"/>
          <w:b w:val="0"/>
        </w:rPr>
        <w:t>• Allow written responses, uploaded results, supporting documents and member explanations. Preserve quarantine, malware scanning, bounded extraction and human confirmation.</w:t>
      </w:r>
    </w:p>
    <w:p>
      <w:pPr>
        <w:ind w:left="173" w:hanging="173"/>
      </w:pPr>
      <w:r>
        <w:rPr>
          <w:rFonts w:ascii="Arial" w:hAnsi="Arial"/>
          <w:b w:val="0"/>
        </w:rPr>
        <w:t>• Show overall/category scores, rubric-linked evidence, a concise scoring rationale, strengths, weaknesses, gaps and focus areas. Explanations must cite evidence; hidden model reasoning is not required.</w:t>
      </w:r>
    </w:p>
    <w:p>
      <w:pPr>
        <w:ind w:left="173" w:hanging="173"/>
      </w:pPr>
      <w:r>
        <w:rPr>
          <w:rFonts w:ascii="Arial" w:hAnsi="Arial"/>
          <w:b w:val="0"/>
        </w:rPr>
        <w:t>• Require Approve, Modify or Reject with actor/time/reason and exact versions. Preserve original AI output, edits, final decision and history. Notify the reviewer; publish only approved member-visible results.</w:t>
      </w:r>
    </w:p>
    <w:p>
      <w:r>
        <w:rPr>
          <w:rFonts w:ascii="Arial" w:hAnsi="Arial"/>
          <w:b w:val="0"/>
        </w:rPr>
        <w:t>Acceptance: complete assignment → member submission → provisional analysis → coordinator modification/approval → final result. Missing evidence is not zero; rejected output is not published; stale decisions conflict; a member cannot read a peer’s assignment or answer keys. Approved assessments expose a safe create-development-plan action for M4.</w:t>
      </w:r>
    </w:p>
    <w:p>
      <w:r>
        <w:br w:type="page"/>
      </w:r>
    </w:p>
    <w:p>
      <w:pPr>
        <w:pStyle w:val="Heading1"/>
      </w:pPr>
      <w:r>
        <w:t>10 Plans progress notes and reporting work packages</w:t>
      </w:r>
    </w:p>
    <w:p>
      <w:pPr>
        <w:pStyle w:val="Heading2"/>
      </w:pPr>
      <w:r>
        <w:t>M4 Approved 30 day development plans</w:t>
      </w:r>
    </w:p>
    <w:p>
      <w:r>
        <w:t>Shared delivery window: Weeks 2 to 3</w:t>
      </w:r>
    </w:p>
    <w:p>
      <w:r>
        <w:t>Developer A owns duration/calendar/workload changes and generation and approval invariants. Developer B owns plan creation/editor/member views and scheduling, capacity and review tests.</w:t>
      </w:r>
    </w:p>
    <w:p>
      <w:r>
        <w:t>Add an explicit 30-day programme mode alongside supported legacy durations. Proposed interpretation: a 30-calendar-day interval including the start day, with training scheduled only on the member’s working days and a partial final reporting period where needed. Confirm this before M4; four weeks is not silently equivalent to 30 days. Preserve old approved programmes and version the duration mode.</w:t>
      </w:r>
    </w:p>
    <w:p>
      <w:r>
        <w:rPr>
          <w:rFonts w:ascii="Arial" w:hAnsi="Arial"/>
          <w:b w:val="0"/>
        </w:rPr>
        <w:t>Generate a draft from approved assessment strengths/gaps and target outcomes, with reading, practice, mentoring, projects, assessment and review activities. Show daily/weekly time, milestones, resources and normal workload alongside training allocation. Coordinator edits and approval bind exact inputs. Aggregate concurrent programme capacity and reschedule leave without overwriting started work.</w:t>
      </w:r>
    </w:p>
    <w:p>
      <w:r>
        <w:rPr>
          <w:rFonts w:ascii="Arial" w:hAnsi="Arial"/>
          <w:b w:val="0"/>
        </w:rPr>
        <w:t>Acceptance: leap/month-boundary and holiday cases schedule correctly; 30-day and legacy plans coexist; capacity is never exceeded; stale/changed inputs invalidate approval; the member sees only the approved plan. Development targets, success criteria and resources have named human owners.</w:t>
      </w:r>
    </w:p>
    <w:p>
      <w:pPr>
        <w:pStyle w:val="Heading2"/>
      </w:pPr>
      <w:r>
        <w:t>M5 Weekly progress member notes dashboards and reports</w:t>
      </w:r>
    </w:p>
    <w:p>
      <w:r>
        <w:t>Shared delivery window: Week 4</w:t>
      </w:r>
    </w:p>
    <w:p>
      <w:r>
        <w:t>Developer A owns weekly/notes domain services, authorised report projections/exports and AI analysis/adaptation wiring. Developer B owns progress/notes screens, role dashboards/growth graphs and browser, metric and notification tests.</w:t>
      </w:r>
    </w:p>
    <w:p>
      <w:pPr>
        <w:ind w:left="173" w:hanging="173"/>
      </w:pPr>
      <w:r>
        <w:rPr>
          <w:rFonts w:ascii="Arial" w:hAnsi="Arial"/>
          <w:b w:val="0"/>
        </w:rPr>
        <w:t>• Capture completed/incomplete activities, time spent, results, challenges, comments, evidence and self-assessment in an immutable submitted weekly report with revisions and receipts.</w:t>
      </w:r>
    </w:p>
    <w:p>
      <w:pPr>
        <w:ind w:left="173" w:hanging="173"/>
      </w:pPr>
      <w:r>
        <w:rPr>
          <w:rFonts w:ascii="Arial" w:hAnsi="Arial"/>
          <w:b w:val="0"/>
        </w:rPr>
        <w:t>• Compare periods using approved and comparable evidence. AI suggests improvement/stall/missed-target explanations and plan changes; significant changes always require coordinator approval.</w:t>
      </w:r>
    </w:p>
    <w:p>
      <w:pPr>
        <w:ind w:left="173" w:hanging="173"/>
      </w:pPr>
      <w:r>
        <w:rPr>
          <w:rFonts w:ascii="Arial" w:hAnsi="Arial"/>
          <w:b w:val="0"/>
        </w:rPr>
        <w:t>• Implement member-to-coordinator notes with an assigned recipient, status, reply/acknowledgement and minimal-link notifications. Reassignment changes access explicitly; notes are not public to a team.</w:t>
      </w:r>
    </w:p>
    <w:p>
      <w:pPr>
        <w:ind w:left="173" w:hanging="173"/>
      </w:pPr>
      <w:r>
        <w:t>• Build member, coordinator and admin dashboards; baseline-to-follow-up growth charts; scoped weekly/member/team reports and a basic authorised CSV export. Format and additional export types are decided before M5.</w:t>
      </w:r>
    </w:p>
    <w:p>
      <w:r>
        <w:t>Acceptance: approved metrics reconcile with source records; drafts/self-reports are labelled; cross-client/team totals and exports are denied; reassignment cancels stale notifications and export access. Adjustment timing follows the recorded adjustment decision, with concurrency and freeze tests. Existing N+2 behaviour remains until a reviewed policy change is implemented.</w:t>
      </w:r>
    </w:p>
    <w:p>
      <w:r>
        <w:br w:type="page"/>
      </w:r>
    </w:p>
    <w:p>
      <w:pPr>
        <w:pStyle w:val="Heading1"/>
      </w:pPr>
      <w:r>
        <w:t>11 Chatbot and release work packages</w:t>
      </w:r>
    </w:p>
    <w:p>
      <w:pPr>
        <w:pStyle w:val="Heading2"/>
      </w:pPr>
      <w:r>
        <w:t>M6 Basic permission scoped training chatbot</w:t>
      </w:r>
    </w:p>
    <w:p>
      <w:r>
        <w:t>Shared delivery window: Week 4</w:t>
      </w:r>
    </w:p>
    <w:p>
      <w:r>
        <w:t>Developer A owns context retrieval/tool restrictions, conversation lifecycle, AI budgets and adversarial and revocation tests. Developer B owns chat UI and citations, accessibility, scoped history and failure-state tests.</w:t>
      </w:r>
    </w:p>
    <w:p>
      <w:r>
        <w:rPr>
          <w:rFonts w:ascii="Arial" w:hAnsi="Arial"/>
          <w:b w:val="0"/>
        </w:rPr>
        <w:t>Answer training questions using the member’s approved plan, goals, published lessons and approved progress. Reuse the shared AI gateway and provider registry. Start with bounded relational retrieval of known authorised records; embeddings and external vector hosting are outside the basic scope unless separately justified and approved.</w:t>
      </w:r>
    </w:p>
    <w:p>
      <w:r>
        <w:rPr>
          <w:rFonts w:ascii="Arial" w:hAnsi="Arial"/>
          <w:b w:val="0"/>
        </w:rPr>
        <w:t>Keep chat advisory and read-only. It cannot approve results, change plans or permissions, create arbitrary queries, send messages or fetch arbitrary URLs. Link answers to approved source versions, disclose unavailable context, and provide a route to contact the coordinator. Store private conversation ownership, client, member and retention metadata.</w:t>
      </w:r>
    </w:p>
    <w:p>
      <w:r>
        <w:rPr>
          <w:rFonts w:ascii="Arial" w:hAnsi="Arial"/>
          <w:b w:val="0"/>
        </w:rPr>
        <w:t>Acceptance: the example questions in PDF section 19 return useful, grounded responses for the current member. Peer and cross-client prompts, injected documents and forged citations cannot widen access. Revocation between retrieval and response prevents display. Provider failure gives a recoverable message; rate and cost ceilings hold.</w:t>
      </w:r>
    </w:p>
    <w:p>
      <w:pPr>
        <w:pStyle w:val="Heading2"/>
      </w:pPr>
      <w:r>
        <w:t>M7 Integrated qualification representative pilot and release</w:t>
      </w:r>
    </w:p>
    <w:p>
      <w:r>
        <w:t>Shared delivery window: Weeks 4 to 6</w:t>
      </w:r>
    </w:p>
    <w:p>
      <w:r>
        <w:t>Developer A owns live provider/SMTP qualification, host/migration/restore/security work, integration fixes and release preparation. Developer B owns end-to-end/accessibility/performance verification, pilot/demo coordination and fixes, and support documentation.</w:t>
      </w:r>
    </w:p>
    <w:p>
      <w:pPr>
        <w:ind w:left="173" w:hanging="173"/>
      </w:pPr>
      <w:r>
        <w:rPr>
          <w:rFonts w:ascii="Arial" w:hAnsi="Arial"/>
          <w:b w:val="0"/>
        </w:rPr>
        <w:t>• Run the complete PDF workflow on staging, including client branding, assessment, approval, 30-day plan, weekly progress, growth graph, notes and chatbot. Use one member consistently for the demo and a second client for access-denial proof.</w:t>
      </w:r>
    </w:p>
    <w:p>
      <w:pPr>
        <w:ind w:left="173" w:hanging="173"/>
      </w:pPr>
      <w:r>
        <w:rPr>
          <w:rFonts w:ascii="Arial" w:hAnsi="Arial"/>
          <w:b w:val="0"/>
        </w:rPr>
        <w:t>• Qualify actual AI models and allowed data with representative assessments. Use independent human reviews and adjudication; record costs, disagreement, missing-evidence handling and observed learner/reviewer workload.</w:t>
      </w:r>
    </w:p>
    <w:p>
      <w:pPr>
        <w:ind w:left="173" w:hanging="173"/>
      </w:pPr>
      <w:r>
        <w:rPr>
          <w:rFonts w:ascii="Arial" w:hAnsi="Arial"/>
          <w:b w:val="0"/>
        </w:rPr>
        <w:t>• Qualify SMTP sender authentication and delivery evidence, scanner signatures and parser isolation; test real MariaDB/files/keys recovery and safe outbox replay.</w:t>
      </w:r>
    </w:p>
    <w:p>
      <w:pPr>
        <w:ind w:left="173" w:hanging="173"/>
      </w:pPr>
      <w:r>
        <w:rPr>
          <w:rFonts w:ascii="Arial" w:hAnsi="Arial"/>
          <w:b w:val="0"/>
        </w:rPr>
        <w:t>• Agree performance/load, retention/erasure, support, monitoring and incident ownership. Rehearse migration, rollback and client suspension. Close critical access, data-loss and approval defects before release.</w:t>
      </w:r>
    </w:p>
    <w:p>
      <w:r>
        <w:rPr>
          <w:rFonts w:ascii="Arial" w:hAnsi="Arial"/>
          <w:b w:val="0"/>
        </w:rPr>
        <w:t>Acceptance: all applicable release gates have dated evidence and an owner decision. Live services and costs are approved; the project owner signs go/no-go. A demo with mocks may still be delivered while dependencies are blocked, but must be labelled and cannot be called the production-integrated MVP.</w:t>
      </w:r>
    </w:p>
    <w:p>
      <w:r>
        <w:br w:type="page"/>
      </w:r>
    </w:p>
    <w:p>
      <w:pPr>
        <w:pStyle w:val="Heading1"/>
      </w:pPr>
      <w:r>
        <w:t>12 Chatbot and reporting access safeguards</w:t>
      </w:r>
    </w:p>
    <w:p>
      <w:pPr>
        <w:pStyle w:val="Heading2"/>
      </w:pPr>
      <w:r>
        <w:t>Enforce access before the model sees data</w:t>
      </w:r>
    </w:p>
    <w:p>
      <w:r>
        <w:rPr>
          <w:rFonts w:ascii="Arial" w:hAnsi="Arial"/>
          <w:b w:val="0"/>
        </w:rPr>
        <w:t>Build context in a server-side service using the authenticated actor and validated active client. Intersect client, team, member ownership and capability checks before retrieving any text. Never load a whole client database and ask the model to hide records. Treat prompts, uploads, tool results and source documents as untrusted data, not permission instructions.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7704"/>
      </w:tblGrid>
      <w:tr>
        <w:trPr>
          <w:cantSplit/>
          <w:tblHeader/>
        </w:trPr>
        <w:tc>
          <w:tcPr>
            <w:tcW w:type="dxa" w:w="2045"/>
            <w:vAlign w:val="center"/>
            <w:shd w:fill="203B50"/>
            <w:tcMar>
              <w:top w:w="70" w:type="dxa"/>
              <w:bottom w:w="70" w:type="dxa"/>
              <w:left w:w="85" w:type="dxa"/>
              <w:right w:w="85" w:type="dxa"/>
            </w:tcMar>
          </w:tcPr>
          <w:p>
            <w:pPr>
              <w:spacing w:after="0" w:line="245" w:lineRule="auto"/>
            </w:pPr>
            <w:r>
              <w:rPr>
                <w:b/>
                <w:color w:val="FFFFFF"/>
                <w:sz w:val="19"/>
              </w:rPr>
              <w:t>Surface</w:t>
            </w:r>
          </w:p>
        </w:tc>
        <w:tc>
          <w:tcPr>
            <w:tcW w:type="dxa" w:w="7704"/>
            <w:vAlign w:val="center"/>
            <w:shd w:fill="203B50"/>
            <w:tcMar>
              <w:top w:w="70" w:type="dxa"/>
              <w:bottom w:w="70" w:type="dxa"/>
              <w:left w:w="85" w:type="dxa"/>
              <w:right w:w="85" w:type="dxa"/>
            </w:tcMar>
          </w:tcPr>
          <w:p>
            <w:pPr>
              <w:spacing w:after="0" w:line="245" w:lineRule="auto"/>
            </w:pPr>
            <w:r>
              <w:rPr>
                <w:b/>
                <w:color w:val="FFFFFF"/>
                <w:sz w:val="19"/>
              </w:rPr>
              <w:t>Required isolation and revocation behaviour</w:t>
            </w:r>
          </w:p>
        </w:tc>
      </w:tr>
      <w:tr>
        <w:trPr>
          <w:cantSplit/>
        </w:trPr>
        <w:tc>
          <w:tcPr>
            <w:tcW w:type="dxa" w:w="2045"/>
            <w:vAlign w:val="center"/>
            <w:shd w:fill="F0F4F7"/>
            <w:tcMar>
              <w:top w:w="70" w:type="dxa"/>
              <w:bottom w:w="70" w:type="dxa"/>
              <w:left w:w="85" w:type="dxa"/>
              <w:right w:w="85" w:type="dxa"/>
            </w:tcMar>
          </w:tcPr>
          <w:p>
            <w:pPr>
              <w:spacing w:after="0" w:line="245" w:lineRule="auto"/>
            </w:pPr>
            <w:r>
              <w:rPr>
                <w:b w:val="0"/>
                <w:color w:val="000000"/>
                <w:sz w:val="19"/>
              </w:rPr>
              <w:t>Chat requests and history</w:t>
            </w:r>
          </w:p>
        </w:tc>
        <w:tc>
          <w:tcPr>
            <w:tcW w:type="dxa" w:w="7704"/>
            <w:vAlign w:val="center"/>
            <w:shd w:fill="F0F4F7"/>
            <w:tcMar>
              <w:top w:w="70" w:type="dxa"/>
              <w:bottom w:w="70" w:type="dxa"/>
              <w:left w:w="85" w:type="dxa"/>
              <w:right w:w="85" w:type="dxa"/>
            </w:tcMar>
          </w:tcPr>
          <w:p>
            <w:pPr>
              <w:spacing w:after="0" w:line="245" w:lineRule="auto"/>
            </w:pPr>
            <w:r>
              <w:rPr>
                <w:b w:val="0"/>
                <w:color w:val="000000"/>
                <w:sz w:val="19"/>
              </w:rPr>
              <w:t>Bind conversation and messages to client and member. Guessing another conversation ID returns no data. Coordinators/admins have no default right to private chats; any future supervision access needs a separate explicit policy.</w:t>
            </w:r>
          </w:p>
        </w:tc>
      </w:tr>
      <w:tr>
        <w:trPr>
          <w:cantSplit/>
        </w:trPr>
        <w:tc>
          <w:tcPr>
            <w:tcW w:type="dxa" w:w="2045"/>
            <w:vAlign w:val="center"/>
            <w:shd w:fill="FFFFFF"/>
            <w:tcMar>
              <w:top w:w="70" w:type="dxa"/>
              <w:bottom w:w="70" w:type="dxa"/>
              <w:left w:w="85" w:type="dxa"/>
              <w:right w:w="85" w:type="dxa"/>
            </w:tcMar>
          </w:tcPr>
          <w:p>
            <w:pPr>
              <w:spacing w:after="0" w:line="245" w:lineRule="auto"/>
            </w:pPr>
            <w:r>
              <w:rPr>
                <w:b w:val="0"/>
                <w:color w:val="000000"/>
                <w:sz w:val="19"/>
              </w:rPr>
              <w:t>Context and citations</w:t>
            </w:r>
          </w:p>
        </w:tc>
        <w:tc>
          <w:tcPr>
            <w:tcW w:type="dxa" w:w="7704"/>
            <w:vAlign w:val="center"/>
            <w:shd w:fill="FFFFFF"/>
            <w:tcMar>
              <w:top w:w="70" w:type="dxa"/>
              <w:bottom w:w="70" w:type="dxa"/>
              <w:left w:w="85" w:type="dxa"/>
              <w:right w:w="85" w:type="dxa"/>
            </w:tcMar>
          </w:tcPr>
          <w:p>
            <w:pPr>
              <w:spacing w:after="0" w:line="245" w:lineRule="auto"/>
            </w:pPr>
            <w:r>
              <w:rPr>
                <w:b w:val="0"/>
                <w:color w:val="000000"/>
                <w:sz w:val="19"/>
              </w:rPr>
              <w:t>Use approved, member-visible source versions only. Exclude raw third-party assessments, private notes, answer keys and provisional results by default. Reauthorise cited objects when opened.</w:t>
            </w:r>
          </w:p>
        </w:tc>
      </w:tr>
      <w:tr>
        <w:trPr>
          <w:cantSplit/>
        </w:trPr>
        <w:tc>
          <w:tcPr>
            <w:tcW w:type="dxa" w:w="2045"/>
            <w:vAlign w:val="center"/>
            <w:shd w:fill="F0F4F7"/>
            <w:tcMar>
              <w:top w:w="70" w:type="dxa"/>
              <w:bottom w:w="70" w:type="dxa"/>
              <w:left w:w="85" w:type="dxa"/>
              <w:right w:w="85" w:type="dxa"/>
            </w:tcMar>
          </w:tcPr>
          <w:p>
            <w:pPr>
              <w:spacing w:after="0" w:line="245" w:lineRule="auto"/>
            </w:pPr>
            <w:r>
              <w:rPr>
                <w:b w:val="0"/>
                <w:color w:val="000000"/>
                <w:sz w:val="19"/>
              </w:rPr>
              <w:t>Cached or streamed answers</w:t>
            </w:r>
          </w:p>
        </w:tc>
        <w:tc>
          <w:tcPr>
            <w:tcW w:type="dxa" w:w="7704"/>
            <w:vAlign w:val="center"/>
            <w:shd w:fill="F0F4F7"/>
            <w:tcMar>
              <w:top w:w="70" w:type="dxa"/>
              <w:bottom w:w="70" w:type="dxa"/>
              <w:left w:w="85" w:type="dxa"/>
              <w:right w:w="85" w:type="dxa"/>
            </w:tcMar>
          </w:tcPr>
          <w:p>
            <w:pPr>
              <w:spacing w:after="0" w:line="245" w:lineRule="auto"/>
            </w:pPr>
            <w:r>
              <w:rPr>
                <w:b w:val="0"/>
                <w:color w:val="000000"/>
                <w:sz w:val="19"/>
              </w:rPr>
              <w:t>Partition by actor/client/member/permission and content versions. Recheck before generation and before delivery. For MVP, prefer a complete authorised response over streaming that may disclose content after revocation.</w:t>
            </w:r>
          </w:p>
        </w:tc>
      </w:tr>
      <w:tr>
        <w:trPr>
          <w:cantSplit/>
        </w:trPr>
        <w:tc>
          <w:tcPr>
            <w:tcW w:type="dxa" w:w="2045"/>
            <w:vAlign w:val="center"/>
            <w:shd w:fill="FFFFFF"/>
            <w:tcMar>
              <w:top w:w="70" w:type="dxa"/>
              <w:bottom w:w="70" w:type="dxa"/>
              <w:left w:w="85" w:type="dxa"/>
              <w:right w:w="85" w:type="dxa"/>
            </w:tcMar>
          </w:tcPr>
          <w:p>
            <w:pPr>
              <w:spacing w:after="0" w:line="245" w:lineRule="auto"/>
            </w:pPr>
            <w:r>
              <w:rPr>
                <w:b w:val="0"/>
                <w:color w:val="000000"/>
                <w:sz w:val="19"/>
              </w:rPr>
              <w:t>Reports and charts</w:t>
            </w:r>
          </w:p>
        </w:tc>
        <w:tc>
          <w:tcPr>
            <w:tcW w:type="dxa" w:w="7704"/>
            <w:vAlign w:val="center"/>
            <w:shd w:fill="FFFFFF"/>
            <w:tcMar>
              <w:top w:w="70" w:type="dxa"/>
              <w:bottom w:w="70" w:type="dxa"/>
              <w:left w:w="85" w:type="dxa"/>
              <w:right w:w="85" w:type="dxa"/>
            </w:tcMar>
          </w:tcPr>
          <w:p>
            <w:pPr>
              <w:spacing w:after="0" w:line="245" w:lineRule="auto"/>
            </w:pPr>
            <w:r>
              <w:rPr>
                <w:b w:val="0"/>
                <w:color w:val="000000"/>
                <w:sz w:val="19"/>
              </w:rPr>
              <w:t>Scope source rows before aggregation. Apply the same filters to totals, series, drill-down, labels, search and pagination. No cross-client dashboard shortcuts.</w:t>
            </w:r>
          </w:p>
        </w:tc>
      </w:tr>
      <w:tr>
        <w:trPr>
          <w:cantSplit/>
        </w:trPr>
        <w:tc>
          <w:tcPr>
            <w:tcW w:type="dxa" w:w="2045"/>
            <w:vAlign w:val="center"/>
            <w:shd w:fill="F0F4F7"/>
            <w:tcMar>
              <w:top w:w="70" w:type="dxa"/>
              <w:bottom w:w="70" w:type="dxa"/>
              <w:left w:w="85" w:type="dxa"/>
              <w:right w:w="85" w:type="dxa"/>
            </w:tcMar>
          </w:tcPr>
          <w:p>
            <w:pPr>
              <w:spacing w:after="0" w:line="245" w:lineRule="auto"/>
            </w:pPr>
            <w:r>
              <w:rPr>
                <w:b w:val="0"/>
                <w:color w:val="000000"/>
                <w:sz w:val="19"/>
              </w:rPr>
              <w:t>Queued exports</w:t>
            </w:r>
          </w:p>
        </w:tc>
        <w:tc>
          <w:tcPr>
            <w:tcW w:type="dxa" w:w="7704"/>
            <w:vAlign w:val="center"/>
            <w:shd w:fill="F0F4F7"/>
            <w:tcMar>
              <w:top w:w="70" w:type="dxa"/>
              <w:bottom w:w="70" w:type="dxa"/>
              <w:left w:w="85" w:type="dxa"/>
              <w:right w:w="85" w:type="dxa"/>
            </w:tcMar>
          </w:tcPr>
          <w:p>
            <w:pPr>
              <w:spacing w:after="0" w:line="245" w:lineRule="auto"/>
            </w:pPr>
            <w:r>
              <w:rPr>
                <w:b w:val="0"/>
                <w:color w:val="000000"/>
                <w:sz w:val="19"/>
              </w:rPr>
              <w:t>Record requesting actor, client, filters and permission version. Recheck during generation and at download; cancel or regenerate if membership changes. Private, expiring delivery and audited access only.</w:t>
            </w:r>
          </w:p>
        </w:tc>
      </w:tr>
      <w:tr>
        <w:trPr>
          <w:cantSplit/>
        </w:trPr>
        <w:tc>
          <w:tcPr>
            <w:tcW w:type="dxa" w:w="2045"/>
            <w:vAlign w:val="center"/>
            <w:shd w:fill="FFFFFF"/>
            <w:tcMar>
              <w:top w:w="70" w:type="dxa"/>
              <w:bottom w:w="70" w:type="dxa"/>
              <w:left w:w="85" w:type="dxa"/>
              <w:right w:w="85" w:type="dxa"/>
            </w:tcMar>
          </w:tcPr>
          <w:p>
            <w:pPr>
              <w:spacing w:after="0" w:line="245" w:lineRule="auto"/>
            </w:pPr>
            <w:r>
              <w:rPr>
                <w:b w:val="0"/>
                <w:color w:val="000000"/>
                <w:sz w:val="19"/>
              </w:rPr>
              <w:t>Notifications and logs</w:t>
            </w:r>
          </w:p>
        </w:tc>
        <w:tc>
          <w:tcPr>
            <w:tcW w:type="dxa" w:w="7704"/>
            <w:vAlign w:val="center"/>
            <w:shd w:fill="FFFFFF"/>
            <w:tcMar>
              <w:top w:w="70" w:type="dxa"/>
              <w:bottom w:w="70" w:type="dxa"/>
              <w:left w:w="85" w:type="dxa"/>
              <w:right w:w="85" w:type="dxa"/>
            </w:tcMar>
          </w:tcPr>
          <w:p>
            <w:pPr>
              <w:spacing w:after="0" w:line="245" w:lineRule="auto"/>
            </w:pPr>
            <w:r>
              <w:rPr>
                <w:b w:val="0"/>
                <w:color w:val="000000"/>
                <w:sz w:val="19"/>
              </w:rPr>
              <w:t>Recheck actual recipient access at send time. Send minimal links, not assessment details or attachments. Redact prompts, PII and secrets from operational logs; retain only authorised audit metadata.</w:t>
            </w:r>
          </w:p>
        </w:tc>
      </w:tr>
    </w:tbl>
    <w:p>
      <w:pPr>
        <w:spacing w:after="0"/>
      </w:pPr>
    </w:p>
    <w:p>
      <w:pPr>
        <w:pStyle w:val="Heading2"/>
      </w:pPr>
      <w:r>
        <w:t>Defence against indirect disclosure</w:t>
      </w:r>
    </w:p>
    <w:p>
      <w:r>
        <w:rPr>
          <w:rFonts w:ascii="Arial" w:hAnsi="Arial"/>
          <w:b w:val="0"/>
        </w:rPr>
        <w:t>Use bounded, allowlisted retrieval operations and schema-validated model output. No arbitrary SQL, file reads, network tools or permission mutation. If a response references unavailable data, suppress the reference and return a safe limitation. Chart datasets and downloadable files need the same protection as visible UI elements; client-side hiding is insufficient.</w:t>
      </w:r>
    </w:p>
    <w:p>
      <w:pPr>
        <w:pStyle w:val="Heading2"/>
      </w:pPr>
      <w:r>
        <w:t>Approval and audit boundaries</w:t>
      </w:r>
    </w:p>
    <w:p>
      <w:r>
        <w:rPr>
          <w:rFonts w:ascii="Arial" w:hAnsi="Arial"/>
          <w:b w:val="0"/>
        </w:rPr>
        <w:t>Chat advice is not an official assessment, KPI result or plan change. Store model/prompt/configuration version and permitted source references without unnecessary sensitive text. Audit report generation/download and denied sensitive retrieval. Define separate retention for chat, notes, reports and official training history before real data is admitted.</w:t>
      </w:r>
    </w:p>
    <w:p>
      <w:r>
        <w:rPr>
          <w:rFonts w:ascii="Arial" w:hAnsi="Arial"/>
          <w:b w:val="0"/>
        </w:rPr>
        <w:t>MVP access tests must cover cross-client, same-client wrong-team, peer, reassigned coordinator, suspended client, expired permissions and a revocation racing a job or response. A single data-disclosure failure blocks chatbot/report release until fixed and retested.</w:t>
      </w:r>
    </w:p>
    <w:p>
      <w:r>
        <w:br w:type="page"/>
      </w:r>
    </w:p>
    <w:p>
      <w:pPr>
        <w:pStyle w:val="Heading1"/>
      </w:pPr>
      <w:r>
        <w:t>13 Reporting definitions and acceptance examples</w:t>
      </w:r>
    </w:p>
    <w:p>
      <w:r>
        <w:rPr>
          <w:rFonts w:ascii="Arial" w:hAnsi="Arial"/>
          <w:b w:val="0"/>
        </w:rPr>
        <w:t>Developer A owns shared, permission-filtered projections; Developer B owns charts, tables and filters. Definitions are versioned and approved before dashboard acceptance. Report access never grants additional access to underlying assessments.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618"/>
      </w:tblGrid>
      <w:tr>
        <w:trPr>
          <w:cantSplit/>
          <w:tblHeader/>
        </w:trPr>
        <w:tc>
          <w:tcPr>
            <w:tcW w:type="dxa" w:w="2131"/>
            <w:vAlign w:val="center"/>
            <w:shd w:fill="203B50"/>
            <w:tcMar>
              <w:top w:w="70" w:type="dxa"/>
              <w:bottom w:w="70" w:type="dxa"/>
              <w:left w:w="85" w:type="dxa"/>
              <w:right w:w="85" w:type="dxa"/>
            </w:tcMar>
          </w:tcPr>
          <w:p>
            <w:pPr>
              <w:spacing w:after="0" w:line="245" w:lineRule="auto"/>
            </w:pPr>
            <w:r>
              <w:rPr>
                <w:b/>
                <w:color w:val="FFFFFF"/>
                <w:sz w:val="19"/>
              </w:rPr>
              <w:t>Output</w:t>
            </w:r>
          </w:p>
        </w:tc>
        <w:tc>
          <w:tcPr>
            <w:tcW w:type="dxa" w:w="7618"/>
            <w:vAlign w:val="center"/>
            <w:shd w:fill="203B50"/>
            <w:tcMar>
              <w:top w:w="70" w:type="dxa"/>
              <w:bottom w:w="70" w:type="dxa"/>
              <w:left w:w="85" w:type="dxa"/>
              <w:right w:w="85" w:type="dxa"/>
            </w:tcMar>
          </w:tcPr>
          <w:p>
            <w:pPr>
              <w:spacing w:after="0" w:line="245" w:lineRule="auto"/>
            </w:pPr>
            <w:r>
              <w:rPr>
                <w:b/>
                <w:color w:val="FFFFFF"/>
                <w:sz w:val="19"/>
              </w:rPr>
              <w:t>Definition and acceptance rule</w:t>
            </w:r>
          </w:p>
        </w:tc>
      </w:tr>
      <w:tr>
        <w:trPr>
          <w:cantSplit/>
        </w:trPr>
        <w:tc>
          <w:tcPr>
            <w:tcW w:type="dxa" w:w="2131"/>
            <w:vAlign w:val="center"/>
            <w:shd w:fill="F0F4F7"/>
            <w:tcMar>
              <w:top w:w="70" w:type="dxa"/>
              <w:bottom w:w="70" w:type="dxa"/>
              <w:left w:w="85" w:type="dxa"/>
              <w:right w:w="85" w:type="dxa"/>
            </w:tcMar>
          </w:tcPr>
          <w:p>
            <w:pPr>
              <w:spacing w:after="0" w:line="245" w:lineRule="auto"/>
            </w:pPr>
            <w:r>
              <w:rPr>
                <w:b w:val="0"/>
                <w:color w:val="000000"/>
                <w:sz w:val="19"/>
              </w:rPr>
              <w:t>Member growth graph</w:t>
            </w:r>
          </w:p>
        </w:tc>
        <w:tc>
          <w:tcPr>
            <w:tcW w:type="dxa" w:w="7618"/>
            <w:vAlign w:val="center"/>
            <w:shd w:fill="F0F4F7"/>
            <w:tcMar>
              <w:top w:w="70" w:type="dxa"/>
              <w:bottom w:w="70" w:type="dxa"/>
              <w:left w:w="85" w:type="dxa"/>
              <w:right w:w="85" w:type="dxa"/>
            </w:tcMar>
          </w:tcPr>
          <w:p>
            <w:pPr>
              <w:spacing w:after="0" w:line="245" w:lineRule="auto"/>
            </w:pPr>
            <w:r>
              <w:rPr>
                <w:b w:val="0"/>
                <w:color w:val="000000"/>
                <w:sz w:val="19"/>
              </w:rPr>
              <w:t>Show initial approved assessment, approved weekly competency evidence and follow-up assessment by date. Compare only compatible skill/rubric versions and scales. Show a gap or separate series when data is missing or incomparable.</w:t>
            </w:r>
          </w:p>
        </w:tc>
      </w:tr>
      <w:tr>
        <w:trPr>
          <w:cantSplit/>
        </w:trPr>
        <w:tc>
          <w:tcPr>
            <w:tcW w:type="dxa" w:w="2131"/>
            <w:vAlign w:val="center"/>
            <w:shd w:fill="FFFFFF"/>
            <w:tcMar>
              <w:top w:w="70" w:type="dxa"/>
              <w:bottom w:w="70" w:type="dxa"/>
              <w:left w:w="85" w:type="dxa"/>
              <w:right w:w="85" w:type="dxa"/>
            </w:tcMar>
          </w:tcPr>
          <w:p>
            <w:pPr>
              <w:spacing w:after="0" w:line="245" w:lineRule="auto"/>
            </w:pPr>
            <w:r>
              <w:rPr>
                <w:b w:val="0"/>
                <w:color w:val="000000"/>
                <w:sz w:val="19"/>
              </w:rPr>
              <w:t>Weekly progress</w:t>
            </w:r>
          </w:p>
        </w:tc>
        <w:tc>
          <w:tcPr>
            <w:tcW w:type="dxa" w:w="7618"/>
            <w:vAlign w:val="center"/>
            <w:shd w:fill="FFFFFF"/>
            <w:tcMar>
              <w:top w:w="70" w:type="dxa"/>
              <w:bottom w:w="70" w:type="dxa"/>
              <w:left w:w="85" w:type="dxa"/>
              <w:right w:w="85" w:type="dxa"/>
            </w:tcMar>
          </w:tcPr>
          <w:p>
            <w:pPr>
              <w:spacing w:after="0" w:line="245" w:lineRule="auto"/>
            </w:pPr>
            <w:r>
              <w:rPr>
                <w:b w:val="0"/>
                <w:color w:val="000000"/>
                <w:sz w:val="19"/>
              </w:rPr>
              <w:t>Display planned/completed/incomplete activities, self-reported time, challenges and reviewed results. Label self-report separately from verified competence. Preserve reporting period, timezone and plan version.</w:t>
            </w:r>
          </w:p>
        </w:tc>
      </w:tr>
      <w:tr>
        <w:trPr>
          <w:cantSplit/>
        </w:trPr>
        <w:tc>
          <w:tcPr>
            <w:tcW w:type="dxa" w:w="2131"/>
            <w:vAlign w:val="center"/>
            <w:shd w:fill="F0F4F7"/>
            <w:tcMar>
              <w:top w:w="70" w:type="dxa"/>
              <w:bottom w:w="70" w:type="dxa"/>
              <w:left w:w="85" w:type="dxa"/>
              <w:right w:w="85" w:type="dxa"/>
            </w:tcMar>
          </w:tcPr>
          <w:p>
            <w:pPr>
              <w:spacing w:after="0" w:line="245" w:lineRule="auto"/>
            </w:pPr>
            <w:r>
              <w:rPr>
                <w:b w:val="0"/>
                <w:color w:val="000000"/>
                <w:sz w:val="19"/>
              </w:rPr>
              <w:t>Completion percentage</w:t>
            </w:r>
          </w:p>
        </w:tc>
        <w:tc>
          <w:tcPr>
            <w:tcW w:type="dxa" w:w="7618"/>
            <w:vAlign w:val="center"/>
            <w:shd w:fill="F0F4F7"/>
            <w:tcMar>
              <w:top w:w="70" w:type="dxa"/>
              <w:bottom w:w="70" w:type="dxa"/>
              <w:left w:w="85" w:type="dxa"/>
              <w:right w:w="85" w:type="dxa"/>
            </w:tcMar>
          </w:tcPr>
          <w:p>
            <w:pPr>
              <w:spacing w:after="0" w:line="245" w:lineRule="auto"/>
            </w:pPr>
            <w:r>
              <w:rPr>
                <w:b w:val="0"/>
                <w:color w:val="000000"/>
                <w:sz w:val="19"/>
              </w:rPr>
              <w:t>Use completed required activities divided by required activities due in the selected period, under a versioned plan. If denominator is zero, show not applicable. Do not infer competence from completion alone.</w:t>
            </w:r>
          </w:p>
        </w:tc>
      </w:tr>
      <w:tr>
        <w:trPr>
          <w:cantSplit/>
        </w:trPr>
        <w:tc>
          <w:tcPr>
            <w:tcW w:type="dxa" w:w="2131"/>
            <w:vAlign w:val="center"/>
            <w:shd w:fill="FFFFFF"/>
            <w:tcMar>
              <w:top w:w="70" w:type="dxa"/>
              <w:bottom w:w="70" w:type="dxa"/>
              <w:left w:w="85" w:type="dxa"/>
              <w:right w:w="85" w:type="dxa"/>
            </w:tcMar>
          </w:tcPr>
          <w:p>
            <w:pPr>
              <w:spacing w:after="0" w:line="245" w:lineRule="auto"/>
            </w:pPr>
            <w:r>
              <w:rPr>
                <w:b w:val="0"/>
                <w:color w:val="000000"/>
                <w:sz w:val="19"/>
              </w:rPr>
              <w:t>Development scores</w:t>
            </w:r>
          </w:p>
        </w:tc>
        <w:tc>
          <w:tcPr>
            <w:tcW w:type="dxa" w:w="7618"/>
            <w:vAlign w:val="center"/>
            <w:shd w:fill="FFFFFF"/>
            <w:tcMar>
              <w:top w:w="70" w:type="dxa"/>
              <w:bottom w:w="70" w:type="dxa"/>
              <w:left w:w="85" w:type="dxa"/>
              <w:right w:w="85" w:type="dxa"/>
            </w:tcMar>
          </w:tcPr>
          <w:p>
            <w:pPr>
              <w:spacing w:after="0" w:line="245" w:lineRule="auto"/>
            </w:pPr>
            <w:r>
              <w:rPr>
                <w:b w:val="0"/>
                <w:color w:val="000000"/>
                <w:sz w:val="19"/>
              </w:rPr>
              <w:t>Use the approved scoring rubric, not an invented average of unrelated measures. Skill-level results retain source decision and scale. Overall development score is conditional on an approved comparable formula.</w:t>
            </w:r>
          </w:p>
        </w:tc>
      </w:tr>
      <w:tr>
        <w:trPr>
          <w:cantSplit/>
        </w:trPr>
        <w:tc>
          <w:tcPr>
            <w:tcW w:type="dxa" w:w="2131"/>
            <w:vAlign w:val="center"/>
            <w:shd w:fill="F0F4F7"/>
            <w:tcMar>
              <w:top w:w="70" w:type="dxa"/>
              <w:bottom w:w="70" w:type="dxa"/>
              <w:left w:w="85" w:type="dxa"/>
              <w:right w:w="85" w:type="dxa"/>
            </w:tcMar>
          </w:tcPr>
          <w:p>
            <w:pPr>
              <w:spacing w:after="0" w:line="245" w:lineRule="auto"/>
            </w:pPr>
            <w:r>
              <w:rPr>
                <w:b w:val="0"/>
                <w:color w:val="000000"/>
                <w:sz w:val="19"/>
              </w:rPr>
              <w:t>Coordinator attention queue</w:t>
            </w:r>
          </w:p>
        </w:tc>
        <w:tc>
          <w:tcPr>
            <w:tcW w:type="dxa" w:w="7618"/>
            <w:vAlign w:val="center"/>
            <w:shd w:fill="F0F4F7"/>
            <w:tcMar>
              <w:top w:w="70" w:type="dxa"/>
              <w:bottom w:w="70" w:type="dxa"/>
              <w:left w:w="85" w:type="dxa"/>
              <w:right w:w="85" w:type="dxa"/>
            </w:tcMar>
          </w:tcPr>
          <w:p>
            <w:pPr>
              <w:spacing w:after="0" w:line="245" w:lineRule="auto"/>
            </w:pPr>
            <w:r>
              <w:rPr>
                <w:b w:val="0"/>
                <w:color w:val="000000"/>
                <w:sz w:val="19"/>
              </w:rPr>
              <w:t>Include only assigned members with defined signals such as pending review, overdue work, missed targets or support notes. Agree thresholds; AI suggestions do not independently mark a member unsuccessful.</w:t>
            </w:r>
          </w:p>
        </w:tc>
      </w:tr>
      <w:tr>
        <w:trPr>
          <w:cantSplit/>
        </w:trPr>
        <w:tc>
          <w:tcPr>
            <w:tcW w:type="dxa" w:w="2131"/>
            <w:vAlign w:val="center"/>
            <w:shd w:fill="FFFFFF"/>
            <w:tcMar>
              <w:top w:w="70" w:type="dxa"/>
              <w:bottom w:w="70" w:type="dxa"/>
              <w:left w:w="85" w:type="dxa"/>
              <w:right w:w="85" w:type="dxa"/>
            </w:tcMar>
          </w:tcPr>
          <w:p>
            <w:pPr>
              <w:spacing w:after="0" w:line="245" w:lineRule="auto"/>
            </w:pPr>
            <w:r>
              <w:rPr>
                <w:b w:val="0"/>
                <w:color w:val="000000"/>
                <w:sz w:val="19"/>
              </w:rPr>
              <w:t>Client and team summaries</w:t>
            </w:r>
          </w:p>
        </w:tc>
        <w:tc>
          <w:tcPr>
            <w:tcW w:type="dxa" w:w="7618"/>
            <w:vAlign w:val="center"/>
            <w:shd w:fill="FFFFFF"/>
            <w:tcMar>
              <w:top w:w="70" w:type="dxa"/>
              <w:bottom w:w="70" w:type="dxa"/>
              <w:left w:w="85" w:type="dxa"/>
              <w:right w:w="85" w:type="dxa"/>
            </w:tcMar>
          </w:tcPr>
          <w:p>
            <w:pPr>
              <w:spacing w:after="0" w:line="245" w:lineRule="auto"/>
            </w:pPr>
            <w:r>
              <w:rPr>
                <w:b w:val="0"/>
                <w:color w:val="000000"/>
                <w:sz w:val="19"/>
              </w:rPr>
              <w:t>Require explicit reporting scope; aggregate authorised records only. Client-level administration cannot expose unassigned personal details. Cross-client operational counts use a separately restricted projection.</w:t>
            </w:r>
          </w:p>
        </w:tc>
      </w:tr>
      <w:tr>
        <w:trPr>
          <w:cantSplit/>
        </w:trPr>
        <w:tc>
          <w:tcPr>
            <w:tcW w:type="dxa" w:w="2131"/>
            <w:vAlign w:val="center"/>
            <w:shd w:fill="F0F4F7"/>
            <w:tcMar>
              <w:top w:w="70" w:type="dxa"/>
              <w:bottom w:w="70" w:type="dxa"/>
              <w:left w:w="85" w:type="dxa"/>
              <w:right w:w="85" w:type="dxa"/>
            </w:tcMar>
          </w:tcPr>
          <w:p>
            <w:pPr>
              <w:spacing w:after="0" w:line="245" w:lineRule="auto"/>
            </w:pPr>
            <w:r>
              <w:rPr>
                <w:b w:val="0"/>
                <w:color w:val="000000"/>
                <w:sz w:val="19"/>
              </w:rPr>
              <w:t>CSV export</w:t>
            </w:r>
          </w:p>
        </w:tc>
        <w:tc>
          <w:tcPr>
            <w:tcW w:type="dxa" w:w="7618"/>
            <w:vAlign w:val="center"/>
            <w:shd w:fill="F0F4F7"/>
            <w:tcMar>
              <w:top w:w="70" w:type="dxa"/>
              <w:bottom w:w="70" w:type="dxa"/>
              <w:left w:w="85" w:type="dxa"/>
              <w:right w:w="85" w:type="dxa"/>
            </w:tcMar>
          </w:tcPr>
          <w:p>
            <w:pPr>
              <w:spacing w:after="0" w:line="245" w:lineRule="auto"/>
            </w:pPr>
            <w:r>
              <w:rPr>
                <w:b w:val="0"/>
                <w:color w:val="000000"/>
                <w:sz w:val="19"/>
              </w:rPr>
              <w:t>Use the same metric/filter contract as the screen, neutralise spreadsheet-formula cells, minimise personal fields, and store the file privately. Include generation time, timezone, source versions and requester scope.</w:t>
            </w:r>
          </w:p>
        </w:tc>
      </w:tr>
    </w:tbl>
    <w:p>
      <w:pPr>
        <w:spacing w:after="0"/>
      </w:pPr>
    </w:p>
    <w:p>
      <w:pPr>
        <w:pStyle w:val="Heading2"/>
      </w:pPr>
      <w:r>
        <w:t>Illustrative acceptance cases</w:t>
      </w:r>
    </w:p>
    <w:p>
      <w:r>
        <w:rPr>
          <w:rFonts w:ascii="Arial" w:hAnsi="Arial"/>
          <w:b w:val="0"/>
        </w:rPr>
        <w:t>A member has 10 required activities due and six complete: completion is 60%, while competency remains pending until approved evidence exists. A coordinator assigned to only Team A1 sees neither Team A2’s members nor its counts. A report queued before team removal cannot be downloaded after that removal.</w:t>
      </w:r>
    </w:p>
    <w:p>
      <w:r>
        <w:rPr>
          <w:rFonts w:ascii="Arial" w:hAnsi="Arial"/>
          <w:b w:val="0"/>
        </w:rPr>
        <w:t>A weekly self-assessment of 80% is shown as self-reported and does not overwrite an approved baseline score. A rubric change between week two and week three produces a labelled break or separate comparison, not a misleading growth line. A client with no permitted observations sees no evidence, not zero performance.</w:t>
      </w:r>
    </w:p>
    <w:p>
      <w:pPr>
        <w:pStyle w:val="Heading2"/>
      </w:pPr>
      <w:r>
        <w:t>Presentation and usability</w:t>
      </w:r>
    </w:p>
    <w:p>
      <w:r>
        <w:rPr>
          <w:rFonts w:ascii="Arial" w:hAnsi="Arial"/>
          <w:b w:val="0"/>
        </w:rPr>
        <w:t>Support client/team/member and date filters only within the actor’s scope. Show freshness and last-sync timestamps, pending review and missing evidence clearly. Provide accessible text/table alternatives to graphs, keyboard navigation and responsive layouts. Keep download expiry and report status visible without exposing storage keys or internal errors.</w:t>
      </w:r>
    </w:p>
    <w:p>
      <w:r>
        <w:br w:type="page"/>
      </w:r>
    </w:p>
    <w:p>
      <w:pPr>
        <w:pStyle w:val="Heading1"/>
      </w:pPr>
      <w:r>
        <w:t>14 Verification pilot and release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6322"/>
        <w:gridCol w:w="1872"/>
      </w:tblGrid>
      <w:tr>
        <w:trPr>
          <w:cantSplit/>
          <w:tblHeader/>
        </w:trPr>
        <w:tc>
          <w:tcPr>
            <w:tcW w:type="dxa" w:w="1555"/>
            <w:vAlign w:val="center"/>
            <w:shd w:fill="203B50"/>
            <w:tcMar>
              <w:top w:w="70" w:type="dxa"/>
              <w:bottom w:w="70" w:type="dxa"/>
              <w:left w:w="85" w:type="dxa"/>
              <w:right w:w="85" w:type="dxa"/>
            </w:tcMar>
          </w:tcPr>
          <w:p>
            <w:pPr>
              <w:spacing w:after="0" w:line="245" w:lineRule="auto"/>
            </w:pPr>
            <w:r>
              <w:rPr>
                <w:b/>
                <w:color w:val="FFFFFF"/>
                <w:sz w:val="19"/>
              </w:rPr>
              <w:t>Gate</w:t>
            </w:r>
          </w:p>
        </w:tc>
        <w:tc>
          <w:tcPr>
            <w:tcW w:type="dxa" w:w="6322"/>
            <w:vAlign w:val="center"/>
            <w:shd w:fill="203B50"/>
            <w:tcMar>
              <w:top w:w="70" w:type="dxa"/>
              <w:bottom w:w="70" w:type="dxa"/>
              <w:left w:w="85" w:type="dxa"/>
              <w:right w:w="85" w:type="dxa"/>
            </w:tcMar>
          </w:tcPr>
          <w:p>
            <w:pPr>
              <w:spacing w:after="0" w:line="245" w:lineRule="auto"/>
            </w:pPr>
            <w:r>
              <w:rPr>
                <w:b/>
                <w:color w:val="FFFFFF"/>
                <w:sz w:val="19"/>
              </w:rPr>
              <w:t>Evidence required</w:t>
            </w:r>
          </w:p>
        </w:tc>
        <w:tc>
          <w:tcPr>
            <w:tcW w:type="dxa" w:w="1872"/>
            <w:vAlign w:val="center"/>
            <w:shd w:fill="203B50"/>
            <w:tcMar>
              <w:top w:w="70" w:type="dxa"/>
              <w:bottom w:w="70" w:type="dxa"/>
              <w:left w:w="85" w:type="dxa"/>
              <w:right w:w="85" w:type="dxa"/>
            </w:tcMar>
          </w:tcPr>
          <w:p>
            <w:pPr>
              <w:spacing w:after="0" w:line="245" w:lineRule="auto"/>
            </w:pPr>
            <w:r>
              <w:rPr>
                <w:b/>
                <w:color w:val="FFFFFF"/>
                <w:sz w:val="19"/>
              </w:rPr>
              <w:t>Accountable owner</w:t>
            </w:r>
          </w:p>
        </w:tc>
      </w:tr>
      <w:tr>
        <w:trPr>
          <w:cantSplit/>
        </w:trPr>
        <w:tc>
          <w:tcPr>
            <w:tcW w:type="dxa" w:w="1555"/>
            <w:vAlign w:val="center"/>
            <w:shd w:fill="F0F4F7"/>
            <w:tcMar>
              <w:top w:w="70" w:type="dxa"/>
              <w:bottom w:w="70" w:type="dxa"/>
              <w:left w:w="85" w:type="dxa"/>
              <w:right w:w="85" w:type="dxa"/>
            </w:tcMar>
          </w:tcPr>
          <w:p>
            <w:pPr>
              <w:spacing w:after="0" w:line="245" w:lineRule="auto"/>
            </w:pPr>
            <w:r>
              <w:rPr>
                <w:b w:val="0"/>
                <w:color w:val="000000"/>
                <w:sz w:val="19"/>
              </w:rPr>
              <w:t>Foundation</w:t>
            </w:r>
          </w:p>
        </w:tc>
        <w:tc>
          <w:tcPr>
            <w:tcW w:type="dxa" w:w="6322"/>
            <w:vAlign w:val="center"/>
            <w:shd w:fill="F0F4F7"/>
            <w:tcMar>
              <w:top w:w="70" w:type="dxa"/>
              <w:bottom w:w="70" w:type="dxa"/>
              <w:left w:w="85" w:type="dxa"/>
              <w:right w:w="85" w:type="dxa"/>
            </w:tcMar>
          </w:tcPr>
          <w:p>
            <w:pPr>
              <w:spacing w:after="0" w:line="245" w:lineRule="auto"/>
            </w:pPr>
            <w:r>
              <w:rPr>
                <w:b w:val="0"/>
                <w:color w:val="000000"/>
                <w:sz w:val="19"/>
              </w:rPr>
              <w:t>Two clients and multiple teams; allow/deny tests for all record paths, aggregates, files and jobs; migration integrity and revocation evidence.</w:t>
            </w:r>
          </w:p>
        </w:tc>
        <w:tc>
          <w:tcPr>
            <w:tcW w:type="dxa" w:w="1872"/>
            <w:vAlign w:val="center"/>
            <w:shd w:fill="F0F4F7"/>
            <w:tcMar>
              <w:top w:w="70" w:type="dxa"/>
              <w:bottom w:w="70" w:type="dxa"/>
              <w:left w:w="85" w:type="dxa"/>
              <w:right w:w="85" w:type="dxa"/>
            </w:tcMar>
          </w:tcPr>
          <w:p>
            <w:pPr>
              <w:spacing w:after="0" w:line="245" w:lineRule="auto"/>
            </w:pPr>
            <w:r>
              <w:rPr>
                <w:b w:val="0"/>
                <w:color w:val="000000"/>
                <w:sz w:val="19"/>
              </w:rPr>
              <w:t>A; B reviews</w:t>
            </w:r>
          </w:p>
        </w:tc>
      </w:tr>
      <w:tr>
        <w:trPr>
          <w:cantSplit/>
        </w:trPr>
        <w:tc>
          <w:tcPr>
            <w:tcW w:type="dxa" w:w="1555"/>
            <w:vAlign w:val="center"/>
            <w:shd w:fill="FFFFFF"/>
            <w:tcMar>
              <w:top w:w="70" w:type="dxa"/>
              <w:bottom w:w="70" w:type="dxa"/>
              <w:left w:w="85" w:type="dxa"/>
              <w:right w:w="85" w:type="dxa"/>
            </w:tcMar>
          </w:tcPr>
          <w:p>
            <w:pPr>
              <w:spacing w:after="0" w:line="245" w:lineRule="auto"/>
            </w:pPr>
            <w:r>
              <w:rPr>
                <w:b w:val="0"/>
                <w:color w:val="000000"/>
                <w:sz w:val="19"/>
              </w:rPr>
              <w:t>Functional regression</w:t>
            </w:r>
          </w:p>
        </w:tc>
        <w:tc>
          <w:tcPr>
            <w:tcW w:type="dxa" w:w="6322"/>
            <w:vAlign w:val="center"/>
            <w:shd w:fill="FFFFFF"/>
            <w:tcMar>
              <w:top w:w="70" w:type="dxa"/>
              <w:bottom w:w="70" w:type="dxa"/>
              <w:left w:w="85" w:type="dxa"/>
              <w:right w:w="85" w:type="dxa"/>
            </w:tcMar>
          </w:tcPr>
          <w:p>
            <w:pPr>
              <w:spacing w:after="0" w:line="245" w:lineRule="auto"/>
            </w:pPr>
            <w:r>
              <w:rPr>
                <w:b w:val="0"/>
                <w:color w:val="000000"/>
                <w:sz w:val="19"/>
              </w:rPr>
              <w:t>Assessment approval, 30-day plan, weekly submission, notes, graph and chatbot journeys; stale-version and concurrent reviewer/capacity tests.</w:t>
            </w:r>
          </w:p>
        </w:tc>
        <w:tc>
          <w:tcPr>
            <w:tcW w:type="dxa" w:w="1872"/>
            <w:vAlign w:val="center"/>
            <w:shd w:fill="FFFFFF"/>
            <w:tcMar>
              <w:top w:w="70" w:type="dxa"/>
              <w:bottom w:w="70" w:type="dxa"/>
              <w:left w:w="85" w:type="dxa"/>
              <w:right w:w="85" w:type="dxa"/>
            </w:tcMar>
          </w:tcPr>
          <w:p>
            <w:pPr>
              <w:spacing w:after="0" w:line="245" w:lineRule="auto"/>
            </w:pPr>
            <w:r>
              <w:rPr>
                <w:b w:val="0"/>
                <w:color w:val="000000"/>
                <w:sz w:val="19"/>
              </w:rPr>
              <w:t>B; A reviews</w:t>
            </w:r>
          </w:p>
        </w:tc>
      </w:tr>
      <w:tr>
        <w:trPr>
          <w:cantSplit/>
        </w:trPr>
        <w:tc>
          <w:tcPr>
            <w:tcW w:type="dxa" w:w="1555"/>
            <w:vAlign w:val="center"/>
            <w:shd w:fill="F0F4F7"/>
            <w:tcMar>
              <w:top w:w="70" w:type="dxa"/>
              <w:bottom w:w="70" w:type="dxa"/>
              <w:left w:w="85" w:type="dxa"/>
              <w:right w:w="85" w:type="dxa"/>
            </w:tcMar>
          </w:tcPr>
          <w:p>
            <w:pPr>
              <w:spacing w:after="0" w:line="245" w:lineRule="auto"/>
            </w:pPr>
            <w:r>
              <w:rPr>
                <w:b w:val="0"/>
                <w:color w:val="000000"/>
                <w:sz w:val="19"/>
              </w:rPr>
              <w:t>Live Cerebru</w:t>
            </w:r>
          </w:p>
        </w:tc>
        <w:tc>
          <w:tcPr>
            <w:tcW w:type="dxa" w:w="6322"/>
            <w:vAlign w:val="center"/>
            <w:shd w:fill="F0F4F7"/>
            <w:tcMar>
              <w:top w:w="70" w:type="dxa"/>
              <w:bottom w:w="70" w:type="dxa"/>
              <w:left w:w="85" w:type="dxa"/>
              <w:right w:w="85" w:type="dxa"/>
            </w:tcMar>
          </w:tcPr>
          <w:p>
            <w:pPr>
              <w:spacing w:after="0" w:line="245" w:lineRule="auto"/>
            </w:pPr>
            <w:r>
              <w:rPr>
                <w:b w:val="0"/>
                <w:color w:val="000000"/>
                <w:sz w:val="19"/>
              </w:rPr>
              <w:t>Real sign-in/MFA and permitted delegation, client/team mapping, import/sync, duplicates, deactivation, outages and reconciliation.</w:t>
            </w:r>
          </w:p>
        </w:tc>
        <w:tc>
          <w:tcPr>
            <w:tcW w:type="dxa" w:w="1872"/>
            <w:vAlign w:val="center"/>
            <w:shd w:fill="F0F4F7"/>
            <w:tcMar>
              <w:top w:w="70" w:type="dxa"/>
              <w:bottom w:w="70" w:type="dxa"/>
              <w:left w:w="85" w:type="dxa"/>
              <w:right w:w="85" w:type="dxa"/>
            </w:tcMar>
          </w:tcPr>
          <w:p>
            <w:pPr>
              <w:spacing w:after="0" w:line="245" w:lineRule="auto"/>
            </w:pPr>
            <w:r>
              <w:rPr>
                <w:b w:val="0"/>
                <w:color w:val="000000"/>
                <w:sz w:val="19"/>
              </w:rPr>
              <w:t>A</w:t>
            </w:r>
          </w:p>
        </w:tc>
      </w:tr>
      <w:tr>
        <w:trPr>
          <w:cantSplit/>
        </w:trPr>
        <w:tc>
          <w:tcPr>
            <w:tcW w:type="dxa" w:w="1555"/>
            <w:vAlign w:val="center"/>
            <w:shd w:fill="FFFFFF"/>
            <w:tcMar>
              <w:top w:w="70" w:type="dxa"/>
              <w:bottom w:w="70" w:type="dxa"/>
              <w:left w:w="85" w:type="dxa"/>
              <w:right w:w="85" w:type="dxa"/>
            </w:tcMar>
          </w:tcPr>
          <w:p>
            <w:pPr>
              <w:spacing w:after="0" w:line="245" w:lineRule="auto"/>
            </w:pPr>
            <w:r>
              <w:rPr>
                <w:b w:val="0"/>
                <w:color w:val="000000"/>
                <w:sz w:val="19"/>
              </w:rPr>
              <w:t>AI qualification</w:t>
            </w:r>
          </w:p>
        </w:tc>
        <w:tc>
          <w:tcPr>
            <w:tcW w:type="dxa" w:w="6322"/>
            <w:vAlign w:val="center"/>
            <w:shd w:fill="FFFFFF"/>
            <w:tcMar>
              <w:top w:w="70" w:type="dxa"/>
              <w:bottom w:w="70" w:type="dxa"/>
              <w:left w:w="85" w:type="dxa"/>
              <w:right w:w="85" w:type="dxa"/>
            </w:tcMar>
          </w:tcPr>
          <w:p>
            <w:pPr>
              <w:spacing w:after="0" w:line="245" w:lineRule="auto"/>
            </w:pPr>
            <w:r>
              <w:rPr>
                <w:b w:val="0"/>
                <w:color w:val="000000"/>
                <w:sz w:val="19"/>
              </w:rPr>
              <w:t>Approved model/data policy and budget; evidence-grounded scoring, independent human comparison, failure/ambiguity handling and no automatic final decisions.</w:t>
            </w:r>
          </w:p>
        </w:tc>
        <w:tc>
          <w:tcPr>
            <w:tcW w:type="dxa" w:w="1872"/>
            <w:vAlign w:val="center"/>
            <w:shd w:fill="FFFFFF"/>
            <w:tcMar>
              <w:top w:w="70" w:type="dxa"/>
              <w:bottom w:w="70" w:type="dxa"/>
              <w:left w:w="85" w:type="dxa"/>
              <w:right w:w="85" w:type="dxa"/>
            </w:tcMar>
          </w:tcPr>
          <w:p>
            <w:pPr>
              <w:spacing w:after="0" w:line="245" w:lineRule="auto"/>
            </w:pPr>
            <w:r>
              <w:rPr>
                <w:b w:val="0"/>
                <w:color w:val="000000"/>
                <w:sz w:val="19"/>
              </w:rPr>
              <w:t>A with human reviewers</w:t>
            </w:r>
          </w:p>
        </w:tc>
      </w:tr>
      <w:tr>
        <w:trPr>
          <w:cantSplit/>
        </w:trPr>
        <w:tc>
          <w:tcPr>
            <w:tcW w:type="dxa" w:w="1555"/>
            <w:vAlign w:val="center"/>
            <w:shd w:fill="F0F4F7"/>
            <w:tcMar>
              <w:top w:w="70" w:type="dxa"/>
              <w:bottom w:w="70" w:type="dxa"/>
              <w:left w:w="85" w:type="dxa"/>
              <w:right w:w="85" w:type="dxa"/>
            </w:tcMar>
          </w:tcPr>
          <w:p>
            <w:pPr>
              <w:spacing w:after="0" w:line="245" w:lineRule="auto"/>
            </w:pPr>
            <w:r>
              <w:rPr>
                <w:b w:val="0"/>
                <w:color w:val="000000"/>
                <w:sz w:val="19"/>
              </w:rPr>
              <w:t>Usability and accessibility</w:t>
            </w:r>
          </w:p>
        </w:tc>
        <w:tc>
          <w:tcPr>
            <w:tcW w:type="dxa" w:w="6322"/>
            <w:vAlign w:val="center"/>
            <w:shd w:fill="F0F4F7"/>
            <w:tcMar>
              <w:top w:w="70" w:type="dxa"/>
              <w:bottom w:w="70" w:type="dxa"/>
              <w:left w:w="85" w:type="dxa"/>
              <w:right w:w="85" w:type="dxa"/>
            </w:tcMar>
          </w:tcPr>
          <w:p>
            <w:pPr>
              <w:spacing w:after="0" w:line="245" w:lineRule="auto"/>
            </w:pPr>
            <w:r>
              <w:rPr>
                <w:b w:val="0"/>
                <w:color w:val="000000"/>
                <w:sz w:val="19"/>
              </w:rPr>
              <w:t>Responsive role journeys, keyboard and manual assistive-technology checks, readable charts/tables, recoverable uploads/autosave.</w:t>
            </w:r>
          </w:p>
        </w:tc>
        <w:tc>
          <w:tcPr>
            <w:tcW w:type="dxa" w:w="1872"/>
            <w:vAlign w:val="center"/>
            <w:shd w:fill="F0F4F7"/>
            <w:tcMar>
              <w:top w:w="70" w:type="dxa"/>
              <w:bottom w:w="70" w:type="dxa"/>
              <w:left w:w="85" w:type="dxa"/>
              <w:right w:w="85" w:type="dxa"/>
            </w:tcMar>
          </w:tcPr>
          <w:p>
            <w:pPr>
              <w:spacing w:after="0" w:line="245" w:lineRule="auto"/>
            </w:pPr>
            <w:r>
              <w:rPr>
                <w:b w:val="0"/>
                <w:color w:val="000000"/>
                <w:sz w:val="19"/>
              </w:rPr>
              <w:t>B</w:t>
            </w:r>
          </w:p>
        </w:tc>
      </w:tr>
      <w:tr>
        <w:trPr>
          <w:cantSplit/>
        </w:trPr>
        <w:tc>
          <w:tcPr>
            <w:tcW w:type="dxa" w:w="1555"/>
            <w:vAlign w:val="center"/>
            <w:shd w:fill="FFFFFF"/>
            <w:tcMar>
              <w:top w:w="70" w:type="dxa"/>
              <w:bottom w:w="70" w:type="dxa"/>
              <w:left w:w="85" w:type="dxa"/>
              <w:right w:w="85" w:type="dxa"/>
            </w:tcMar>
          </w:tcPr>
          <w:p>
            <w:pPr>
              <w:spacing w:after="0" w:line="245" w:lineRule="auto"/>
            </w:pPr>
            <w:r>
              <w:rPr>
                <w:b w:val="0"/>
                <w:color w:val="000000"/>
                <w:sz w:val="19"/>
              </w:rPr>
              <w:t>Operations and recovery</w:t>
            </w:r>
          </w:p>
        </w:tc>
        <w:tc>
          <w:tcPr>
            <w:tcW w:type="dxa" w:w="6322"/>
            <w:vAlign w:val="center"/>
            <w:shd w:fill="FFFFFF"/>
            <w:tcMar>
              <w:top w:w="70" w:type="dxa"/>
              <w:bottom w:w="70" w:type="dxa"/>
              <w:left w:w="85" w:type="dxa"/>
              <w:right w:w="85" w:type="dxa"/>
            </w:tcMar>
          </w:tcPr>
          <w:p>
            <w:pPr>
              <w:spacing w:after="0" w:line="245" w:lineRule="auto"/>
            </w:pPr>
            <w:r>
              <w:rPr>
                <w:b w:val="0"/>
                <w:color w:val="000000"/>
                <w:sz w:val="19"/>
              </w:rPr>
              <w:t>Qualified host, private files, scanner/sandbox, secrets, monitoring, encrypted MariaDB/files/keys restore, deletion replay and rollback rehearsal.</w:t>
            </w:r>
          </w:p>
        </w:tc>
        <w:tc>
          <w:tcPr>
            <w:tcW w:type="dxa" w:w="1872"/>
            <w:vAlign w:val="center"/>
            <w:shd w:fill="FFFFFF"/>
            <w:tcMar>
              <w:top w:w="70" w:type="dxa"/>
              <w:bottom w:w="70" w:type="dxa"/>
              <w:left w:w="85" w:type="dxa"/>
              <w:right w:w="85" w:type="dxa"/>
            </w:tcMar>
          </w:tcPr>
          <w:p>
            <w:pPr>
              <w:spacing w:after="0" w:line="245" w:lineRule="auto"/>
            </w:pPr>
            <w:r>
              <w:rPr>
                <w:b w:val="0"/>
                <w:color w:val="000000"/>
                <w:sz w:val="19"/>
              </w:rPr>
              <w:t>A</w:t>
            </w:r>
          </w:p>
        </w:tc>
      </w:tr>
      <w:tr>
        <w:trPr>
          <w:cantSplit/>
        </w:trPr>
        <w:tc>
          <w:tcPr>
            <w:tcW w:type="dxa" w:w="1555"/>
            <w:vAlign w:val="center"/>
            <w:shd w:fill="F0F4F7"/>
            <w:tcMar>
              <w:top w:w="70" w:type="dxa"/>
              <w:bottom w:w="70" w:type="dxa"/>
              <w:left w:w="85" w:type="dxa"/>
              <w:right w:w="85" w:type="dxa"/>
            </w:tcMar>
          </w:tcPr>
          <w:p>
            <w:pPr>
              <w:spacing w:after="0" w:line="245" w:lineRule="auto"/>
            </w:pPr>
            <w:r>
              <w:rPr>
                <w:b w:val="0"/>
                <w:color w:val="000000"/>
                <w:sz w:val="19"/>
              </w:rPr>
              <w:t>Pilot and go live</w:t>
            </w:r>
          </w:p>
        </w:tc>
        <w:tc>
          <w:tcPr>
            <w:tcW w:type="dxa" w:w="6322"/>
            <w:vAlign w:val="center"/>
            <w:shd w:fill="F0F4F7"/>
            <w:tcMar>
              <w:top w:w="70" w:type="dxa"/>
              <w:bottom w:w="70" w:type="dxa"/>
              <w:left w:w="85" w:type="dxa"/>
              <w:right w:w="85" w:type="dxa"/>
            </w:tcMar>
          </w:tcPr>
          <w:p>
            <w:pPr>
              <w:spacing w:after="0" w:line="245" w:lineRule="auto"/>
            </w:pPr>
            <w:r>
              <w:rPr>
                <w:b w:val="0"/>
                <w:color w:val="000000"/>
                <w:sz w:val="19"/>
              </w:rPr>
              <w:t>Representative user feedback, workload/cost record, open-issue assessment, support ownership, approved recurring costs and signed go/no-go.</w:t>
            </w:r>
          </w:p>
        </w:tc>
        <w:tc>
          <w:tcPr>
            <w:tcW w:type="dxa" w:w="1872"/>
            <w:vAlign w:val="center"/>
            <w:shd w:fill="F0F4F7"/>
            <w:tcMar>
              <w:top w:w="70" w:type="dxa"/>
              <w:bottom w:w="70" w:type="dxa"/>
              <w:left w:w="85" w:type="dxa"/>
              <w:right w:w="85" w:type="dxa"/>
            </w:tcMar>
          </w:tcPr>
          <w:p>
            <w:pPr>
              <w:spacing w:after="0" w:line="245" w:lineRule="auto"/>
            </w:pPr>
            <w:r>
              <w:rPr>
                <w:b w:val="0"/>
                <w:color w:val="000000"/>
                <w:sz w:val="19"/>
              </w:rPr>
              <w:t>Project owner; B records</w:t>
            </w:r>
          </w:p>
        </w:tc>
      </w:tr>
    </w:tbl>
    <w:p>
      <w:pPr>
        <w:spacing w:after="0"/>
      </w:pPr>
    </w:p>
    <w:p>
      <w:pPr>
        <w:pStyle w:val="Heading2"/>
      </w:pPr>
      <w:r>
        <w:t>Test layers and evidence discipline</w:t>
      </w:r>
    </w:p>
    <w:p>
      <w:r>
        <w:rPr>
          <w:rFonts w:ascii="Arial" w:hAnsi="Arial"/>
          <w:b w:val="0"/>
        </w:rPr>
        <w:t>Run fast domain and feature tests per change; run MariaDB integrity/concurrency checks for schema, locking and queues; run browser/accessibility tests for changed user journeys. At milestone boundaries run the integrated suite and record environment, revision, commands, outcomes and known limits. Do not claim production readiness from mocked HTTP, synthetic data, an old CI run or a SQLite restore.</w:t>
      </w:r>
    </w:p>
    <w:p>
      <w:pPr>
        <w:pStyle w:val="Heading2"/>
      </w:pPr>
      <w:r>
        <w:t>Pilot design</w:t>
      </w:r>
    </w:p>
    <w:p>
      <w:r>
        <w:rPr>
          <w:rFonts w:ascii="Arial" w:hAnsi="Arial"/>
          <w:b w:val="0"/>
        </w:rPr>
        <w:t>Propose a small pilot spanning at least two clients and multiple teams, varied roles and accessibility needs. The project owner supplies authorised participants and two independent assessment reviewers; these are business participation dependencies, not additional developers. Use pseudonymous evidence for calibration and agree success thresholds before reviewing model outcomes.</w:t>
      </w:r>
    </w:p>
    <w:p>
      <w:r>
        <w:t>The pilot exercises initial assessment through a full 30-day learning cycle, including at least four reporting points, final/partial-period handling and follow-up. Run pilot observation alongside engineering work as soon as the required journey is usable; the full 30-day observation remains an acceptance dependency and may extend the 4 to 6 week ETA if started late. Recruit and approve the cohort earlier; delayed enrolment or a longer required observation period moves the acceptance date.</w:t>
      </w:r>
    </w:p>
    <w:p>
      <w:pPr>
        <w:pStyle w:val="Heading2"/>
      </w:pPr>
      <w:r>
        <w:t>Release stop conditions</w:t>
      </w:r>
    </w:p>
    <w:p>
      <w:r>
        <w:rPr>
          <w:rFonts w:ascii="Arial" w:hAnsi="Arial"/>
          <w:b w:val="0"/>
        </w:rPr>
        <w:t>Do not release with client/team/member leakage, incorrect final-score publication, bypassed human approval, unrecoverable migration/data loss, missing live authentication evidence or unapproved recurring cost. Fixes require targeted and regression retests. Rollout starts with the approved pilot clients, monitored queues and a rehearsed rollback owner; expansion follows the owner’s acceptance decision.</w:t>
      </w:r>
    </w:p>
    <w:p>
      <w:r>
        <w:br w:type="page"/>
      </w:r>
    </w:p>
    <w:p>
      <w:pPr>
        <w:pStyle w:val="Heading1"/>
      </w:pPr>
      <w:r>
        <w:t>15 Dependencies decisions and schedule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635"/>
        <w:gridCol w:w="3802"/>
      </w:tblGrid>
      <w:tr>
        <w:trPr>
          <w:cantSplit/>
          <w:tblHeader/>
        </w:trPr>
        <w:tc>
          <w:tcPr>
            <w:tcW w:type="dxa" w:w="3312"/>
            <w:vAlign w:val="center"/>
            <w:shd w:fill="203B50"/>
            <w:tcMar>
              <w:top w:w="70" w:type="dxa"/>
              <w:bottom w:w="70" w:type="dxa"/>
              <w:left w:w="85" w:type="dxa"/>
              <w:right w:w="85" w:type="dxa"/>
            </w:tcMar>
          </w:tcPr>
          <w:p>
            <w:pPr>
              <w:spacing w:after="0" w:line="245" w:lineRule="auto"/>
            </w:pPr>
            <w:r>
              <w:rPr>
                <w:b/>
                <w:color w:val="FFFFFF"/>
                <w:sz w:val="18"/>
              </w:rPr>
              <w:t>Dependency or decision</w:t>
            </w:r>
          </w:p>
        </w:tc>
        <w:tc>
          <w:tcPr>
            <w:tcW w:type="dxa" w:w="2635"/>
            <w:vAlign w:val="center"/>
            <w:shd w:fill="203B50"/>
            <w:tcMar>
              <w:top w:w="70" w:type="dxa"/>
              <w:bottom w:w="70" w:type="dxa"/>
              <w:left w:w="85" w:type="dxa"/>
              <w:right w:w="85" w:type="dxa"/>
            </w:tcMar>
          </w:tcPr>
          <w:p>
            <w:pPr>
              <w:spacing w:after="0" w:line="245" w:lineRule="auto"/>
            </w:pPr>
            <w:r>
              <w:rPr>
                <w:b/>
                <w:color w:val="FFFFFF"/>
                <w:sz w:val="18"/>
              </w:rPr>
              <w:t>Owner and needed by</w:t>
            </w:r>
          </w:p>
        </w:tc>
        <w:tc>
          <w:tcPr>
            <w:tcW w:type="dxa" w:w="3802"/>
            <w:vAlign w:val="center"/>
            <w:shd w:fill="203B50"/>
            <w:tcMar>
              <w:top w:w="70" w:type="dxa"/>
              <w:bottom w:w="70" w:type="dxa"/>
              <w:left w:w="85" w:type="dxa"/>
              <w:right w:w="85" w:type="dxa"/>
            </w:tcMar>
          </w:tcPr>
          <w:p>
            <w:pPr>
              <w:spacing w:after="0" w:line="245" w:lineRule="auto"/>
            </w:pPr>
            <w:r>
              <w:rPr>
                <w:b/>
                <w:color w:val="FFFFFF"/>
                <w:sz w:val="18"/>
              </w:rPr>
              <w:t>Impact and fallback</w:t>
            </w:r>
          </w:p>
        </w:tc>
      </w:tr>
      <w:tr>
        <w:trPr>
          <w:cantSplit/>
        </w:trPr>
        <w:tc>
          <w:tcPr>
            <w:tcW w:type="dxa" w:w="3312"/>
            <w:vAlign w:val="center"/>
            <w:shd w:fill="F0F4F7"/>
            <w:tcMar>
              <w:top w:w="70" w:type="dxa"/>
              <w:bottom w:w="70" w:type="dxa"/>
              <w:left w:w="85" w:type="dxa"/>
              <w:right w:w="85" w:type="dxa"/>
            </w:tcMar>
          </w:tcPr>
          <w:p>
            <w:pPr>
              <w:spacing w:after="0" w:line="245" w:lineRule="auto"/>
            </w:pPr>
            <w:r>
              <w:rPr>
                <w:b w:val="0"/>
                <w:color w:val="000000"/>
                <w:sz w:val="18"/>
              </w:rPr>
              <w:t>Actual Cerebru architecture/API, identity and sandbox</w:t>
            </w:r>
          </w:p>
        </w:tc>
        <w:tc>
          <w:tcPr>
            <w:tcW w:type="dxa" w:w="2635"/>
            <w:vAlign w:val="center"/>
            <w:shd w:fill="F0F4F7"/>
            <w:tcMar>
              <w:top w:w="70" w:type="dxa"/>
              <w:bottom w:w="70" w:type="dxa"/>
              <w:left w:w="85" w:type="dxa"/>
              <w:right w:w="85" w:type="dxa"/>
            </w:tcMar>
          </w:tcPr>
          <w:p>
            <w:pPr>
              <w:spacing w:after="0" w:line="245" w:lineRule="auto"/>
            </w:pPr>
            <w:r>
              <w:t>A obtains from project owner; confirm architecture and sandbox access in Week 1, before M2.</w:t>
            </w:r>
          </w:p>
        </w:tc>
        <w:tc>
          <w:tcPr>
            <w:tcW w:type="dxa" w:w="3802"/>
            <w:vAlign w:val="center"/>
            <w:shd w:fill="F0F4F7"/>
            <w:tcMar>
              <w:top w:w="70" w:type="dxa"/>
              <w:bottom w:w="70" w:type="dxa"/>
              <w:left w:w="85" w:type="dxa"/>
              <w:right w:w="85" w:type="dxa"/>
            </w:tcMar>
          </w:tcPr>
          <w:p>
            <w:pPr>
              <w:spacing w:after="0" w:line="245" w:lineRule="auto"/>
            </w:pPr>
            <w:r>
              <w:rPr>
                <w:b w:val="0"/>
                <w:color w:val="000000"/>
                <w:sz w:val="18"/>
              </w:rPr>
              <w:t>M2 and integrated release block without it. Continue fixtures and independent features; never invent endpoints.</w:t>
            </w:r>
          </w:p>
        </w:tc>
      </w:tr>
      <w:tr>
        <w:trPr>
          <w:cantSplit/>
        </w:trPr>
        <w:tc>
          <w:tcPr>
            <w:tcW w:type="dxa" w:w="3312"/>
            <w:vAlign w:val="center"/>
            <w:shd w:fill="FFFFFF"/>
            <w:tcMar>
              <w:top w:w="70" w:type="dxa"/>
              <w:bottom w:w="70" w:type="dxa"/>
              <w:left w:w="85" w:type="dxa"/>
              <w:right w:w="85" w:type="dxa"/>
            </w:tcMar>
          </w:tcPr>
          <w:p>
            <w:pPr>
              <w:spacing w:after="0" w:line="245" w:lineRule="auto"/>
            </w:pPr>
            <w:r>
              <w:rPr>
                <w:b w:val="0"/>
                <w:color w:val="000000"/>
                <w:sz w:val="18"/>
              </w:rPr>
              <w:t>Client/grant model, team versus cohort, transfers and multi-client staff</w:t>
            </w:r>
          </w:p>
        </w:tc>
        <w:tc>
          <w:tcPr>
            <w:tcW w:type="dxa" w:w="2635"/>
            <w:vAlign w:val="center"/>
            <w:shd w:fill="FFFFFF"/>
            <w:tcMar>
              <w:top w:w="70" w:type="dxa"/>
              <w:bottom w:w="70" w:type="dxa"/>
              <w:left w:w="85" w:type="dxa"/>
              <w:right w:w="85" w:type="dxa"/>
            </w:tcMar>
          </w:tcPr>
          <w:p>
            <w:pPr>
              <w:spacing w:after="0" w:line="245" w:lineRule="auto"/>
            </w:pPr>
            <w:r>
              <w:t>Project owner decides with A; before M1 constraints freeze.</w:t>
            </w:r>
          </w:p>
        </w:tc>
        <w:tc>
          <w:tcPr>
            <w:tcW w:type="dxa" w:w="3802"/>
            <w:vAlign w:val="center"/>
            <w:shd w:fill="FFFFFF"/>
            <w:tcMar>
              <w:top w:w="70" w:type="dxa"/>
              <w:bottom w:w="70" w:type="dxa"/>
              <w:left w:w="85" w:type="dxa"/>
              <w:right w:w="85" w:type="dxa"/>
            </w:tcMar>
          </w:tcPr>
          <w:p>
            <w:pPr>
              <w:spacing w:after="0" w:line="245" w:lineRule="auto"/>
            </w:pPr>
            <w:r>
              <w:rPr>
                <w:b w:val="0"/>
                <w:color w:val="000000"/>
                <w:sz w:val="18"/>
              </w:rPr>
              <w:t>Changes can alter migrations and every policy. Default to explicit single-client membership and no implicit transfer.</w:t>
            </w:r>
          </w:p>
        </w:tc>
      </w:tr>
      <w:tr>
        <w:trPr>
          <w:cantSplit/>
        </w:trPr>
        <w:tc>
          <w:tcPr>
            <w:tcW w:type="dxa" w:w="3312"/>
            <w:vAlign w:val="center"/>
            <w:shd w:fill="F0F4F7"/>
            <w:tcMar>
              <w:top w:w="70" w:type="dxa"/>
              <w:bottom w:w="70" w:type="dxa"/>
              <w:left w:w="85" w:type="dxa"/>
              <w:right w:w="85" w:type="dxa"/>
            </w:tcMar>
          </w:tcPr>
          <w:p>
            <w:pPr>
              <w:spacing w:after="0" w:line="245" w:lineRule="auto"/>
            </w:pPr>
            <w:r>
              <w:rPr>
                <w:b w:val="0"/>
                <w:color w:val="000000"/>
                <w:sz w:val="18"/>
              </w:rPr>
              <w:t>30 calendar days versus 30 working days; reporting timezone and partial week</w:t>
            </w:r>
          </w:p>
        </w:tc>
        <w:tc>
          <w:tcPr>
            <w:tcW w:type="dxa" w:w="2635"/>
            <w:vAlign w:val="center"/>
            <w:shd w:fill="F0F4F7"/>
            <w:tcMar>
              <w:top w:w="70" w:type="dxa"/>
              <w:bottom w:w="70" w:type="dxa"/>
              <w:left w:w="85" w:type="dxa"/>
              <w:right w:w="85" w:type="dxa"/>
            </w:tcMar>
          </w:tcPr>
          <w:p>
            <w:pPr>
              <w:spacing w:after="0" w:line="245" w:lineRule="auto"/>
            </w:pPr>
            <w:r>
              <w:t>Project owner with coordinator; before M4.</w:t>
            </w:r>
          </w:p>
        </w:tc>
        <w:tc>
          <w:tcPr>
            <w:tcW w:type="dxa" w:w="3802"/>
            <w:vAlign w:val="center"/>
            <w:shd w:fill="F0F4F7"/>
            <w:tcMar>
              <w:top w:w="70" w:type="dxa"/>
              <w:bottom w:w="70" w:type="dxa"/>
              <w:left w:w="85" w:type="dxa"/>
              <w:right w:w="85" w:type="dxa"/>
            </w:tcMar>
          </w:tcPr>
          <w:p>
            <w:pPr>
              <w:spacing w:after="0" w:line="245" w:lineRule="auto"/>
            </w:pPr>
            <w:r>
              <w:rPr>
                <w:b w:val="0"/>
                <w:color w:val="000000"/>
                <w:sz w:val="18"/>
              </w:rPr>
              <w:t>Changes calendar, workload and report denominators. Proposed 30 calendar days is provisional.</w:t>
            </w:r>
          </w:p>
        </w:tc>
      </w:tr>
      <w:tr>
        <w:trPr>
          <w:cantSplit/>
        </w:trPr>
        <w:tc>
          <w:tcPr>
            <w:tcW w:type="dxa" w:w="3312"/>
            <w:vAlign w:val="center"/>
            <w:shd w:fill="FFFFFF"/>
            <w:tcMar>
              <w:top w:w="70" w:type="dxa"/>
              <w:bottom w:w="70" w:type="dxa"/>
              <w:left w:w="85" w:type="dxa"/>
              <w:right w:w="85" w:type="dxa"/>
            </w:tcMar>
          </w:tcPr>
          <w:p>
            <w:pPr>
              <w:spacing w:after="0" w:line="245" w:lineRule="auto"/>
            </w:pPr>
            <w:r>
              <w:rPr>
                <w:b w:val="0"/>
                <w:color w:val="000000"/>
                <w:sz w:val="18"/>
              </w:rPr>
              <w:t>Next-week adjustment versus existing N+2 freeze</w:t>
            </w:r>
          </w:p>
        </w:tc>
        <w:tc>
          <w:tcPr>
            <w:tcW w:type="dxa" w:w="2635"/>
            <w:vAlign w:val="center"/>
            <w:shd w:fill="FFFFFF"/>
            <w:tcMar>
              <w:top w:w="70" w:type="dxa"/>
              <w:bottom w:w="70" w:type="dxa"/>
              <w:left w:w="85" w:type="dxa"/>
              <w:right w:w="85" w:type="dxa"/>
            </w:tcMar>
          </w:tcPr>
          <w:p>
            <w:pPr>
              <w:spacing w:after="0" w:line="245" w:lineRule="auto"/>
            </w:pPr>
            <w:r>
              <w:t>Project owner with A; decision before M4/M5.</w:t>
            </w:r>
          </w:p>
        </w:tc>
        <w:tc>
          <w:tcPr>
            <w:tcW w:type="dxa" w:w="3802"/>
            <w:vAlign w:val="center"/>
            <w:shd w:fill="FFFFFF"/>
            <w:tcMar>
              <w:top w:w="70" w:type="dxa"/>
              <w:bottom w:w="70" w:type="dxa"/>
              <w:left w:w="85" w:type="dxa"/>
              <w:right w:w="85" w:type="dxa"/>
            </w:tcMar>
          </w:tcPr>
          <w:p>
            <w:pPr>
              <w:spacing w:after="0" w:line="245" w:lineRule="auto"/>
            </w:pPr>
            <w:r>
              <w:rPr>
                <w:b w:val="0"/>
                <w:color w:val="000000"/>
                <w:sz w:val="18"/>
              </w:rPr>
              <w:t>Choose reviewed future-only policy. If next-week edits are required, add eligibility/freeze/version rules and re-estimate; no retroactive edits to started work.</w:t>
            </w:r>
          </w:p>
        </w:tc>
      </w:tr>
      <w:tr>
        <w:trPr>
          <w:cantSplit/>
        </w:trPr>
        <w:tc>
          <w:tcPr>
            <w:tcW w:type="dxa" w:w="3312"/>
            <w:vAlign w:val="center"/>
            <w:shd w:fill="F0F4F7"/>
            <w:tcMar>
              <w:top w:w="70" w:type="dxa"/>
              <w:bottom w:w="70" w:type="dxa"/>
              <w:left w:w="85" w:type="dxa"/>
              <w:right w:w="85" w:type="dxa"/>
            </w:tcMar>
          </w:tcPr>
          <w:p>
            <w:pPr>
              <w:spacing w:after="0" w:line="245" w:lineRule="auto"/>
            </w:pPr>
            <w:r>
              <w:rPr>
                <w:b w:val="0"/>
                <w:color w:val="000000"/>
                <w:sz w:val="18"/>
              </w:rPr>
              <w:t>Rubrics, KPI definitions, success criteria and content/resources</w:t>
            </w:r>
          </w:p>
        </w:tc>
        <w:tc>
          <w:tcPr>
            <w:tcW w:type="dxa" w:w="2635"/>
            <w:vAlign w:val="center"/>
            <w:shd w:fill="F0F4F7"/>
            <w:tcMar>
              <w:top w:w="70" w:type="dxa"/>
              <w:bottom w:w="70" w:type="dxa"/>
              <w:left w:w="85" w:type="dxa"/>
              <w:right w:w="85" w:type="dxa"/>
            </w:tcMar>
          </w:tcPr>
          <w:p>
            <w:pPr>
              <w:spacing w:after="0" w:line="245" w:lineRule="auto"/>
            </w:pPr>
            <w:r>
              <w:rPr>
                <w:b w:val="0"/>
                <w:color w:val="000000"/>
                <w:sz w:val="18"/>
              </w:rPr>
              <w:t>Project owner supplies coordinator/content owner; before M3/M4.</w:t>
            </w:r>
          </w:p>
        </w:tc>
        <w:tc>
          <w:tcPr>
            <w:tcW w:type="dxa" w:w="3802"/>
            <w:vAlign w:val="center"/>
            <w:shd w:fill="F0F4F7"/>
            <w:tcMar>
              <w:top w:w="70" w:type="dxa"/>
              <w:bottom w:w="70" w:type="dxa"/>
              <w:left w:w="85" w:type="dxa"/>
              <w:right w:w="85" w:type="dxa"/>
            </w:tcMar>
          </w:tcPr>
          <w:p>
            <w:pPr>
              <w:spacing w:after="0" w:line="245" w:lineRule="auto"/>
            </w:pPr>
            <w:r>
              <w:rPr>
                <w:b w:val="0"/>
                <w:color w:val="000000"/>
                <w:sz w:val="18"/>
              </w:rPr>
              <w:t>Blocks meaningful scoring/calibration. Synthetic examples may show mechanics only.</w:t>
            </w:r>
          </w:p>
        </w:tc>
      </w:tr>
      <w:tr>
        <w:trPr>
          <w:cantSplit/>
        </w:trPr>
        <w:tc>
          <w:tcPr>
            <w:tcW w:type="dxa" w:w="3312"/>
            <w:vAlign w:val="center"/>
            <w:shd w:fill="FFFFFF"/>
            <w:tcMar>
              <w:top w:w="70" w:type="dxa"/>
              <w:bottom w:w="70" w:type="dxa"/>
              <w:left w:w="85" w:type="dxa"/>
              <w:right w:w="85" w:type="dxa"/>
            </w:tcMar>
          </w:tcPr>
          <w:p>
            <w:pPr>
              <w:spacing w:after="0" w:line="245" w:lineRule="auto"/>
            </w:pPr>
            <w:r>
              <w:rPr>
                <w:b w:val="0"/>
                <w:color w:val="000000"/>
                <w:sz w:val="18"/>
              </w:rPr>
              <w:t>AI data policy, provider/models and spend cap</w:t>
            </w:r>
          </w:p>
        </w:tc>
        <w:tc>
          <w:tcPr>
            <w:tcW w:type="dxa" w:w="2635"/>
            <w:vAlign w:val="center"/>
            <w:shd w:fill="FFFFFF"/>
            <w:tcMar>
              <w:top w:w="70" w:type="dxa"/>
              <w:bottom w:w="70" w:type="dxa"/>
              <w:left w:w="85" w:type="dxa"/>
              <w:right w:w="85" w:type="dxa"/>
            </w:tcMar>
          </w:tcPr>
          <w:p>
            <w:pPr>
              <w:spacing w:after="0" w:line="245" w:lineRule="auto"/>
            </w:pPr>
            <w:r>
              <w:rPr>
                <w:b w:val="0"/>
                <w:color w:val="000000"/>
                <w:sz w:val="18"/>
              </w:rPr>
              <w:t>Project owner approves A’s request; before first paid call and M7.</w:t>
            </w:r>
          </w:p>
        </w:tc>
        <w:tc>
          <w:tcPr>
            <w:tcW w:type="dxa" w:w="3802"/>
            <w:vAlign w:val="center"/>
            <w:shd w:fill="FFFFFF"/>
            <w:tcMar>
              <w:top w:w="70" w:type="dxa"/>
              <w:bottom w:w="70" w:type="dxa"/>
              <w:left w:w="85" w:type="dxa"/>
              <w:right w:w="85" w:type="dxa"/>
            </w:tcMar>
          </w:tcPr>
          <w:p>
            <w:pPr>
              <w:spacing w:after="0" w:line="245" w:lineRule="auto"/>
            </w:pPr>
            <w:r>
              <w:rPr>
                <w:b w:val="0"/>
                <w:color w:val="000000"/>
                <w:sz w:val="18"/>
              </w:rPr>
              <w:t>Mocks remain available; live quality and cost acceptance remain open.</w:t>
            </w:r>
          </w:p>
        </w:tc>
      </w:tr>
      <w:tr>
        <w:trPr>
          <w:cantSplit/>
        </w:trPr>
        <w:tc>
          <w:tcPr>
            <w:tcW w:type="dxa" w:w="3312"/>
            <w:vAlign w:val="center"/>
            <w:shd w:fill="F0F4F7"/>
            <w:tcMar>
              <w:top w:w="70" w:type="dxa"/>
              <w:bottom w:w="70" w:type="dxa"/>
              <w:left w:w="85" w:type="dxa"/>
              <w:right w:w="85" w:type="dxa"/>
            </w:tcMar>
          </w:tcPr>
          <w:p>
            <w:pPr>
              <w:spacing w:after="0" w:line="245" w:lineRule="auto"/>
            </w:pPr>
            <w:r>
              <w:rPr>
                <w:b w:val="0"/>
                <w:color w:val="000000"/>
                <w:sz w:val="18"/>
              </w:rPr>
              <w:t>Host, SMTP, retention, erasure, RPO/RTO and support</w:t>
            </w:r>
          </w:p>
        </w:tc>
        <w:tc>
          <w:tcPr>
            <w:tcW w:type="dxa" w:w="2635"/>
            <w:vAlign w:val="center"/>
            <w:shd w:fill="F0F4F7"/>
            <w:tcMar>
              <w:top w:w="70" w:type="dxa"/>
              <w:bottom w:w="70" w:type="dxa"/>
              <w:left w:w="85" w:type="dxa"/>
              <w:right w:w="85" w:type="dxa"/>
            </w:tcMar>
          </w:tcPr>
          <w:p>
            <w:pPr>
              <w:spacing w:after="0" w:line="245" w:lineRule="auto"/>
            </w:pPr>
            <w:r>
              <w:rPr>
                <w:b w:val="0"/>
                <w:color w:val="000000"/>
                <w:sz w:val="18"/>
              </w:rPr>
              <w:t>Project owner approves; A specifies by M2, available before M7.</w:t>
            </w:r>
          </w:p>
        </w:tc>
        <w:tc>
          <w:tcPr>
            <w:tcW w:type="dxa" w:w="3802"/>
            <w:vAlign w:val="center"/>
            <w:shd w:fill="F0F4F7"/>
            <w:tcMar>
              <w:top w:w="70" w:type="dxa"/>
              <w:bottom w:w="70" w:type="dxa"/>
              <w:left w:w="85" w:type="dxa"/>
              <w:right w:w="85" w:type="dxa"/>
            </w:tcMar>
          </w:tcPr>
          <w:p>
            <w:pPr>
              <w:spacing w:after="0" w:line="245" w:lineRule="auto"/>
            </w:pPr>
            <w:r>
              <w:rPr>
                <w:b w:val="0"/>
                <w:color w:val="000000"/>
                <w:sz w:val="18"/>
              </w:rPr>
              <w:t>Operational and live-data gates block. Use isolated staging/sinks until qualified.</w:t>
            </w:r>
          </w:p>
        </w:tc>
      </w:tr>
      <w:tr>
        <w:trPr>
          <w:cantSplit/>
        </w:trPr>
        <w:tc>
          <w:tcPr>
            <w:tcW w:type="dxa" w:w="3312"/>
            <w:vAlign w:val="center"/>
            <w:shd w:fill="FFFFFF"/>
            <w:tcMar>
              <w:top w:w="70" w:type="dxa"/>
              <w:bottom w:w="70" w:type="dxa"/>
              <w:left w:w="85" w:type="dxa"/>
              <w:right w:w="85" w:type="dxa"/>
            </w:tcMar>
          </w:tcPr>
          <w:p>
            <w:pPr>
              <w:spacing w:after="0" w:line="245" w:lineRule="auto"/>
            </w:pPr>
            <w:r>
              <w:rPr>
                <w:b w:val="0"/>
                <w:color w:val="000000"/>
                <w:sz w:val="18"/>
              </w:rPr>
              <w:t>Pilot participants and independent human review</w:t>
            </w:r>
          </w:p>
        </w:tc>
        <w:tc>
          <w:tcPr>
            <w:tcW w:type="dxa" w:w="2635"/>
            <w:vAlign w:val="center"/>
            <w:shd w:fill="FFFFFF"/>
            <w:tcMar>
              <w:top w:w="70" w:type="dxa"/>
              <w:bottom w:w="70" w:type="dxa"/>
              <w:left w:w="85" w:type="dxa"/>
              <w:right w:w="85" w:type="dxa"/>
            </w:tcMar>
          </w:tcPr>
          <w:p>
            <w:pPr>
              <w:spacing w:after="0" w:line="245" w:lineRule="auto"/>
            </w:pPr>
            <w:r>
              <w:t>Project owner arranges; B schedules in Week 1 so observation can overlap implementation.</w:t>
            </w:r>
          </w:p>
        </w:tc>
        <w:tc>
          <w:tcPr>
            <w:tcW w:type="dxa" w:w="3802"/>
            <w:vAlign w:val="center"/>
            <w:shd w:fill="FFFFFF"/>
            <w:tcMar>
              <w:top w:w="70" w:type="dxa"/>
              <w:bottom w:w="70" w:type="dxa"/>
              <w:left w:w="85" w:type="dxa"/>
              <w:right w:w="85" w:type="dxa"/>
            </w:tcMar>
          </w:tcPr>
          <w:p>
            <w:pPr>
              <w:spacing w:after="0" w:line="245" w:lineRule="auto"/>
            </w:pPr>
            <w:r>
              <w:rPr>
                <w:b w:val="0"/>
                <w:color w:val="000000"/>
                <w:sz w:val="18"/>
              </w:rPr>
              <w:t>M7 observation and calibration may extend the schedule. Do not substitute developer fixtures for human acceptance.</w:t>
            </w:r>
          </w:p>
        </w:tc>
      </w:tr>
    </w:tbl>
    <w:p>
      <w:pPr>
        <w:spacing w:after="0"/>
      </w:pPr>
    </w:p>
    <w:p>
      <w:pPr>
        <w:pStyle w:val="Heading2"/>
      </w:pPr>
      <w:r>
        <w:t>Key risk controls</w:t>
      </w:r>
    </w:p>
    <w:p>
      <w:r>
        <w:rPr>
          <w:rFonts w:ascii="Arial" w:hAnsi="Arial"/>
          <w:b w:val="0"/>
        </w:rPr>
        <w:t>Integration discovery is the main external critical path. Tenant retrofitting and historical role assumptions are the main technical risks. Limited weekly overlap is the main coordination risk. Address them with early contracts, small migrations, automated access regressions and a fixed weekly review window. The security and integration owner’s workload is slightly higher, so avoid assigning unrelated work to A during foundation and release windows.</w:t>
      </w:r>
    </w:p>
    <w:p>
      <w:r>
        <w:rPr>
          <w:rFonts w:ascii="Arial" w:hAnsi="Arial"/>
          <w:b w:val="0"/>
        </w:rPr>
        <w:t>Reforecast when a milestone slips by more than one iteration, the Cerebru contract changes materially, a required paid service is declined, or remaining effort exceeds the reserve. State what is complete, what is mocked, the blocker owner and the next decision date. Do not convert a scope omission into a completed milestone.</w:t>
      </w:r>
    </w:p>
    <w:p>
      <w:r>
        <w:br w:type="page"/>
      </w:r>
    </w:p>
    <w:p>
      <w:pPr>
        <w:pStyle w:val="Heading1"/>
      </w:pPr>
      <w:r>
        <w:t>16 Paid services licensing and cost approval</w:t>
      </w:r>
    </w:p>
    <w:p>
      <w:r>
        <w:rPr>
          <w:rFonts w:ascii="Arial" w:hAnsi="Arial"/>
          <w:b w:val="0"/>
        </w:rPr>
        <w:t>No purchase, paid API usage, upgrade, recurring subscription or new infrastructure is approved by this document. Existing subscriptions and hosting are not presumed available. The estimates below describe cost drivers; they are not vendor quotes. Obtain current pricing and licence terms when preparing each approval 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38"/>
        <w:gridCol w:w="6811"/>
      </w:tblGrid>
      <w:tr>
        <w:trPr>
          <w:cantSplit/>
          <w:tblHeader/>
        </w:trPr>
        <w:tc>
          <w:tcPr>
            <w:tcW w:type="dxa" w:w="2938"/>
            <w:vAlign w:val="center"/>
            <w:shd w:fill="203B50"/>
            <w:tcMar>
              <w:top w:w="70" w:type="dxa"/>
              <w:bottom w:w="70" w:type="dxa"/>
              <w:left w:w="85" w:type="dxa"/>
              <w:right w:w="85" w:type="dxa"/>
            </w:tcMar>
          </w:tcPr>
          <w:p>
            <w:pPr>
              <w:spacing w:after="0" w:line="245" w:lineRule="auto"/>
            </w:pPr>
            <w:r>
              <w:rPr>
                <w:b/>
                <w:color w:val="FFFFFF"/>
                <w:sz w:val="18"/>
              </w:rPr>
              <w:t>Potential cost</w:t>
            </w:r>
          </w:p>
        </w:tc>
        <w:tc>
          <w:tcPr>
            <w:tcW w:type="dxa" w:w="6811"/>
            <w:vAlign w:val="center"/>
            <w:shd w:fill="203B50"/>
            <w:tcMar>
              <w:top w:w="70" w:type="dxa"/>
              <w:bottom w:w="70" w:type="dxa"/>
              <w:left w:w="85" w:type="dxa"/>
              <w:right w:w="85" w:type="dxa"/>
            </w:tcMar>
          </w:tcPr>
          <w:p>
            <w:pPr>
              <w:spacing w:after="0" w:line="245" w:lineRule="auto"/>
            </w:pPr>
            <w:r>
              <w:rPr>
                <w:b/>
                <w:color w:val="FFFFFF"/>
                <w:sz w:val="18"/>
              </w:rPr>
              <w:t>Driver and approval point</w:t>
            </w:r>
          </w:p>
        </w:tc>
      </w:tr>
      <w:tr>
        <w:trPr>
          <w:cantSplit/>
        </w:trPr>
        <w:tc>
          <w:tcPr>
            <w:tcW w:type="dxa" w:w="2938"/>
            <w:vAlign w:val="center"/>
            <w:shd w:fill="F0F4F7"/>
            <w:tcMar>
              <w:top w:w="70" w:type="dxa"/>
              <w:bottom w:w="70" w:type="dxa"/>
              <w:left w:w="85" w:type="dxa"/>
              <w:right w:w="85" w:type="dxa"/>
            </w:tcMar>
          </w:tcPr>
          <w:p>
            <w:pPr>
              <w:spacing w:after="0" w:line="245" w:lineRule="auto"/>
            </w:pPr>
            <w:r>
              <w:rPr>
                <w:b w:val="0"/>
                <w:color w:val="000000"/>
                <w:sz w:val="18"/>
              </w:rPr>
              <w:t>AI scoring planning analysis and chat</w:t>
            </w:r>
          </w:p>
        </w:tc>
        <w:tc>
          <w:tcPr>
            <w:tcW w:type="dxa" w:w="6811"/>
            <w:vAlign w:val="center"/>
            <w:shd w:fill="F0F4F7"/>
            <w:tcMar>
              <w:top w:w="70" w:type="dxa"/>
              <w:bottom w:w="70" w:type="dxa"/>
              <w:left w:w="85" w:type="dxa"/>
              <w:right w:w="85" w:type="dxa"/>
            </w:tcMar>
          </w:tcPr>
          <w:p>
            <w:pPr>
              <w:spacing w:after="0" w:line="245" w:lineRule="auto"/>
            </w:pPr>
            <w:r>
              <w:rPr>
                <w:b w:val="0"/>
                <w:color w:val="000000"/>
                <w:sz w:val="18"/>
              </w:rPr>
              <w:t>Input/output usage, retries, model choice and chat traffic. Approve provider, region, allowed data, per-client and total monthly caps before enabling live calls. Existing adapters do not imply billing approval.</w:t>
            </w:r>
          </w:p>
        </w:tc>
      </w:tr>
      <w:tr>
        <w:trPr>
          <w:cantSplit/>
        </w:trPr>
        <w:tc>
          <w:tcPr>
            <w:tcW w:type="dxa" w:w="2938"/>
            <w:vAlign w:val="center"/>
            <w:shd w:fill="FFFFFF"/>
            <w:tcMar>
              <w:top w:w="70" w:type="dxa"/>
              <w:bottom w:w="70" w:type="dxa"/>
              <w:left w:w="85" w:type="dxa"/>
              <w:right w:w="85" w:type="dxa"/>
            </w:tcMar>
          </w:tcPr>
          <w:p>
            <w:pPr>
              <w:spacing w:after="0" w:line="245" w:lineRule="auto"/>
            </w:pPr>
            <w:r>
              <w:rPr>
                <w:b w:val="0"/>
                <w:color w:val="000000"/>
                <w:sz w:val="18"/>
              </w:rPr>
              <w:t>Hosting and staging</w:t>
            </w:r>
          </w:p>
        </w:tc>
        <w:tc>
          <w:tcPr>
            <w:tcW w:type="dxa" w:w="6811"/>
            <w:vAlign w:val="center"/>
            <w:shd w:fill="FFFFFF"/>
            <w:tcMar>
              <w:top w:w="70" w:type="dxa"/>
              <w:bottom w:w="70" w:type="dxa"/>
              <w:left w:w="85" w:type="dxa"/>
              <w:right w:w="85" w:type="dxa"/>
            </w:tcMar>
          </w:tcPr>
          <w:p>
            <w:pPr>
              <w:spacing w:after="0" w:line="245" w:lineRule="auto"/>
            </w:pPr>
            <w:r>
              <w:rPr>
                <w:b w:val="0"/>
                <w:color w:val="000000"/>
                <w:sz w:val="18"/>
              </w:rPr>
              <w:t>Application/worker/database capacity, staging, storage, bandwidth and maintenance. Verify spare existing capacity first; approve any VM, hosting tier or managed service before provisioning.</w:t>
            </w:r>
          </w:p>
        </w:tc>
      </w:tr>
      <w:tr>
        <w:trPr>
          <w:cantSplit/>
        </w:trPr>
        <w:tc>
          <w:tcPr>
            <w:tcW w:type="dxa" w:w="2938"/>
            <w:vAlign w:val="center"/>
            <w:shd w:fill="F0F4F7"/>
            <w:tcMar>
              <w:top w:w="70" w:type="dxa"/>
              <w:bottom w:w="70" w:type="dxa"/>
              <w:left w:w="85" w:type="dxa"/>
              <w:right w:w="85" w:type="dxa"/>
            </w:tcMar>
          </w:tcPr>
          <w:p>
            <w:pPr>
              <w:spacing w:after="0" w:line="245" w:lineRule="auto"/>
            </w:pPr>
            <w:r>
              <w:rPr>
                <w:b w:val="0"/>
                <w:color w:val="000000"/>
                <w:sz w:val="18"/>
              </w:rPr>
              <w:t>Backups and monitoring</w:t>
            </w:r>
          </w:p>
        </w:tc>
        <w:tc>
          <w:tcPr>
            <w:tcW w:type="dxa" w:w="6811"/>
            <w:vAlign w:val="center"/>
            <w:shd w:fill="F0F4F7"/>
            <w:tcMar>
              <w:top w:w="70" w:type="dxa"/>
              <w:bottom w:w="70" w:type="dxa"/>
              <w:left w:w="85" w:type="dxa"/>
              <w:right w:w="85" w:type="dxa"/>
            </w:tcMar>
          </w:tcPr>
          <w:p>
            <w:pPr>
              <w:spacing w:after="0" w:line="245" w:lineRule="auto"/>
            </w:pPr>
            <w:r>
              <w:rPr>
                <w:b w:val="0"/>
                <w:color w:val="000000"/>
                <w:sz w:val="18"/>
              </w:rPr>
              <w:t>Offsite storage, retention, restore traffic, log volume and alerting. Approve recurring limits and retention; include operational labour in the infrastructure decision.</w:t>
            </w:r>
          </w:p>
        </w:tc>
      </w:tr>
      <w:tr>
        <w:trPr>
          <w:cantSplit/>
        </w:trPr>
        <w:tc>
          <w:tcPr>
            <w:tcW w:type="dxa" w:w="2938"/>
            <w:vAlign w:val="center"/>
            <w:shd w:fill="FFFFFF"/>
            <w:tcMar>
              <w:top w:w="70" w:type="dxa"/>
              <w:bottom w:w="70" w:type="dxa"/>
              <w:left w:w="85" w:type="dxa"/>
              <w:right w:w="85" w:type="dxa"/>
            </w:tcMar>
          </w:tcPr>
          <w:p>
            <w:pPr>
              <w:spacing w:after="0" w:line="245" w:lineRule="auto"/>
            </w:pPr>
            <w:r>
              <w:rPr>
                <w:b w:val="0"/>
                <w:color w:val="000000"/>
                <w:sz w:val="18"/>
              </w:rPr>
              <w:t>SMTP and sender setup</w:t>
            </w:r>
          </w:p>
        </w:tc>
        <w:tc>
          <w:tcPr>
            <w:tcW w:type="dxa" w:w="6811"/>
            <w:vAlign w:val="center"/>
            <w:shd w:fill="FFFFFF"/>
            <w:tcMar>
              <w:top w:w="70" w:type="dxa"/>
              <w:bottom w:w="70" w:type="dxa"/>
              <w:left w:w="85" w:type="dxa"/>
              <w:right w:w="85" w:type="dxa"/>
            </w:tcMar>
          </w:tcPr>
          <w:p>
            <w:pPr>
              <w:spacing w:after="0" w:line="245" w:lineRule="auto"/>
            </w:pPr>
            <w:r>
              <w:rPr>
                <w:b w:val="0"/>
                <w:color w:val="000000"/>
                <w:sz w:val="18"/>
              </w:rPr>
              <w:t>Monthly volume, dedicated features, domains and delivery monitoring. Use a local mail sink until the sender/service and any plan charge are approved.</w:t>
            </w:r>
          </w:p>
        </w:tc>
      </w:tr>
      <w:tr>
        <w:trPr>
          <w:cantSplit/>
        </w:trPr>
        <w:tc>
          <w:tcPr>
            <w:tcW w:type="dxa" w:w="2938"/>
            <w:vAlign w:val="center"/>
            <w:shd w:fill="F0F4F7"/>
            <w:tcMar>
              <w:top w:w="70" w:type="dxa"/>
              <w:bottom w:w="70" w:type="dxa"/>
              <w:left w:w="85" w:type="dxa"/>
              <w:right w:w="85" w:type="dxa"/>
            </w:tcMar>
          </w:tcPr>
          <w:p>
            <w:pPr>
              <w:spacing w:after="0" w:line="245" w:lineRule="auto"/>
            </w:pPr>
            <w:r>
              <w:rPr>
                <w:b w:val="0"/>
                <w:color w:val="000000"/>
                <w:sz w:val="18"/>
              </w:rPr>
              <w:t>Cerebru identity or integration licensing</w:t>
            </w:r>
          </w:p>
        </w:tc>
        <w:tc>
          <w:tcPr>
            <w:tcW w:type="dxa" w:w="6811"/>
            <w:vAlign w:val="center"/>
            <w:shd w:fill="F0F4F7"/>
            <w:tcMar>
              <w:top w:w="70" w:type="dxa"/>
              <w:bottom w:w="70" w:type="dxa"/>
              <w:left w:w="85" w:type="dxa"/>
              <w:right w:w="85" w:type="dxa"/>
            </w:tcMar>
          </w:tcPr>
          <w:p>
            <w:pPr>
              <w:spacing w:after="0" w:line="245" w:lineRule="auto"/>
            </w:pPr>
            <w:r>
              <w:rPr>
                <w:b w:val="0"/>
                <w:color w:val="000000"/>
                <w:sz w:val="18"/>
              </w:rPr>
              <w:t>API access, SSO tier, service accounts, user seats or connector fees may apply. Verify existing entitlements during M0–M2; do not assume API/SSO access is free.</w:t>
            </w:r>
          </w:p>
        </w:tc>
      </w:tr>
      <w:tr>
        <w:trPr>
          <w:cantSplit/>
        </w:trPr>
        <w:tc>
          <w:tcPr>
            <w:tcW w:type="dxa" w:w="2938"/>
            <w:vAlign w:val="center"/>
            <w:shd w:fill="FFFFFF"/>
            <w:tcMar>
              <w:top w:w="70" w:type="dxa"/>
              <w:bottom w:w="70" w:type="dxa"/>
              <w:left w:w="85" w:type="dxa"/>
              <w:right w:w="85" w:type="dxa"/>
            </w:tcMar>
          </w:tcPr>
          <w:p>
            <w:pPr>
              <w:spacing w:after="0" w:line="245" w:lineRule="auto"/>
            </w:pPr>
            <w:r>
              <w:rPr>
                <w:b w:val="0"/>
                <w:color w:val="000000"/>
                <w:sz w:val="18"/>
              </w:rPr>
              <w:t>OCR scanning and document processing</w:t>
            </w:r>
          </w:p>
        </w:tc>
        <w:tc>
          <w:tcPr>
            <w:tcW w:type="dxa" w:w="6811"/>
            <w:vAlign w:val="center"/>
            <w:shd w:fill="FFFFFF"/>
            <w:tcMar>
              <w:top w:w="70" w:type="dxa"/>
              <w:bottom w:w="70" w:type="dxa"/>
              <w:left w:w="85" w:type="dxa"/>
              <w:right w:w="85" w:type="dxa"/>
            </w:tcMar>
          </w:tcPr>
          <w:p>
            <w:pPr>
              <w:spacing w:after="0" w:line="245" w:lineRule="auto"/>
            </w:pPr>
            <w:r>
              <w:rPr>
                <w:b w:val="0"/>
                <w:color w:val="000000"/>
                <w:sz w:val="18"/>
              </w:rPr>
              <w:t>Check deployment licences and support obligations for chosen tools. Managed OCR/antivirus or commercial PDF SDKs are optional alternatives requiring approval.</w:t>
            </w:r>
          </w:p>
        </w:tc>
      </w:tr>
      <w:tr>
        <w:trPr>
          <w:cantSplit/>
        </w:trPr>
        <w:tc>
          <w:tcPr>
            <w:tcW w:type="dxa" w:w="2938"/>
            <w:vAlign w:val="center"/>
            <w:shd w:fill="F0F4F7"/>
            <w:tcMar>
              <w:top w:w="70" w:type="dxa"/>
              <w:bottom w:w="70" w:type="dxa"/>
              <w:left w:w="85" w:type="dxa"/>
              <w:right w:w="85" w:type="dxa"/>
            </w:tcMar>
          </w:tcPr>
          <w:p>
            <w:pPr>
              <w:spacing w:after="0" w:line="245" w:lineRule="auto"/>
            </w:pPr>
            <w:r>
              <w:rPr>
                <w:b w:val="0"/>
                <w:color w:val="000000"/>
                <w:sz w:val="18"/>
              </w:rPr>
              <w:t>Reporting charts and branding</w:t>
            </w:r>
          </w:p>
        </w:tc>
        <w:tc>
          <w:tcPr>
            <w:tcW w:type="dxa" w:w="6811"/>
            <w:vAlign w:val="center"/>
            <w:shd w:fill="F0F4F7"/>
            <w:tcMar>
              <w:top w:w="70" w:type="dxa"/>
              <w:bottom w:w="70" w:type="dxa"/>
              <w:left w:w="85" w:type="dxa"/>
              <w:right w:w="85" w:type="dxa"/>
            </w:tcMar>
          </w:tcPr>
          <w:p>
            <w:pPr>
              <w:spacing w:after="0" w:line="245" w:lineRule="auto"/>
            </w:pPr>
            <w:r>
              <w:rPr>
                <w:b w:val="0"/>
                <w:color w:val="000000"/>
                <w:sz w:val="18"/>
              </w:rPr>
              <w:t>Review chart/export library licences, fonts and asset rights. Premium charting, BI platforms, custom domains and managed certificates are outside baseline unless approved.</w:t>
            </w:r>
          </w:p>
        </w:tc>
      </w:tr>
      <w:tr>
        <w:trPr>
          <w:cantSplit/>
        </w:trPr>
        <w:tc>
          <w:tcPr>
            <w:tcW w:type="dxa" w:w="2938"/>
            <w:vAlign w:val="center"/>
            <w:shd w:fill="FFFFFF"/>
            <w:tcMar>
              <w:top w:w="70" w:type="dxa"/>
              <w:bottom w:w="70" w:type="dxa"/>
              <w:left w:w="85" w:type="dxa"/>
              <w:right w:w="85" w:type="dxa"/>
            </w:tcMar>
          </w:tcPr>
          <w:p>
            <w:pPr>
              <w:spacing w:after="0" w:line="245" w:lineRule="auto"/>
            </w:pPr>
            <w:r>
              <w:rPr>
                <w:b w:val="0"/>
                <w:color w:val="000000"/>
                <w:sz w:val="18"/>
              </w:rPr>
              <w:t>Optional search and developer tools</w:t>
            </w:r>
          </w:p>
        </w:tc>
        <w:tc>
          <w:tcPr>
            <w:tcW w:type="dxa" w:w="6811"/>
            <w:vAlign w:val="center"/>
            <w:shd w:fill="FFFFFF"/>
            <w:tcMar>
              <w:top w:w="70" w:type="dxa"/>
              <w:bottom w:w="70" w:type="dxa"/>
              <w:left w:w="85" w:type="dxa"/>
              <w:right w:w="85" w:type="dxa"/>
            </w:tcMar>
          </w:tcPr>
          <w:p>
            <w:pPr>
              <w:spacing w:after="0" w:line="245" w:lineRule="auto"/>
            </w:pPr>
            <w:r>
              <w:rPr>
                <w:b w:val="0"/>
                <w:color w:val="000000"/>
                <w:sz w:val="18"/>
              </w:rPr>
              <w:t>External vector search, embeddings, additional CI minutes/storage and extra developer/AI-tool seats require a business case and approval. Basic chat should first use authorised relational context.</w:t>
            </w:r>
          </w:p>
        </w:tc>
      </w:tr>
    </w:tbl>
    <w:p>
      <w:pPr>
        <w:spacing w:after="0"/>
      </w:pPr>
    </w:p>
    <w:p>
      <w:pPr>
        <w:pStyle w:val="Heading2"/>
      </w:pPr>
      <w:r>
        <w:t>Approval packet before commitment</w:t>
      </w:r>
    </w:p>
    <w:p>
      <w:r>
        <w:rPr>
          <w:rFonts w:ascii="Arial" w:hAnsi="Arial"/>
          <w:b w:val="0"/>
        </w:rPr>
        <w:t>Developer A prepares one request per service: purpose, lower-cost/existing alternative, current vendor quote and date, currency/taxes, one-time setup cost, expected and worst-case monthly usage, hard cap, data handling, licence obligations, renewal/cancellation and accountable owner. Developer B estimates feature usage and validates that the proposed service is actually required. The project owner records approval before credentials are enabled or purchasing occurs.</w:t>
      </w:r>
    </w:p>
    <w:p>
      <w:pPr>
        <w:pStyle w:val="Heading2"/>
      </w:pPr>
      <w:r>
        <w:t>Budget measurement</w:t>
      </w:r>
    </w:p>
    <w:p>
      <w:r>
        <w:rPr>
          <w:rFonts w:ascii="Arial" w:hAnsi="Arial"/>
          <w:b w:val="0"/>
        </w:rPr>
        <w:t>Estimate monthly AI usage from assessment analyses, plan generations, weekly analyses and chat turns, multiplied by measured input/output usage and approved rates, with bounded retries. Add fixed hosting, storage, SMTP and monitoring charges. Track spend by client and task; reserve budget before queue admission and stop at the approved ceiling. No automatic paid upgrade or higher-cost fallback is permitted.</w:t>
      </w:r>
    </w:p>
    <w:p>
      <w:r>
        <w:br w:type="page"/>
      </w:r>
    </w:p>
    <w:p>
      <w:pPr>
        <w:pStyle w:val="Heading1"/>
      </w:pPr>
      <w:r>
        <w:t>17 First actions and reference register</w:t>
      </w:r>
    </w:p>
    <w:p>
      <w:pPr>
        <w:pStyle w:val="Heading2"/>
      </w:pPr>
      <w:r>
        <w:t>First two weeks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8525"/>
      </w:tblGrid>
      <w:tr>
        <w:trPr>
          <w:cantSplit/>
        </w:trPr>
        <w:tc>
          <w:tcPr>
            <w:tcW w:type="dxa" w:w="1224"/>
            <w:vAlign w:val="center"/>
            <w:shd w:fill="F0F4F7"/>
            <w:tcMar>
              <w:top w:w="70" w:type="dxa"/>
              <w:bottom w:w="70" w:type="dxa"/>
              <w:left w:w="85" w:type="dxa"/>
              <w:right w:w="85" w:type="dxa"/>
            </w:tcMar>
          </w:tcPr>
          <w:p>
            <w:r>
              <w:rPr>
                <w:b/>
              </w:rPr>
              <w:t>Developer</w:t>
            </w:r>
          </w:p>
        </w:tc>
        <w:tc>
          <w:tcPr>
            <w:tcW w:type="dxa" w:w="8525"/>
            <w:vAlign w:val="center"/>
            <w:shd w:fill="F0F4F7"/>
            <w:tcMar>
              <w:top w:w="70" w:type="dxa"/>
              <w:bottom w:w="70" w:type="dxa"/>
              <w:left w:w="85" w:type="dxa"/>
              <w:right w:w="85" w:type="dxa"/>
            </w:tcMar>
          </w:tcPr>
          <w:p>
            <w:r>
              <w:rPr>
                <w:b/>
              </w:rPr>
              <w:t>Initial deliverables within the shared timeline</w:t>
            </w:r>
          </w:p>
        </w:tc>
      </w:tr>
      <w:tr>
        <w:trPr>
          <w:cantSplit/>
        </w:trPr>
        <w:tc>
          <w:tcPr>
            <w:tcW w:type="dxa" w:w="1224"/>
            <w:vAlign w:val="center"/>
            <w:shd w:fill="F0F4F7"/>
            <w:tcMar>
              <w:top w:w="70" w:type="dxa"/>
              <w:bottom w:w="70" w:type="dxa"/>
              <w:left w:w="85" w:type="dxa"/>
              <w:right w:w="85" w:type="dxa"/>
            </w:tcMar>
          </w:tcPr>
          <w:p>
            <w:r>
              <w:rPr>
                <w:b w:val="0"/>
              </w:rPr>
              <w:t>A</w:t>
            </w:r>
          </w:p>
        </w:tc>
        <w:tc>
          <w:tcPr>
            <w:tcW w:type="dxa" w:w="8525"/>
            <w:vAlign w:val="center"/>
            <w:shd w:fill="F0F4F7"/>
            <w:tcMar>
              <w:top w:w="70" w:type="dxa"/>
              <w:bottom w:w="70" w:type="dxa"/>
              <w:left w:w="85" w:type="dxa"/>
              <w:right w:w="85" w:type="dxa"/>
            </w:tcMar>
          </w:tcPr>
          <w:p>
            <w:r>
              <w:rPr>
                <w:b w:val="0"/>
              </w:rPr>
              <w:t>M0 Authentik adapter and security controls; M1 client/grant schema, migration inventory and actor-context contract; confirm Cerebru sandbox access.</w:t>
            </w:r>
          </w:p>
        </w:tc>
      </w:tr>
      <w:tr>
        <w:trPr>
          <w:cantSplit/>
        </w:trPr>
        <w:tc>
          <w:tcPr>
            <w:tcW w:type="dxa" w:w="1224"/>
            <w:vAlign w:val="center"/>
            <w:shd w:fill="F0F4F7"/>
            <w:tcMar>
              <w:top w:w="70" w:type="dxa"/>
              <w:bottom w:w="70" w:type="dxa"/>
              <w:left w:w="85" w:type="dxa"/>
              <w:right w:w="85" w:type="dxa"/>
            </w:tcMar>
          </w:tcPr>
          <w:p>
            <w:r>
              <w:rPr>
                <w:b w:val="0"/>
              </w:rPr>
              <w:t>B</w:t>
            </w:r>
          </w:p>
        </w:tc>
        <w:tc>
          <w:tcPr>
            <w:tcW w:type="dxa" w:w="8525"/>
            <w:vAlign w:val="center"/>
            <w:shd w:fill="F0F4F7"/>
            <w:tcMar>
              <w:top w:w="70" w:type="dxa"/>
              <w:bottom w:w="70" w:type="dxa"/>
              <w:left w:w="85" w:type="dxa"/>
              <w:right w:w="85" w:type="dxa"/>
            </w:tcMar>
          </w:tcPr>
          <w:p>
            <w:r>
              <w:rPr>
                <w:b w:val="0"/>
              </w:rPr>
              <w:t>M0 Authentik sign-in and failure-state journey checks; M1 client/member screens and multi-client isolation fixtures.</w:t>
            </w:r>
          </w:p>
        </w:tc>
      </w:tr>
    </w:tbl>
    <w:p>
      <w:pPr>
        <w:spacing w:after="0"/>
      </w:pPr>
    </w:p>
    <w:p>
      <w:r>
        <w:t>Review the shared forecast, integration access and developer availability together. Agree the identity and client contracts and demonstrate the first isolation fixture. Confirm working overlap around the other priority tasks and projects of both developers.</w:t>
      </w:r>
    </w:p>
    <w:p>
      <w:pPr>
        <w:pStyle w:val="Heading2"/>
      </w:pPr>
      <w:r>
        <w:t>Decisions to record without delaying independent work</w:t>
      </w:r>
    </w:p>
    <w:p>
      <w:r>
        <w:t>Record client membership and cross-client staff policy, source-of-truth ownership, the 30-day definition, adjustment timing, report/export format and sensitive-data visibility. Obtain Cerebru contract access, identify human content/review owners and nominate the cost/release approver. Architecture and schema decisions are due before dependent implementation; actual paid services are approved only after a concrete proposal exists.</w:t>
      </w:r>
    </w:p>
    <w:p>
      <w:pPr>
        <w:pStyle w:val="Heading2"/>
      </w:pPr>
      <w:r>
        <w:t>Reference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861"/>
      </w:tblGrid>
      <w:tr>
        <w:trPr>
          <w:cantSplit/>
          <w:tblHeader/>
        </w:trPr>
        <w:tc>
          <w:tcPr>
            <w:tcW w:type="dxa" w:w="3888"/>
            <w:vAlign w:val="center"/>
            <w:shd w:fill="203B50"/>
            <w:tcMar>
              <w:top w:w="70" w:type="dxa"/>
              <w:bottom w:w="70" w:type="dxa"/>
              <w:left w:w="85" w:type="dxa"/>
              <w:right w:w="85" w:type="dxa"/>
            </w:tcMar>
          </w:tcPr>
          <w:p>
            <w:pPr>
              <w:spacing w:after="0" w:line="245" w:lineRule="auto"/>
            </w:pPr>
            <w:r>
              <w:rPr>
                <w:b/>
                <w:color w:val="FFFFFF"/>
                <w:sz w:val="18"/>
              </w:rPr>
              <w:t>Reference</w:t>
            </w:r>
          </w:p>
        </w:tc>
        <w:tc>
          <w:tcPr>
            <w:tcW w:type="dxa" w:w="5861"/>
            <w:vAlign w:val="center"/>
            <w:shd w:fill="203B50"/>
            <w:tcMar>
              <w:top w:w="70" w:type="dxa"/>
              <w:bottom w:w="70" w:type="dxa"/>
              <w:left w:w="85" w:type="dxa"/>
              <w:right w:w="85" w:type="dxa"/>
            </w:tcMar>
          </w:tcPr>
          <w:p>
            <w:pPr>
              <w:spacing w:after="0" w:line="245" w:lineRule="auto"/>
            </w:pPr>
            <w:r>
              <w:rPr>
                <w:b/>
                <w:color w:val="FFFFFF"/>
                <w:sz w:val="18"/>
              </w:rPr>
              <w:t>Use in this plan</w:t>
            </w:r>
          </w:p>
        </w:tc>
      </w:tr>
      <w:tr>
        <w:trPr>
          <w:cantSplit/>
        </w:trPr>
        <w:tc>
          <w:tcPr>
            <w:tcW w:type="dxa" w:w="3888"/>
            <w:vAlign w:val="center"/>
            <w:shd w:fill="F0F4F7"/>
            <w:tcMar>
              <w:top w:w="70" w:type="dxa"/>
              <w:bottom w:w="70" w:type="dxa"/>
              <w:left w:w="85" w:type="dxa"/>
              <w:right w:w="85" w:type="dxa"/>
            </w:tcMar>
          </w:tcPr>
          <w:p>
            <w:pPr>
              <w:spacing w:after="0" w:line="245" w:lineRule="auto"/>
            </w:pPr>
            <w:r>
              <w:rPr>
                <w:b w:val="0"/>
                <w:color w:val="000000"/>
                <w:sz w:val="18"/>
              </w:rPr>
              <w:t>docs/Training Assessment Tracker V2.pdf</w:t>
            </w:r>
          </w:p>
        </w:tc>
        <w:tc>
          <w:tcPr>
            <w:tcW w:type="dxa" w:w="5861"/>
            <w:vAlign w:val="center"/>
            <w:shd w:fill="F0F4F7"/>
            <w:tcMar>
              <w:top w:w="70" w:type="dxa"/>
              <w:bottom w:w="70" w:type="dxa"/>
              <w:left w:w="85" w:type="dxa"/>
              <w:right w:w="85" w:type="dxa"/>
            </w:tcMar>
          </w:tcPr>
          <w:p>
            <w:pPr>
              <w:spacing w:after="0" w:line="245" w:lineRule="auto"/>
            </w:pPr>
            <w:r>
              <w:rPr>
                <w:b w:val="0"/>
                <w:color w:val="000000"/>
                <w:sz w:val="18"/>
              </w:rPr>
              <w:t>Primary product scope, 26 pages. Sections 1–25: functionality; 26–31: workflow/governance; 32–34: MVP/demo; 35–37: decisions and product principle.</w:t>
            </w:r>
          </w:p>
        </w:tc>
      </w:tr>
      <w:tr>
        <w:trPr>
          <w:cantSplit/>
        </w:trPr>
        <w:tc>
          <w:tcPr>
            <w:tcW w:type="dxa" w:w="3888"/>
            <w:vAlign w:val="center"/>
            <w:shd w:fill="FFFFFF"/>
            <w:tcMar>
              <w:top w:w="70" w:type="dxa"/>
              <w:bottom w:w="70" w:type="dxa"/>
              <w:left w:w="85" w:type="dxa"/>
              <w:right w:w="85" w:type="dxa"/>
            </w:tcMar>
          </w:tcPr>
          <w:p>
            <w:pPr>
              <w:spacing w:after="0" w:line="245" w:lineRule="auto"/>
            </w:pPr>
            <w:r>
              <w:rPr>
                <w:b w:val="0"/>
                <w:color w:val="000000"/>
                <w:sz w:val="18"/>
              </w:rPr>
              <w:t>AGENT.md</w:t>
            </w:r>
          </w:p>
        </w:tc>
        <w:tc>
          <w:tcPr>
            <w:tcW w:type="dxa" w:w="5861"/>
            <w:vAlign w:val="center"/>
            <w:shd w:fill="FFFFFF"/>
            <w:tcMar>
              <w:top w:w="70" w:type="dxa"/>
              <w:bottom w:w="70" w:type="dxa"/>
              <w:left w:w="85" w:type="dxa"/>
              <w:right w:w="85" w:type="dxa"/>
            </w:tcMar>
          </w:tcPr>
          <w:p>
            <w:pPr>
              <w:spacing w:after="0" w:line="245" w:lineRule="auto"/>
            </w:pPr>
            <w:r>
              <w:rPr>
                <w:b w:val="0"/>
                <w:color w:val="000000"/>
                <w:sz w:val="18"/>
              </w:rPr>
              <w:t>Existing invariants for access, approvals, workload, AI, integration and release; older single-organisation wording must be reconciled with the PDF.</w:t>
            </w:r>
          </w:p>
        </w:tc>
      </w:tr>
      <w:tr>
        <w:trPr>
          <w:cantSplit/>
        </w:trPr>
        <w:tc>
          <w:tcPr>
            <w:tcW w:type="dxa" w:w="3888"/>
            <w:vAlign w:val="center"/>
            <w:shd w:fill="F0F4F7"/>
            <w:tcMar>
              <w:top w:w="70" w:type="dxa"/>
              <w:bottom w:w="70" w:type="dxa"/>
              <w:left w:w="85" w:type="dxa"/>
              <w:right w:w="85" w:type="dxa"/>
            </w:tcMar>
          </w:tcPr>
          <w:p>
            <w:pPr>
              <w:spacing w:after="0" w:line="245" w:lineRule="auto"/>
            </w:pPr>
            <w:r>
              <w:rPr>
                <w:b w:val="0"/>
                <w:color w:val="000000"/>
                <w:sz w:val="18"/>
              </w:rPr>
              <w:t>platform/docs/REQUIREMENTS.csv and REMAINING_MILESTONES.md</w:t>
            </w:r>
          </w:p>
        </w:tc>
        <w:tc>
          <w:tcPr>
            <w:tcW w:type="dxa" w:w="5861"/>
            <w:vAlign w:val="center"/>
            <w:shd w:fill="F0F4F7"/>
            <w:tcMar>
              <w:top w:w="70" w:type="dxa"/>
              <w:bottom w:w="70" w:type="dxa"/>
              <w:left w:w="85" w:type="dxa"/>
              <w:right w:w="85" w:type="dxa"/>
            </w:tcMar>
          </w:tcPr>
          <w:p>
            <w:pPr>
              <w:spacing w:after="0" w:line="245" w:lineRule="auto"/>
            </w:pPr>
            <w:r>
              <w:rPr>
                <w:b w:val="0"/>
                <w:color w:val="000000"/>
                <w:sz w:val="18"/>
              </w:rPr>
              <w:t>Local implementation ledger, historical test evidence and remaining live-service gates. Statuses were reviewed, not freshly executed.</w:t>
            </w:r>
          </w:p>
        </w:tc>
      </w:tr>
      <w:tr>
        <w:trPr>
          <w:cantSplit/>
        </w:trPr>
        <w:tc>
          <w:tcPr>
            <w:tcW w:type="dxa" w:w="3888"/>
            <w:vAlign w:val="center"/>
            <w:shd w:fill="FFFFFF"/>
            <w:tcMar>
              <w:top w:w="70" w:type="dxa"/>
              <w:bottom w:w="70" w:type="dxa"/>
              <w:left w:w="85" w:type="dxa"/>
              <w:right w:w="85" w:type="dxa"/>
            </w:tcMar>
          </w:tcPr>
          <w:p>
            <w:pPr>
              <w:spacing w:after="0" w:line="245" w:lineRule="auto"/>
            </w:pPr>
            <w:r>
              <w:rPr>
                <w:b w:val="0"/>
                <w:color w:val="000000"/>
                <w:sz w:val="18"/>
              </w:rPr>
              <w:t>platform/docs/IDENTITY_AND_DIRECTORY_CONTRACT.md and PILOT_RELEASE_GATES.md</w:t>
            </w:r>
          </w:p>
        </w:tc>
        <w:tc>
          <w:tcPr>
            <w:tcW w:type="dxa" w:w="5861"/>
            <w:vAlign w:val="center"/>
            <w:shd w:fill="FFFFFF"/>
            <w:tcMar>
              <w:top w:w="70" w:type="dxa"/>
              <w:bottom w:w="70" w:type="dxa"/>
              <w:left w:w="85" w:type="dxa"/>
              <w:right w:w="85" w:type="dxa"/>
            </w:tcMar>
          </w:tcPr>
          <w:p>
            <w:pPr>
              <w:spacing w:after="0" w:line="245" w:lineRule="auto"/>
            </w:pPr>
            <w:r>
              <w:rPr>
                <w:b w:val="0"/>
                <w:color w:val="000000"/>
                <w:sz w:val="18"/>
              </w:rPr>
              <w:t>Mock/live separation, delegated access prerequisites and representative pilot obligations. Older pending-work wording is reconciled with the later ledger.</w:t>
            </w:r>
          </w:p>
        </w:tc>
      </w:tr>
      <w:tr>
        <w:trPr>
          <w:cantSplit/>
        </w:trPr>
        <w:tc>
          <w:tcPr>
            <w:tcW w:type="dxa" w:w="3888"/>
            <w:vAlign w:val="center"/>
            <w:shd w:fill="F0F4F7"/>
            <w:tcMar>
              <w:top w:w="70" w:type="dxa"/>
              <w:bottom w:w="70" w:type="dxa"/>
              <w:left w:w="85" w:type="dxa"/>
              <w:right w:w="85" w:type="dxa"/>
            </w:tcMar>
          </w:tcPr>
          <w:p>
            <w:pPr>
              <w:spacing w:after="0" w:line="245" w:lineRule="auto"/>
            </w:pPr>
            <w:r>
              <w:rPr>
                <w:b w:val="0"/>
                <w:color w:val="000000"/>
                <w:sz w:val="18"/>
              </w:rPr>
              <w:t>platform/app/Services/Access.php, Administration.php and PrimaryPlatform.php</w:t>
            </w:r>
          </w:p>
        </w:tc>
        <w:tc>
          <w:tcPr>
            <w:tcW w:type="dxa" w:w="5861"/>
            <w:vAlign w:val="center"/>
            <w:shd w:fill="F0F4F7"/>
            <w:tcMar>
              <w:top w:w="70" w:type="dxa"/>
              <w:bottom w:w="70" w:type="dxa"/>
              <w:left w:w="85" w:type="dxa"/>
              <w:right w:w="85" w:type="dxa"/>
            </w:tcMar>
          </w:tcPr>
          <w:p>
            <w:pPr>
              <w:spacing w:after="0" w:line="245" w:lineRule="auto"/>
            </w:pPr>
            <w:r>
              <w:rPr>
                <w:b w:val="0"/>
                <w:color w:val="000000"/>
                <w:sz w:val="18"/>
              </w:rPr>
              <w:t>Verified current scope checks, administrative workflow and intentionally unconfigured external adapter.</w:t>
            </w:r>
          </w:p>
        </w:tc>
      </w:tr>
      <w:tr>
        <w:trPr>
          <w:cantSplit/>
        </w:trPr>
        <w:tc>
          <w:tcPr>
            <w:tcW w:type="dxa" w:w="3888"/>
            <w:vAlign w:val="center"/>
            <w:shd w:fill="FFFFFF"/>
            <w:tcMar>
              <w:top w:w="70" w:type="dxa"/>
              <w:bottom w:w="70" w:type="dxa"/>
              <w:left w:w="85" w:type="dxa"/>
              <w:right w:w="85" w:type="dxa"/>
            </w:tcMar>
          </w:tcPr>
          <w:p>
            <w:pPr>
              <w:spacing w:after="0" w:line="245" w:lineRule="auto"/>
            </w:pPr>
            <w:r>
              <w:rPr>
                <w:b w:val="0"/>
                <w:color w:val="000000"/>
                <w:sz w:val="18"/>
              </w:rPr>
              <w:t>platform/app/Models/User.php and foundation migration</w:t>
            </w:r>
          </w:p>
        </w:tc>
        <w:tc>
          <w:tcPr>
            <w:tcW w:type="dxa" w:w="5861"/>
            <w:vAlign w:val="center"/>
            <w:shd w:fill="FFFFFF"/>
            <w:tcMar>
              <w:top w:w="70" w:type="dxa"/>
              <w:bottom w:w="70" w:type="dxa"/>
              <w:left w:w="85" w:type="dxa"/>
              <w:right w:w="85" w:type="dxa"/>
            </w:tcMar>
          </w:tcPr>
          <w:p>
            <w:pPr>
              <w:spacing w:after="0" w:line="245" w:lineRule="auto"/>
            </w:pPr>
            <w:r>
              <w:rPr>
                <w:b w:val="0"/>
                <w:color w:val="000000"/>
                <w:sz w:val="18"/>
              </w:rPr>
              <w:t>Verified single organisation/role fields, identity keys, groups, memberships, evidence and outbox structure. Basis for additive tenant/grant changes.</w:t>
            </w:r>
          </w:p>
        </w:tc>
      </w:tr>
    </w:tbl>
    <w:p>
      <w:pPr>
        <w:spacing w:after="0"/>
      </w:pPr>
    </w:p>
    <w:p>
      <w:pPr>
        <w:pStyle w:val="Heading2"/>
      </w:pPr>
      <w:r>
        <w:t>Document status</w:t>
      </w:r>
    </w:p>
    <w:p>
      <w:r>
        <w:rPr>
          <w:rFonts w:ascii="Arial" w:hAnsi="Arial"/>
          <w:b w:val="0"/>
        </w:rPr>
        <w:t>This is a proposed implementation baseline, not a production-readiness certificate or approval to incur costs. It reflects the supplied PDF and the reviewed local checkout on 9 October 2026. No application source, existing requirements PDF or historical architecture package is changed by producing this document. Implementation should update the project guidance and traceability map as each milestone is accepted.</w:t>
      </w:r>
    </w:p>
    <w:sectPr w:rsidR="00FC693F" w:rsidRPr="0006063C" w:rsidSect="00034616">
      <w:headerReference w:type="default" r:id="rId9"/>
      <w:footerReference w:type="default" r:id="rId10"/>
      <w:pgSz w:w="11909" w:h="16834"/>
      <w:pgMar w:top="1037"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Planning baseline 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TRAINING ASSESSMENT TRACKER V2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Arial" w:hAnsi="Arial"/>
      <w:b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Assessment Tracker V2 Implementation Plan</dc:title>
  <dc:subject>Two developer delivery plan based on the supplied requirements PDF</dc:subject>
  <dc:creator>Project planning</dc:creator>
  <cp:keywords>client isolation, permissions, Cerebru, two developers, milestones</cp:keywords>
  <dc:description>generated by python-docx</dc:description>
  <cp:lastModifiedBy/>
  <cp:revision>1</cp:revision>
  <dcterms:created xsi:type="dcterms:W3CDTF">2013-12-23T23:15:00Z</dcterms:created>
  <dcterms:modified xsi:type="dcterms:W3CDTF">2013-12-23T23:15:00Z</dcterms:modified>
  <cp:category/>
</cp:coreProperties>
</file>