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Title"/>
        <w:spacing w:after="200" w:before="240" w:lineRule="auto"/>
        <w:rPr/>
      </w:pPr>
      <w:bookmarkStart w:colFirst="0" w:colLast="0" w:name="_heading=h.plxsu1nmqu48" w:id="0"/>
      <w:bookmarkEnd w:id="0"/>
      <w:r>
        <w:rPr>
          <w:rtl w:val="0"/>
        </w:rPr>
      </w:r>
    </w:p>
    <w:p w14:paraId="00000002">
      <w:pPr>
        <w:rPr/>
      </w:pPr>
      <w:r>
        <w:rPr>
          <w:rtl w:val="0"/>
        </w:rPr>
      </w:r>
    </w:p>
    <w:p w14:paraId="00000003">
      <w:pPr>
        <w:rPr/>
      </w:pPr>
      <w:r>
        <w:rPr>
          <w:rtl w:val="0"/>
        </w:rPr>
      </w:r>
    </w:p>
    <w:p w14:paraId="00000004">
      <w:pPr>
        <w:pStyle w:val="Title"/>
        <w:spacing w:after="200" w:before="240" w:lineRule="auto"/>
        <w:rPr/>
      </w:pPr>
      <w:bookmarkStart w:colFirst="0" w:colLast="0" w:name="_heading=h.iygpj3gzq5ll" w:id="1"/>
      <w:bookmarkEnd w:id="1"/>
      <w:r>
        <w:rPr/>
        <mc:AlternateContent>
          <mc:Choice Requires="wpg">
            <w:drawing>
              <wp:inline distB="57150" distT="57150" distL="57150" distR="57150">
                <wp:extent cx="1485900" cy="92432"/>
                <wp:effectExtent b="0" l="0" r="0" t="0"/>
                <wp:docPr descr="Decorative black rule used in the memo template." id="1" name=""/>
                <a:graphic>
                  <a:graphicData uri="http://schemas.microsoft.com/office/word/2010/wordprocessingShape">
                    <wps:wsp>
                      <wps:cNvSpPr/>
                      <wps:cNvPr id="2" name="Shape 2"/>
                      <wps:spPr>
                        <a:xfrm>
                          <a:off x="3151650" y="3666150"/>
                          <a:ext cx="4388700" cy="227700"/>
                        </a:xfrm>
                        <a:prstGeom prst="rect">
                          <a:avLst/>
                        </a:prstGeom>
                        <a:solidFill>
                          <a:srgbClr val="000000"/>
                        </a:solidFill>
                        <a:ln>
                          <a:noFill/>
                        </a:ln>
                      </wps:spPr>
                      <wps:txbx>
                        <w:txbxContent>
                          <w:p>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57150" distT="57150" distL="57150" distR="57150">
                <wp:extent cx="1485900" cy="92432"/>
                <wp:effectExtent b="0" l="0" r="0" t="0"/>
                <wp:docPr descr="Decorative black rule used in the memo template." id="1" name="image6.png"/>
                <a:graphic>
                  <a:graphicData uri="http://schemas.openxmlformats.org/drawingml/2006/picture">
                    <pic:pic>
                      <pic:nvPicPr>
                        <pic:cNvPr descr="Decorative black rule used in the memo template." id="0" name="image6.png"/>
                        <pic:cNvPicPr preferRelativeResize="0"/>
                      </pic:nvPicPr>
                      <pic:blipFill>
                        <a:blip r:embed="rId7"/>
                        <a:srcRect/>
                        <a:stretch>
                          <a:fillRect/>
                        </a:stretch>
                      </pic:blipFill>
                      <pic:spPr>
                        <a:xfrm>
                          <a:off x="0" y="0"/>
                          <a:ext cx="1485900" cy="92432"/>
                        </a:xfrm>
                        <a:prstGeom prst="rect"/>
                        <a:ln/>
                      </pic:spPr>
                    </pic:pic>
                  </a:graphicData>
                </a:graphic>
              </wp:inline>
            </w:drawing>
          </mc:Fallback>
        </mc:AlternateContent>
      </w:r>
      <w:r>
        <w:rPr>
          <w:rtl w:val="0"/>
        </w:rPr>
      </w:r>
    </w:p>
    <w:p w14:paraId="00000005">
      <w:pPr>
        <w:pStyle w:val="Title"/>
        <w:spacing w:after="200" w:before="240" w:line="240" w:lineRule="auto"/>
        <w:rPr>
          <w:b w:val="1"/>
          <w:bCs w:val="1"/>
          <w:sz w:val="80"/>
          <w:szCs w:val="80"/>
        </w:rPr>
      </w:pPr>
      <w:bookmarkStart w:colFirst="0" w:colLast="0" w:name="_heading=h.cbw67w94hv1c" w:id="2"/>
      <w:bookmarkEnd w:id="2"/>
      <w:r>
        <w:rPr>
          <w:b w:val="1"/>
          <w:bCs w:val="1"/>
          <w:sz w:val="80"/>
          <w:szCs w:val="80"/>
          <w:rtl w:val="0"/>
        </w:rPr>
        <w:t>AI Assisted Two Developer Resourcing and Delivery Plan</w:t>
      </w:r>
    </w:p>
    <w:p w14:paraId="00000006">
      <w:pPr>
        <w:rPr/>
      </w:pPr>
      <w:r>
        <w:rPr>
          <w:rtl w:val="0"/>
        </w:rPr>
      </w:r>
    </w:p>
    <w:p w14:paraId="00000007">
      <w:pPr>
        <w:rPr/>
      </w:pPr>
      <w:r>
        <w:rPr>
          <w:rtl w:val="0"/>
        </w:rPr>
      </w:r>
    </w:p>
    <w:p w14:paraId="00000008">
      <w:pPr>
        <w:spacing w:after="200" w:lineRule="auto"/>
        <w:rPr>
          <w:color w:val="666666"/>
        </w:rPr>
      </w:pPr>
      <w:r>
        <w:rPr>
          <w:color w:val="666666"/>
          <w:rtl w:val="0"/>
        </w:rPr>
        <w:t>Training Assessment Tracker V2 | 80/20 responsibility and resourcing update</w:t>
      </w:r>
    </w:p>
    <w:p w14:paraId="00000009">
      <w:pPr>
        <w:spacing w:after="200" w:lineRule="auto"/>
        <w:rPr/>
      </w:pPr>
      <w:r>
        <w:rPr>
          <w:rtl w:val="0"/>
        </w:rPr>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3330"/>
        <w:gridCol w:w="1485"/>
        <w:gridCol w:w="3150"/>
        <w:tblGridChange w:id="0">
          <w:tblGrid>
            <w:gridCol w:w="1335"/>
            <w:gridCol w:w="3330"/>
            <w:gridCol w:w="1485"/>
            <w:gridCol w:w="3150"/>
          </w:tblGrid>
        </w:tblGridChange>
      </w:tblGrid>
      <w:tr>
        <w:trPr>
          <w:cantSplit w:val="0"/>
          <w:trHeight w:val="576" w:hRule="atLeast"/>
          <w:tblHeader w:val="0"/>
        </w:trPr>
        <w:tc>
          <w:tcPr>
            <w:tcBorders>
              <w:top w:color="e6e6e6" w:space="0" w:sz="7" w:val="single"/>
              <w:left w:color="e6e6e6" w:space="0" w:sz="7" w:val="single"/>
              <w:bottom w:color="e6e6e6" w:space="0" w:sz="7" w:val="single"/>
              <w:right w:color="e6e6e6" w:space="0" w:sz="7" w:val="single"/>
            </w:tcBorders>
            <w:shd w:fill="f7f7f7" w:val="clear"/>
            <w:tcMar>
              <w:top w:w="100.0" w:type="dxa"/>
              <w:left w:w="160.0" w:type="dxa"/>
              <w:bottom w:w="100.0" w:type="dxa"/>
              <w:right w:w="140.0" w:type="dxa"/>
            </w:tcMar>
            <w:vAlign w:val="center"/>
          </w:tcPr>
          <w:p w14:paraId="0000000A">
            <w:pPr>
              <w:spacing w:after="200" w:lineRule="auto"/>
              <w:rPr>
                <w:b w:val="1"/>
                <w:bCs w:val="1"/>
                <w:sz w:val="17"/>
                <w:szCs w:val="17"/>
              </w:rPr>
            </w:pPr>
            <w:r>
              <w:rPr>
                <w:b w:val="1"/>
                <w:bCs w:val="1"/>
                <w:color w:val="111111"/>
                <w:sz w:val="17"/>
                <w:szCs w:val="17"/>
                <w:rtl w:val="0"/>
              </w:rPr>
              <w:t>To</w:t>
            </w:r>
            <w:r>
              <w:rPr>
                <w:rtl w:val="0"/>
              </w:rPr>
            </w:r>
          </w:p>
        </w:tc>
        <w:tc>
          <w:tcPr>
            <w:tcBorders>
              <w:top w:color="e6e6e6" w:space="0" w:sz="7" w:val="single"/>
              <w:left w:color="000000" w:space="0" w:sz="0" w:val="nil"/>
              <w:bottom w:color="e6e6e6" w:space="0" w:sz="7" w:val="single"/>
              <w:right w:color="e6e6e6" w:space="0" w:sz="7" w:val="single"/>
            </w:tcBorders>
            <w:shd w:fill="ffffff" w:val="clear"/>
            <w:tcMar>
              <w:top w:w="100.0" w:type="dxa"/>
              <w:left w:w="160.0" w:type="dxa"/>
              <w:bottom w:w="100.0" w:type="dxa"/>
              <w:right w:w="140.0" w:type="dxa"/>
            </w:tcMar>
            <w:vAlign w:val="center"/>
          </w:tcPr>
          <w:p w14:paraId="0000000B">
            <w:pPr>
              <w:spacing w:after="200" w:lineRule="auto"/>
              <w:rPr>
                <w:sz w:val="17"/>
                <w:szCs w:val="17"/>
              </w:rPr>
            </w:pPr>
            <w:r>
              <w:rPr>
                <w:color w:val="111111"/>
                <w:sz w:val="17"/>
                <w:szCs w:val="17"/>
                <w:rtl w:val="0"/>
              </w:rPr>
              <w:t>Project owner</w:t>
            </w:r>
            <w:r>
              <w:rPr>
                <w:rtl w:val="0"/>
              </w:rPr>
            </w:r>
          </w:p>
        </w:tc>
        <w:tc>
          <w:tcPr>
            <w:tcBorders>
              <w:top w:color="e6e6e6" w:space="0" w:sz="7" w:val="single"/>
              <w:left w:color="000000" w:space="0" w:sz="0" w:val="nil"/>
              <w:bottom w:color="e6e6e6" w:space="0" w:sz="7" w:val="single"/>
              <w:right w:color="e6e6e6" w:space="0" w:sz="7" w:val="single"/>
            </w:tcBorders>
            <w:shd w:fill="f7f7f7" w:val="clear"/>
            <w:tcMar>
              <w:top w:w="100.0" w:type="dxa"/>
              <w:left w:w="160.0" w:type="dxa"/>
              <w:bottom w:w="100.0" w:type="dxa"/>
              <w:right w:w="140.0" w:type="dxa"/>
            </w:tcMar>
            <w:vAlign w:val="center"/>
          </w:tcPr>
          <w:p w14:paraId="0000000C">
            <w:pPr>
              <w:spacing w:after="200" w:lineRule="auto"/>
              <w:rPr>
                <w:b w:val="1"/>
                <w:bCs w:val="1"/>
                <w:sz w:val="17"/>
                <w:szCs w:val="17"/>
              </w:rPr>
            </w:pPr>
            <w:r>
              <w:rPr>
                <w:b w:val="1"/>
                <w:bCs w:val="1"/>
                <w:color w:val="111111"/>
                <w:sz w:val="17"/>
                <w:szCs w:val="17"/>
                <w:rtl w:val="0"/>
              </w:rPr>
              <w:t>Date</w:t>
            </w:r>
            <w:r>
              <w:rPr>
                <w:rtl w:val="0"/>
              </w:rPr>
            </w:r>
          </w:p>
        </w:tc>
        <w:tc>
          <w:tcPr>
            <w:tcBorders>
              <w:top w:color="e6e6e6" w:space="0" w:sz="7" w:val="single"/>
              <w:left w:color="000000" w:space="0" w:sz="0" w:val="nil"/>
              <w:bottom w:color="e6e6e6" w:space="0" w:sz="7" w:val="single"/>
              <w:right w:color="e6e6e6" w:space="0" w:sz="7" w:val="single"/>
            </w:tcBorders>
            <w:shd w:fill="ffffff" w:val="clear"/>
            <w:tcMar>
              <w:top w:w="100.0" w:type="dxa"/>
              <w:left w:w="160.0" w:type="dxa"/>
              <w:bottom w:w="100.0" w:type="dxa"/>
              <w:right w:w="140.0" w:type="dxa"/>
            </w:tcMar>
            <w:vAlign w:val="center"/>
          </w:tcPr>
          <w:p w14:paraId="0000000D">
            <w:pPr>
              <w:spacing w:after="200" w:lineRule="auto"/>
              <w:rPr>
                <w:sz w:val="17"/>
                <w:szCs w:val="17"/>
              </w:rPr>
            </w:pPr>
            <w:r>
              <w:rPr>
                <w:color w:val="111111"/>
                <w:sz w:val="17"/>
                <w:szCs w:val="17"/>
                <w:rtl w:val="0"/>
              </w:rPr>
              <w:t>23 October 2026</w:t>
            </w:r>
            <w:r>
              <w:rPr>
                <w:rtl w:val="0"/>
              </w:rPr>
            </w:r>
          </w:p>
        </w:tc>
      </w:tr>
      <w:tr>
        <w:trPr>
          <w:cantSplit w:val="0"/>
          <w:trHeight w:val="576" w:hRule="atLeast"/>
          <w:tblHeader w:val="0"/>
        </w:trPr>
        <w:tc>
          <w:tcPr>
            <w:tcBorders>
              <w:top w:color="000000" w:space="0" w:sz="0" w:val="nil"/>
              <w:left w:color="e6e6e6" w:space="0" w:sz="7" w:val="single"/>
              <w:bottom w:color="e6e6e6" w:space="0" w:sz="7" w:val="single"/>
              <w:right w:color="e6e6e6" w:space="0" w:sz="7" w:val="single"/>
            </w:tcBorders>
            <w:shd w:fill="f7f7f7" w:val="clear"/>
            <w:tcMar>
              <w:top w:w="100.0" w:type="dxa"/>
              <w:left w:w="160.0" w:type="dxa"/>
              <w:bottom w:w="100.0" w:type="dxa"/>
              <w:right w:w="140.0" w:type="dxa"/>
            </w:tcMar>
            <w:vAlign w:val="center"/>
          </w:tcPr>
          <w:p w14:paraId="0000000E">
            <w:pPr>
              <w:spacing w:after="200" w:lineRule="auto"/>
              <w:rPr>
                <w:b w:val="1"/>
                <w:bCs w:val="1"/>
                <w:sz w:val="17"/>
                <w:szCs w:val="17"/>
              </w:rPr>
            </w:pPr>
            <w:r>
              <w:rPr>
                <w:b w:val="1"/>
                <w:bCs w:val="1"/>
                <w:color w:val="111111"/>
                <w:sz w:val="17"/>
                <w:szCs w:val="17"/>
                <w:rtl w:val="0"/>
              </w:rPr>
              <w:t>From</w:t>
            </w:r>
            <w:r>
              <w:rPr>
                <w:rtl w:val="0"/>
              </w:rPr>
            </w:r>
          </w:p>
        </w:tc>
        <w:tc>
          <w:tcPr>
            <w:tcBorders>
              <w:top w:color="000000" w:space="0" w:sz="0" w:val="nil"/>
              <w:left w:color="000000" w:space="0" w:sz="0" w:val="nil"/>
              <w:bottom w:color="e6e6e6" w:space="0" w:sz="7" w:val="single"/>
              <w:right w:color="e6e6e6" w:space="0" w:sz="7" w:val="single"/>
            </w:tcBorders>
            <w:shd w:fill="ffffff" w:val="clear"/>
            <w:tcMar>
              <w:top w:w="100.0" w:type="dxa"/>
              <w:left w:w="160.0" w:type="dxa"/>
              <w:bottom w:w="100.0" w:type="dxa"/>
              <w:right w:w="140.0" w:type="dxa"/>
            </w:tcMar>
            <w:vAlign w:val="center"/>
          </w:tcPr>
          <w:p w14:paraId="0000000F">
            <w:pPr>
              <w:spacing w:after="200" w:lineRule="auto"/>
              <w:rPr>
                <w:sz w:val="17"/>
                <w:szCs w:val="17"/>
              </w:rPr>
            </w:pPr>
            <w:r>
              <w:rPr>
                <w:color w:val="111111"/>
                <w:sz w:val="17"/>
                <w:szCs w:val="17"/>
                <w:rtl w:val="0"/>
              </w:rPr>
              <w:t>Planning update</w:t>
            </w:r>
            <w:r>
              <w:rPr>
                <w:rtl w:val="0"/>
              </w:rPr>
            </w:r>
          </w:p>
        </w:tc>
        <w:tc>
          <w:tcPr>
            <w:tcBorders>
              <w:top w:color="000000" w:space="0" w:sz="0" w:val="nil"/>
              <w:left w:color="000000" w:space="0" w:sz="0" w:val="nil"/>
              <w:bottom w:color="e6e6e6" w:space="0" w:sz="7" w:val="single"/>
              <w:right w:color="e6e6e6" w:space="0" w:sz="7" w:val="single"/>
            </w:tcBorders>
            <w:shd w:fill="f7f7f7" w:val="clear"/>
            <w:tcMar>
              <w:top w:w="100.0" w:type="dxa"/>
              <w:left w:w="160.0" w:type="dxa"/>
              <w:bottom w:w="100.0" w:type="dxa"/>
              <w:right w:w="140.0" w:type="dxa"/>
            </w:tcMar>
            <w:vAlign w:val="center"/>
          </w:tcPr>
          <w:p w14:paraId="00000010">
            <w:pPr>
              <w:spacing w:after="200" w:lineRule="auto"/>
              <w:rPr>
                <w:b w:val="1"/>
                <w:bCs w:val="1"/>
                <w:sz w:val="17"/>
                <w:szCs w:val="17"/>
              </w:rPr>
            </w:pPr>
            <w:r>
              <w:rPr>
                <w:b w:val="1"/>
                <w:bCs w:val="1"/>
                <w:color w:val="111111"/>
                <w:sz w:val="17"/>
                <w:szCs w:val="17"/>
                <w:rtl w:val="0"/>
              </w:rPr>
              <w:t>Status</w:t>
            </w:r>
            <w:r>
              <w:rPr>
                <w:rtl w:val="0"/>
              </w:rPr>
            </w:r>
          </w:p>
        </w:tc>
        <w:tc>
          <w:tcPr>
            <w:tcBorders>
              <w:top w:color="000000" w:space="0" w:sz="0" w:val="nil"/>
              <w:left w:color="000000" w:space="0" w:sz="0" w:val="nil"/>
              <w:bottom w:color="e6e6e6" w:space="0" w:sz="7" w:val="single"/>
              <w:right w:color="e6e6e6" w:space="0" w:sz="7" w:val="single"/>
            </w:tcBorders>
            <w:shd w:fill="ffffff" w:val="clear"/>
            <w:tcMar>
              <w:top w:w="100.0" w:type="dxa"/>
              <w:left w:w="160.0" w:type="dxa"/>
              <w:bottom w:w="100.0" w:type="dxa"/>
              <w:right w:w="140.0" w:type="dxa"/>
            </w:tcMar>
            <w:vAlign w:val="center"/>
          </w:tcPr>
          <w:p w14:paraId="00000011">
            <w:pPr>
              <w:spacing w:after="200" w:lineRule="auto"/>
              <w:rPr>
                <w:sz w:val="17"/>
                <w:szCs w:val="17"/>
              </w:rPr>
            </w:pPr>
            <w:r>
              <w:rPr>
                <w:color w:val="111111"/>
                <w:sz w:val="17"/>
                <w:szCs w:val="17"/>
                <w:rtl w:val="0"/>
              </w:rPr>
              <w:t>Provisional; unvalidated</w:t>
            </w:r>
            <w:r>
              <w:rPr>
                <w:rtl w:val="0"/>
              </w:rPr>
            </w:r>
          </w:p>
        </w:tc>
      </w:tr>
      <w:tr>
        <w:trPr>
          <w:cantSplit w:val="0"/>
          <w:trHeight w:val="576" w:hRule="atLeast"/>
          <w:tblHeader w:val="0"/>
        </w:trPr>
        <w:tc>
          <w:tcPr>
            <w:tcBorders>
              <w:top w:color="000000" w:space="0" w:sz="0" w:val="nil"/>
              <w:left w:color="e6e6e6" w:space="0" w:sz="7" w:val="single"/>
              <w:bottom w:color="e6e6e6" w:space="0" w:sz="7" w:val="single"/>
              <w:right w:color="e6e6e6" w:space="0" w:sz="7" w:val="single"/>
            </w:tcBorders>
            <w:shd w:fill="f7f7f7" w:val="clear"/>
            <w:tcMar>
              <w:top w:w="100.0" w:type="dxa"/>
              <w:left w:w="160.0" w:type="dxa"/>
              <w:bottom w:w="100.0" w:type="dxa"/>
              <w:right w:w="140.0" w:type="dxa"/>
            </w:tcMar>
            <w:vAlign w:val="center"/>
          </w:tcPr>
          <w:p w14:paraId="00000012">
            <w:pPr>
              <w:spacing w:after="200" w:lineRule="auto"/>
              <w:rPr>
                <w:b w:val="1"/>
                <w:bCs w:val="1"/>
                <w:sz w:val="17"/>
                <w:szCs w:val="17"/>
              </w:rPr>
            </w:pPr>
            <w:r>
              <w:rPr>
                <w:b w:val="1"/>
                <w:bCs w:val="1"/>
                <w:color w:val="111111"/>
                <w:sz w:val="17"/>
                <w:szCs w:val="17"/>
                <w:rtl w:val="0"/>
              </w:rPr>
              <w:t>Decision Requested</w:t>
            </w:r>
            <w:r>
              <w:rPr>
                <w:rtl w:val="0"/>
              </w:rPr>
            </w:r>
          </w:p>
        </w:tc>
        <w:tc>
          <w:tcPr>
            <w:tcBorders>
              <w:top w:color="000000" w:space="0" w:sz="0" w:val="nil"/>
              <w:left w:color="000000" w:space="0" w:sz="0" w:val="nil"/>
              <w:bottom w:color="e6e6e6" w:space="0" w:sz="7" w:val="single"/>
              <w:right w:color="e6e6e6" w:space="0" w:sz="7" w:val="single"/>
            </w:tcBorders>
            <w:shd w:fill="ffffff" w:val="clear"/>
            <w:tcMar>
              <w:top w:w="100.0" w:type="dxa"/>
              <w:left w:w="160.0" w:type="dxa"/>
              <w:bottom w:w="100.0" w:type="dxa"/>
              <w:right w:w="140.0" w:type="dxa"/>
            </w:tcMar>
            <w:vAlign w:val="center"/>
          </w:tcPr>
          <w:p w14:paraId="00000013">
            <w:pPr>
              <w:spacing w:after="200" w:lineRule="auto"/>
              <w:rPr>
                <w:sz w:val="17"/>
                <w:szCs w:val="17"/>
              </w:rPr>
            </w:pPr>
            <w:r>
              <w:rPr>
                <w:color w:val="111111"/>
                <w:sz w:val="17"/>
                <w:szCs w:val="17"/>
                <w:rtl w:val="0"/>
              </w:rPr>
              <w:t>Confirm the 80/20 weekly allocation and responsibility model</w:t>
            </w:r>
            <w:r>
              <w:rPr>
                <w:rtl w:val="0"/>
              </w:rPr>
            </w:r>
          </w:p>
        </w:tc>
        <w:tc>
          <w:tcPr>
            <w:tcBorders>
              <w:top w:color="000000" w:space="0" w:sz="0" w:val="nil"/>
              <w:left w:color="000000" w:space="0" w:sz="0" w:val="nil"/>
              <w:bottom w:color="e6e6e6" w:space="0" w:sz="7" w:val="single"/>
              <w:right w:color="e6e6e6" w:space="0" w:sz="7" w:val="single"/>
            </w:tcBorders>
            <w:shd w:fill="f7f7f7" w:val="clear"/>
            <w:tcMar>
              <w:top w:w="100.0" w:type="dxa"/>
              <w:left w:w="160.0" w:type="dxa"/>
              <w:bottom w:w="100.0" w:type="dxa"/>
              <w:right w:w="140.0" w:type="dxa"/>
            </w:tcMar>
            <w:vAlign w:val="center"/>
          </w:tcPr>
          <w:p w14:paraId="00000014">
            <w:pPr>
              <w:spacing w:after="200" w:lineRule="auto"/>
              <w:rPr>
                <w:b w:val="1"/>
                <w:bCs w:val="1"/>
                <w:sz w:val="17"/>
                <w:szCs w:val="17"/>
              </w:rPr>
            </w:pPr>
            <w:r>
              <w:rPr>
                <w:b w:val="1"/>
                <w:bCs w:val="1"/>
                <w:color w:val="111111"/>
                <w:sz w:val="17"/>
                <w:szCs w:val="17"/>
                <w:rtl w:val="0"/>
              </w:rPr>
              <w:t>Prior estimate</w:t>
            </w:r>
            <w:r>
              <w:rPr>
                <w:rtl w:val="0"/>
              </w:rPr>
            </w:r>
          </w:p>
        </w:tc>
        <w:tc>
          <w:tcPr>
            <w:tcBorders>
              <w:top w:color="000000" w:space="0" w:sz="0" w:val="nil"/>
              <w:left w:color="000000" w:space="0" w:sz="0" w:val="nil"/>
              <w:bottom w:color="e6e6e6" w:space="0" w:sz="7" w:val="single"/>
              <w:right w:color="e6e6e6" w:space="0" w:sz="7" w:val="single"/>
            </w:tcBorders>
            <w:shd w:fill="ffffff" w:val="clear"/>
            <w:tcMar>
              <w:top w:w="100.0" w:type="dxa"/>
              <w:left w:w="160.0" w:type="dxa"/>
              <w:bottom w:w="100.0" w:type="dxa"/>
              <w:right w:w="140.0" w:type="dxa"/>
            </w:tcMar>
            <w:vAlign w:val="center"/>
          </w:tcPr>
          <w:p w14:paraId="00000015">
            <w:pPr>
              <w:spacing w:after="200" w:lineRule="auto"/>
              <w:rPr>
                <w:sz w:val="17"/>
                <w:szCs w:val="17"/>
              </w:rPr>
            </w:pPr>
            <w:r>
              <w:rPr>
                <w:color w:val="111111"/>
                <w:sz w:val="17"/>
                <w:szCs w:val="17"/>
                <w:rtl w:val="0"/>
              </w:rPr>
              <w:t>640h; superseded; AI included</w:t>
            </w:r>
            <w:r>
              <w:rPr>
                <w:rtl w:val="0"/>
              </w:rPr>
            </w:r>
          </w:p>
        </w:tc>
      </w:tr>
      <w:tr>
        <w:trPr>
          <w:cantSplit w:val="0"/>
          <w:trHeight w:val="576" w:hRule="atLeast"/>
          <w:tblHeader w:val="0"/>
        </w:trPr>
        <w:tc>
          <w:tcPr>
            <w:tcBorders>
              <w:top w:color="000000" w:space="0" w:sz="0" w:val="nil"/>
              <w:left w:color="e6e6e6" w:space="0" w:sz="7" w:val="single"/>
              <w:bottom w:color="e6e6e6" w:space="0" w:sz="7" w:val="single"/>
              <w:right w:color="e6e6e6" w:space="0" w:sz="7" w:val="single"/>
            </w:tcBorders>
            <w:shd w:fill="f7f7f7" w:val="clear"/>
            <w:tcMar>
              <w:top w:w="100.0" w:type="dxa"/>
              <w:left w:w="160.0" w:type="dxa"/>
              <w:bottom w:w="100.0" w:type="dxa"/>
              <w:right w:w="140.0" w:type="dxa"/>
            </w:tcMar>
            <w:vAlign w:val="center"/>
          </w:tcPr>
          <w:p w14:paraId="00000016">
            <w:pPr>
              <w:spacing w:after="200" w:lineRule="auto"/>
              <w:rPr>
                <w:b w:val="1"/>
                <w:bCs w:val="1"/>
                <w:sz w:val="17"/>
                <w:szCs w:val="17"/>
              </w:rPr>
            </w:pPr>
            <w:r>
              <w:rPr>
                <w:b w:val="1"/>
                <w:bCs w:val="1"/>
                <w:color w:val="111111"/>
                <w:sz w:val="17"/>
                <w:szCs w:val="17"/>
                <w:rtl w:val="0"/>
              </w:rPr>
              <w:t>Planning scope</w:t>
            </w:r>
            <w:r>
              <w:rPr>
                <w:rtl w:val="0"/>
              </w:rPr>
            </w:r>
          </w:p>
        </w:tc>
        <w:tc>
          <w:tcPr>
            <w:tcBorders>
              <w:top w:color="000000" w:space="0" w:sz="0" w:val="nil"/>
              <w:left w:color="000000" w:space="0" w:sz="0" w:val="nil"/>
              <w:bottom w:color="e6e6e6" w:space="0" w:sz="7" w:val="single"/>
              <w:right w:color="e6e6e6" w:space="0" w:sz="7" w:val="single"/>
            </w:tcBorders>
            <w:shd w:fill="ffffff" w:val="clear"/>
            <w:tcMar>
              <w:top w:w="100.0" w:type="dxa"/>
              <w:left w:w="160.0" w:type="dxa"/>
              <w:bottom w:w="100.0" w:type="dxa"/>
              <w:right w:w="140.0" w:type="dxa"/>
            </w:tcMar>
            <w:vAlign w:val="center"/>
          </w:tcPr>
          <w:p w14:paraId="00000017">
            <w:pPr>
              <w:spacing w:after="200" w:lineRule="auto"/>
              <w:rPr>
                <w:sz w:val="17"/>
                <w:szCs w:val="17"/>
              </w:rPr>
            </w:pPr>
            <w:r>
              <w:rPr>
                <w:color w:val="111111"/>
                <w:sz w:val="17"/>
                <w:szCs w:val="17"/>
                <w:rtl w:val="0"/>
              </w:rPr>
              <w:t>Build and local acceptance only</w:t>
            </w:r>
            <w:r>
              <w:rPr>
                <w:rtl w:val="0"/>
              </w:rPr>
            </w:r>
          </w:p>
        </w:tc>
        <w:tc>
          <w:tcPr>
            <w:tcBorders>
              <w:top w:color="000000" w:space="0" w:sz="0" w:val="nil"/>
              <w:left w:color="000000" w:space="0" w:sz="0" w:val="nil"/>
              <w:bottom w:color="e6e6e6" w:space="0" w:sz="7" w:val="single"/>
              <w:right w:color="e6e6e6" w:space="0" w:sz="7" w:val="single"/>
            </w:tcBorders>
            <w:shd w:fill="f7f7f7" w:val="clear"/>
            <w:tcMar>
              <w:top w:w="100.0" w:type="dxa"/>
              <w:left w:w="160.0" w:type="dxa"/>
              <w:bottom w:w="100.0" w:type="dxa"/>
              <w:right w:w="140.0" w:type="dxa"/>
            </w:tcMar>
            <w:vAlign w:val="center"/>
          </w:tcPr>
          <w:p w14:paraId="00000018">
            <w:pPr>
              <w:spacing w:after="200" w:lineRule="auto"/>
              <w:rPr>
                <w:b w:val="1"/>
                <w:bCs w:val="1"/>
                <w:sz w:val="17"/>
                <w:szCs w:val="17"/>
              </w:rPr>
            </w:pPr>
            <w:r>
              <w:rPr>
                <w:b w:val="1"/>
                <w:bCs w:val="1"/>
                <w:color w:val="111111"/>
                <w:sz w:val="17"/>
                <w:szCs w:val="17"/>
                <w:rtl w:val="0"/>
              </w:rPr>
              <w:t>Start date</w:t>
            </w:r>
            <w:r>
              <w:rPr>
                <w:rtl w:val="0"/>
              </w:rPr>
            </w:r>
          </w:p>
        </w:tc>
        <w:tc>
          <w:tcPr>
            <w:tcBorders>
              <w:top w:color="000000" w:space="0" w:sz="0" w:val="nil"/>
              <w:left w:color="000000" w:space="0" w:sz="0" w:val="nil"/>
              <w:bottom w:color="e6e6e6" w:space="0" w:sz="7" w:val="single"/>
              <w:right w:color="e6e6e6" w:space="0" w:sz="7" w:val="single"/>
            </w:tcBorders>
            <w:shd w:fill="ffffff" w:val="clear"/>
            <w:tcMar>
              <w:top w:w="100.0" w:type="dxa"/>
              <w:left w:w="160.0" w:type="dxa"/>
              <w:bottom w:w="100.0" w:type="dxa"/>
              <w:right w:w="140.0" w:type="dxa"/>
            </w:tcMar>
            <w:vAlign w:val="center"/>
          </w:tcPr>
          <w:p w14:paraId="00000019">
            <w:pPr>
              <w:spacing w:after="200" w:lineRule="auto"/>
              <w:rPr>
                <w:sz w:val="17"/>
                <w:szCs w:val="17"/>
              </w:rPr>
            </w:pPr>
            <w:r>
              <w:rPr>
                <w:color w:val="111111"/>
                <w:sz w:val="17"/>
                <w:szCs w:val="17"/>
                <w:rtl w:val="0"/>
              </w:rPr>
              <w:t>To be agreed</w:t>
            </w:r>
            <w:r>
              <w:rPr>
                <w:rtl w:val="0"/>
              </w:rPr>
            </w:r>
          </w:p>
        </w:tc>
      </w:tr>
    </w:tbl>
    <w:p>
      <w:pPr>
        <w:pStyle w:val="Heading1"/>
        <w:keepNext/>
        <w:pageBreakBefore/>
      </w:pPr>
      <w:r>
        <w:t>1.   Executive Summary, Recommendation, and Decision Requested</w:t>
      </w:r>
    </w:p>
    <w:p>
      <w:pPr/>
      <w:r>
        <w:t>Recommendation: commit 12 project hours each week using the 80/20 allocation below. Keep the provisional target of 3-5 M0-M7 work packages reaching local acceptance each week, subject to a mandatory reforecast after week one. This implies about 2-3 weeks from an agreed kickoff for AI-assisted building and local acceptance only.</w:t>
      </w:r>
    </w:p>
    <w:tbl>
      <w:tblPr>
        <w:tblStyle w:val="Table2"/>
        <w:tblW w:w="9425.0" w:type="dxa"/>
        <w:jc w:val="left"/>
        <w:tblBorders>
          <w:top w:color="e6e6e6" w:space="0" w:sz="4" w:val="single"/>
          <w:left w:color="e6e6e6" w:space="0" w:sz="4" w:val="single"/>
          <w:bottom w:color="e6e6e6" w:space="0" w:sz="4" w:val="single"/>
          <w:right w:color="e6e6e6" w:space="0" w:sz="4" w:val="single"/>
          <w:insideH w:color="e6e6e6" w:space="0" w:sz="4" w:val="single"/>
          <w:insideV w:color="e6e6e6" w:space="0" w:sz="4" w:val="single"/>
        </w:tblBorders>
        <w:tblLayout w:type="fixed"/>
        <w:tblLook w:val="0600"/>
      </w:tblPr>
      <w:tblGrid>
        <w:gridCol w:w="1937"/>
        <w:gridCol w:w="1906"/>
        <w:gridCol w:w="1891"/>
        <w:gridCol w:w="1861"/>
        <w:gridCol w:w="1830"/>
        <w:tblGridChange w:id="0">
          <w:tblGrid>
            <w:gridCol w:w="1937"/>
            <w:gridCol w:w="1906"/>
            <w:gridCol w:w="1891"/>
            <w:gridCol w:w="1861"/>
            <w:gridCol w:w="1830"/>
          </w:tblGrid>
        </w:tblGridChange>
      </w:tblGrid>
      <w:tr>
        <w:trPr>
          <w:cantSplit w:val="0"/>
          <w:trHeight w:val="334" w:hRule="atLeast"/>
          <w:tblHeader w:val="1"/>
        </w:trPr>
        <w:tc>
          <w:tcPr>
            <w:tcMar>
              <w:top w:w="120.0" w:type="dxa"/>
              <w:left w:w="140.0" w:type="dxa"/>
              <w:bottom w:w="120.0" w:type="dxa"/>
              <w:right w:w="140.0" w:type="dxa"/>
            </w:tcMar>
          </w:tcPr>
          <w:p w14:paraId="0000001E">
            <w:pPr>
              <w:spacing w:after="200" w:lineRule="auto"/>
              <w:jc w:val="center"/>
              <w:rPr>
                <w:b w:val="1"/>
                <w:bCs w:val="1"/>
                <w:sz w:val="17"/>
                <w:szCs w:val="17"/>
              </w:rPr>
            </w:pPr>
            <w:r>
              <w:rPr>
                <w:b w:val="1"/>
                <w:bCs w:val="1"/>
                <w:color w:val="111111"/>
                <w:sz w:val="17"/>
                <w:szCs w:val="17"/>
                <w:rtl w:val="0"/>
              </w:rPr>
              <w:t>Target cadence</w:t>
            </w:r>
            <w:r>
              <w:rPr>
                <w:rtl w:val="0"/>
              </w:rPr>
            </w:r>
          </w:p>
        </w:tc>
        <w:tc>
          <w:tcPr>
            <w:tcMar>
              <w:top w:w="120.0" w:type="dxa"/>
              <w:left w:w="140.0" w:type="dxa"/>
              <w:bottom w:w="120.0" w:type="dxa"/>
              <w:right w:w="140.0" w:type="dxa"/>
            </w:tcMar>
          </w:tcPr>
          <w:p w14:paraId="0000001F">
            <w:pPr>
              <w:spacing w:after="200" w:lineRule="auto"/>
              <w:jc w:val="center"/>
              <w:rPr>
                <w:b w:val="1"/>
                <w:bCs w:val="1"/>
                <w:sz w:val="17"/>
                <w:szCs w:val="17"/>
              </w:rPr>
            </w:pPr>
            <w:r>
              <w:rPr>
                <w:b w:val="1"/>
                <w:bCs w:val="1"/>
                <w:color w:val="111111"/>
                <w:sz w:val="17"/>
                <w:szCs w:val="17"/>
                <w:rtl w:val="0"/>
              </w:rPr>
              <w:t>Build duration</w:t>
            </w:r>
            <w:r>
              <w:rPr>
                <w:rtl w:val="0"/>
              </w:rPr>
            </w:r>
          </w:p>
        </w:tc>
        <w:tc>
          <w:tcPr>
            <w:tcMar>
              <w:top w:w="120.0" w:type="dxa"/>
              <w:left w:w="140.0" w:type="dxa"/>
              <w:bottom w:w="120.0" w:type="dxa"/>
              <w:right w:w="140.0" w:type="dxa"/>
            </w:tcMar>
          </w:tcPr>
          <w:p w14:paraId="00000020">
            <w:pPr>
              <w:spacing w:after="200" w:lineRule="auto"/>
              <w:jc w:val="center"/>
              <w:rPr>
                <w:b w:val="1"/>
                <w:bCs w:val="1"/>
                <w:sz w:val="17"/>
                <w:szCs w:val="17"/>
              </w:rPr>
            </w:pPr>
            <w:r>
              <w:rPr>
                <w:b w:val="1"/>
                <w:bCs w:val="1"/>
                <w:color w:val="111111"/>
                <w:sz w:val="17"/>
                <w:szCs w:val="17"/>
                <w:rtl w:val="0"/>
              </w:rPr>
              <w:t>Development/design / week</w:t>
            </w:r>
            <w:r>
              <w:rPr>
                <w:rtl w:val="0"/>
              </w:rPr>
            </w:r>
          </w:p>
        </w:tc>
        <w:tc>
          <w:tcPr>
            <w:tcMar>
              <w:top w:w="120.0" w:type="dxa"/>
              <w:left w:w="140.0" w:type="dxa"/>
              <w:bottom w:w="120.0" w:type="dxa"/>
              <w:right w:w="140.0" w:type="dxa"/>
            </w:tcMar>
          </w:tcPr>
          <w:p w14:paraId="00000021">
            <w:pPr>
              <w:spacing w:after="200" w:lineRule="auto"/>
              <w:jc w:val="center"/>
              <w:rPr>
                <w:b w:val="1"/>
                <w:bCs w:val="1"/>
                <w:sz w:val="17"/>
                <w:szCs w:val="17"/>
              </w:rPr>
            </w:pPr>
            <w:r>
              <w:rPr>
                <w:b w:val="1"/>
                <w:bCs w:val="1"/>
                <w:color w:val="111111"/>
                <w:sz w:val="17"/>
                <w:szCs w:val="17"/>
                <w:rtl w:val="0"/>
              </w:rPr>
              <w:t>Coordination / week</w:t>
            </w:r>
            <w:r>
              <w:rPr>
                <w:rtl w:val="0"/>
              </w:rPr>
            </w:r>
          </w:p>
        </w:tc>
        <w:tc>
          <w:tcPr>
            <w:shd w:fill="111111" w:val="clear"/>
            <w:tcMar>
              <w:top w:w="120.0" w:type="dxa"/>
              <w:left w:w="140.0" w:type="dxa"/>
              <w:bottom w:w="120.0" w:type="dxa"/>
              <w:right w:w="140.0" w:type="dxa"/>
            </w:tcMar>
          </w:tcPr>
          <w:p w14:paraId="00000022">
            <w:pPr>
              <w:spacing w:after="200" w:lineRule="auto"/>
              <w:jc w:val="center"/>
              <w:rPr>
                <w:b w:val="1"/>
                <w:bCs w:val="1"/>
                <w:color w:val="ffffff"/>
                <w:sz w:val="17"/>
                <w:szCs w:val="17"/>
              </w:rPr>
            </w:pPr>
            <w:r>
              <w:rPr>
                <w:b w:val="1"/>
                <w:bCs w:val="1"/>
                <w:color w:val="ffffff"/>
                <w:sz w:val="17"/>
                <w:szCs w:val="17"/>
                <w:rtl w:val="0"/>
              </w:rPr>
              <w:t>Total / week</w:t>
            </w:r>
          </w:p>
        </w:tc>
      </w:tr>
      <w:tr>
        <w:trPr>
          <w:cantSplit w:val="0"/>
          <w:trHeight w:val="269" w:hRule="atLeast"/>
          <w:tblHeader w:val="0"/>
        </w:trPr>
        <w:tc>
          <w:tcPr>
            <w:tcMar>
              <w:top w:w="100.0" w:type="dxa"/>
              <w:left w:w="140.0" w:type="dxa"/>
              <w:bottom w:w="100.0" w:type="dxa"/>
              <w:right w:w="140.0" w:type="dxa"/>
            </w:tcMar>
          </w:tcPr>
          <w:p w14:paraId="00000023">
            <w:pPr>
              <w:spacing w:after="200" w:lineRule="auto"/>
              <w:jc w:val="center"/>
              <w:rPr>
                <w:sz w:val="17"/>
                <w:szCs w:val="17"/>
              </w:rPr>
            </w:pPr>
            <w:r>
              <w:rPr>
                <w:color w:val="111111"/>
                <w:sz w:val="17"/>
                <w:szCs w:val="17"/>
                <w:rtl w:val="0"/>
              </w:rPr>
              <w:t>3-5 milestones</w:t>
            </w:r>
            <w:r>
              <w:rPr>
                <w:rtl w:val="0"/>
              </w:rPr>
            </w:r>
          </w:p>
        </w:tc>
        <w:tc>
          <w:tcPr>
            <w:tcMar>
              <w:top w:w="100.0" w:type="dxa"/>
              <w:left w:w="140.0" w:type="dxa"/>
              <w:bottom w:w="100.0" w:type="dxa"/>
              <w:right w:w="140.0" w:type="dxa"/>
            </w:tcMar>
          </w:tcPr>
          <w:p w14:paraId="00000024">
            <w:pPr>
              <w:spacing w:after="200" w:lineRule="auto"/>
              <w:jc w:val="center"/>
              <w:rPr>
                <w:sz w:val="17"/>
                <w:szCs w:val="17"/>
              </w:rPr>
            </w:pPr>
            <w:r>
              <w:rPr>
                <w:color w:val="111111"/>
                <w:sz w:val="17"/>
                <w:szCs w:val="17"/>
                <w:rtl w:val="0"/>
              </w:rPr>
              <w:t>2-3 weeks</w:t>
            </w:r>
            <w:r>
              <w:rPr>
                <w:rtl w:val="0"/>
              </w:rPr>
            </w:r>
          </w:p>
        </w:tc>
        <w:tc>
          <w:tcPr>
            <w:tcMar>
              <w:top w:w="100.0" w:type="dxa"/>
              <w:left w:w="140.0" w:type="dxa"/>
              <w:bottom w:w="100.0" w:type="dxa"/>
              <w:right w:w="140.0" w:type="dxa"/>
            </w:tcMar>
          </w:tcPr>
          <w:p w14:paraId="00000025">
            <w:pPr>
              <w:spacing w:after="200" w:lineRule="auto"/>
              <w:jc w:val="center"/>
              <w:rPr>
                <w:sz w:val="17"/>
                <w:szCs w:val="17"/>
              </w:rPr>
            </w:pPr>
            <w:r>
              <w:rPr>
                <w:color w:val="111111"/>
                <w:sz w:val="17"/>
                <w:szCs w:val="17"/>
                <w:rtl w:val="0"/>
              </w:rPr>
              <w:t>10h 06m combined</w:t>
            </w:r>
            <w:r>
              <w:rPr>
                <w:rtl w:val="0"/>
              </w:rPr>
            </w:r>
          </w:p>
        </w:tc>
        <w:tc>
          <w:tcPr>
            <w:tcMar>
              <w:top w:w="100.0" w:type="dxa"/>
              <w:left w:w="140.0" w:type="dxa"/>
              <w:bottom w:w="100.0" w:type="dxa"/>
              <w:right w:w="140.0" w:type="dxa"/>
            </w:tcMar>
          </w:tcPr>
          <w:p w14:paraId="00000026">
            <w:pPr>
              <w:spacing w:after="200" w:lineRule="auto"/>
              <w:jc w:val="center"/>
              <w:rPr>
                <w:sz w:val="17"/>
                <w:szCs w:val="17"/>
              </w:rPr>
            </w:pPr>
            <w:r>
              <w:rPr>
                <w:color w:val="111111"/>
                <w:sz w:val="17"/>
                <w:szCs w:val="17"/>
                <w:rtl w:val="0"/>
              </w:rPr>
              <w:t>1h 54m combined</w:t>
            </w:r>
            <w:r>
              <w:rPr>
                <w:rtl w:val="0"/>
              </w:rPr>
            </w:r>
          </w:p>
        </w:tc>
        <w:tc>
          <w:tcPr>
            <w:shd w:fill="ffffff" w:val="clear"/>
            <w:tcMar>
              <w:top w:w="100.0" w:type="dxa"/>
              <w:left w:w="140.0" w:type="dxa"/>
              <w:bottom w:w="100.0" w:type="dxa"/>
              <w:right w:w="140.0" w:type="dxa"/>
            </w:tcMar>
          </w:tcPr>
          <w:p w14:paraId="00000027">
            <w:pPr>
              <w:spacing w:after="200" w:lineRule="auto"/>
              <w:jc w:val="center"/>
              <w:rPr>
                <w:b w:val="1"/>
                <w:bCs w:val="1"/>
                <w:sz w:val="18"/>
                <w:szCs w:val="18"/>
              </w:rPr>
            </w:pPr>
            <w:r>
              <w:rPr>
                <w:b w:val="1"/>
                <w:bCs w:val="1"/>
                <w:color w:val="111111"/>
                <w:sz w:val="18"/>
                <w:szCs w:val="18"/>
                <w:rtl w:val="0"/>
              </w:rPr>
              <w:t>12h combined</w:t>
            </w:r>
            <w:r>
              <w:rPr>
                <w:rtl w:val="0"/>
              </w:rPr>
            </w:r>
          </w:p>
        </w:tc>
      </w:tr>
    </w:tbl>
    <w:p>
      <w:pPr>
        <w:pStyle w:val="Heading2"/>
        <w:keepNext/>
      </w:pPr>
      <w:r>
        <w:t>Weekly person-level commitment</w:t>
      </w:r>
    </w:p>
    <w:tbl>
      <w:tblPr>
        <w:tblStyle w:val="Table3"/>
        <w:tblW w:w="9345.0" w:type="dxa"/>
        <w:jc w:val="left"/>
        <w:tblLayout w:type="fixed"/>
        <w:tblLook w:val="0400"/>
      </w:tblPr>
      <w:tblGrid>
        <w:gridCol w:w="1152"/>
        <w:gridCol w:w="2520"/>
        <w:gridCol w:w="3096"/>
        <w:gridCol w:w="3528"/>
        <w:tblGridChange w:id="0">
          <w:tblGrid>
            <w:gridCol w:w="2200"/>
            <w:gridCol w:w="1150"/>
            <w:gridCol w:w="3600"/>
            <w:gridCol w:w="2395"/>
          </w:tblGrid>
        </w:tblGridChange>
      </w:tblGrid>
      <w:tr>
        <w:trPr>
          <w:cantSplit w:val="0"/>
          <w:trHeight w:val="480" w:hRule="atLeast"/>
          <w:tblHeader w:val="1"/>
        </w:trPr>
        <w:tc>
          <w:tcPr>
            <w:tcW w:type="dxa" w:w="1152"/>
            <w:tcBorders>
              <w:top w:color="e6e6e6" w:space="0" w:sz="4" w:val="single"/>
              <w:bottom w:color="e6e6e6" w:space="0" w:sz="4" w:val="single"/>
            </w:tcBorders>
            <w:shd w:fill="111111" w:val="clear"/>
            <w:tcMar>
              <w:top w:w="120.0" w:type="dxa"/>
              <w:bottom w:w="120.0" w:type="dxa"/>
            </w:tcMar>
            <w:vAlign w:val="center"/>
          </w:tcPr>
          <w:p w14:paraId="0000002B">
            <w:pPr>
              <w:keepNext w:val="0"/>
              <w:spacing w:after="0" w:before="0" w:line="240" w:lineRule="auto"/>
              <w:jc w:val="center"/>
              <w:rPr/>
            </w:pPr>
            <w:r>
              <w:rPr>
                <w:rFonts w:ascii="Arial" w:cs="Arial" w:eastAsia="Arial" w:hAnsi="Arial"/>
                <w:b w:val="1"/>
                <w:bCs w:val="1"/>
                <w:i w:val="0"/>
                <w:iCs w:val="0"/>
                <w:color w:val="ffffff"/>
                <w:sz w:val="17"/>
                <w:szCs w:val="16"/>
                <w:rtl w:val="0"/>
              </w:rPr>
              <w:t>Person</w:t>
            </w:r>
            <w:r>
              <w:rPr>
                <w:sz w:val="17"/>
                <w:rtl w:val="0"/>
              </w:rPr>
            </w:r>
          </w:p>
        </w:tc>
        <w:tc>
          <w:tcPr>
            <w:tcW w:type="dxa" w:w="2520"/>
            <w:tcBorders>
              <w:top w:color="e6e6e6" w:space="0" w:sz="4" w:val="single"/>
              <w:bottom w:color="e6e6e6" w:space="0" w:sz="4" w:val="single"/>
            </w:tcBorders>
            <w:shd w:fill="111111" w:val="clear"/>
            <w:tcMar>
              <w:top w:w="120.0" w:type="dxa"/>
              <w:bottom w:w="120.0" w:type="dxa"/>
            </w:tcMar>
            <w:vAlign w:val="center"/>
          </w:tcPr>
          <w:p w14:paraId="0000002C">
            <w:pPr>
              <w:keepNext w:val="0"/>
              <w:spacing w:after="0" w:before="0" w:line="240" w:lineRule="auto"/>
              <w:jc w:val="center"/>
              <w:rPr/>
            </w:pPr>
            <w:r>
              <w:rPr>
                <w:rFonts w:ascii="Arial" w:cs="Arial" w:eastAsia="Arial" w:hAnsi="Arial"/>
                <w:b w:val="1"/>
                <w:bCs w:val="1"/>
                <w:i w:val="0"/>
                <w:iCs w:val="0"/>
                <w:color w:val="ffffff"/>
                <w:sz w:val="17"/>
                <w:szCs w:val="16"/>
                <w:rtl w:val="0"/>
              </w:rPr>
              <w:t>Development or design / week</w:t>
            </w:r>
            <w:r>
              <w:rPr>
                <w:sz w:val="17"/>
                <w:rtl w:val="0"/>
              </w:rPr>
            </w:r>
          </w:p>
        </w:tc>
        <w:tc>
          <w:tcPr>
            <w:tcW w:type="dxa" w:w="3096"/>
            <w:tcBorders>
              <w:top w:color="e6e6e6" w:space="0" w:sz="4" w:val="single"/>
              <w:bottom w:color="e6e6e6" w:space="0" w:sz="4" w:val="single"/>
            </w:tcBorders>
            <w:shd w:fill="111111" w:val="clear"/>
            <w:tcMar>
              <w:top w:w="120.0" w:type="dxa"/>
              <w:bottom w:w="120.0" w:type="dxa"/>
            </w:tcMar>
            <w:vAlign w:val="center"/>
          </w:tcPr>
          <w:p w14:paraId="0000002D">
            <w:pPr>
              <w:keepNext w:val="0"/>
              <w:spacing w:after="0" w:before="0" w:line="240" w:lineRule="auto"/>
              <w:jc w:val="center"/>
              <w:rPr/>
            </w:pPr>
            <w:r>
              <w:rPr>
                <w:rFonts w:ascii="Arial" w:cs="Arial" w:eastAsia="Arial" w:hAnsi="Arial"/>
                <w:b w:val="1"/>
                <w:bCs w:val="1"/>
                <w:i w:val="0"/>
                <w:iCs w:val="0"/>
                <w:color w:val="ffffff"/>
                <w:sz w:val="17"/>
                <w:szCs w:val="16"/>
                <w:rtl w:val="0"/>
              </w:rPr>
              <w:t>Coordination and total / week</w:t>
            </w:r>
            <w:r>
              <w:rPr>
                <w:sz w:val="17"/>
                <w:rtl w:val="0"/>
              </w:rPr>
            </w:r>
          </w:p>
        </w:tc>
        <w:tc>
          <w:tcPr>
            <w:tcW w:type="dxa" w:w="3528"/>
            <w:tcBorders>
              <w:top w:color="e6e6e6" w:space="0" w:sz="4" w:val="single"/>
              <w:bottom w:color="e6e6e6" w:space="0" w:sz="4" w:val="single"/>
            </w:tcBorders>
            <w:shd w:fill="111111" w:val="clear"/>
            <w:tcMar>
              <w:top w:w="120.0" w:type="dxa"/>
              <w:bottom w:w="120.0" w:type="dxa"/>
            </w:tcMar>
            <w:vAlign w:val="center"/>
          </w:tcPr>
          <w:p w14:paraId="0000002E">
            <w:pPr>
              <w:keepNext w:val="0"/>
              <w:spacing w:after="0" w:before="0" w:line="240" w:lineRule="auto"/>
              <w:jc w:val="center"/>
              <w:rPr/>
            </w:pPr>
            <w:r>
              <w:rPr>
                <w:rFonts w:ascii="Arial" w:cs="Arial" w:eastAsia="Arial" w:hAnsi="Arial"/>
                <w:b w:val="1"/>
                <w:bCs w:val="1"/>
                <w:i w:val="0"/>
                <w:iCs w:val="0"/>
                <w:color w:val="ffffff"/>
                <w:sz w:val="17"/>
                <w:szCs w:val="16"/>
                <w:rtl w:val="0"/>
              </w:rPr>
              <w:t>Feature responsibilities</w:t>
            </w:r>
            <w:r>
              <w:rPr>
                <w:sz w:val="17"/>
                <w:rtl w:val="0"/>
              </w:rPr>
            </w:r>
          </w:p>
        </w:tc>
      </w:tr>
      <w:tr>
        <w:trPr>
          <w:cantSplit w:val="1"/>
          <w:trHeight w:val="440" w:hRule="atLeast"/>
          <w:tblHeader w:val="0"/>
        </w:trPr>
        <w:tc>
          <w:tcPr>
            <w:tcW w:type="dxa" w:w="1152"/>
            <w:tcBorders>
              <w:top w:color="e6e6e6" w:space="0" w:sz="4" w:val="single"/>
              <w:bottom w:color="e6e6e6" w:space="0" w:sz="4" w:val="single"/>
            </w:tcBorders>
            <w:shd w:fill="f7f7f7" w:val="clear"/>
            <w:tcMar>
              <w:top w:w="100.0" w:type="dxa"/>
              <w:bottom w:w="100.0" w:type="dxa"/>
            </w:tcMar>
            <w:vAlign w:val="center"/>
          </w:tcPr>
          <w:p w14:paraId="0000002F">
            <w:pPr>
              <w:keepNext w:val="0"/>
              <w:spacing w:after="0" w:before="0" w:line="240" w:lineRule="auto"/>
              <w:jc w:val="left"/>
              <w:rPr/>
            </w:pPr>
            <w:r>
              <w:rPr>
                <w:rFonts w:ascii="Arial" w:cs="Arial" w:eastAsia="Arial" w:hAnsi="Arial"/>
                <w:b w:val="0"/>
                <w:bCs w:val="0"/>
                <w:i w:val="0"/>
                <w:iCs w:val="0"/>
                <w:color w:val="111111"/>
                <w:sz w:val="17"/>
                <w:szCs w:val="16"/>
                <w:rtl w:val="0"/>
              </w:rPr>
              <w:t>Bernie</w:t>
            </w:r>
            <w:r>
              <w:rPr>
                <w:sz w:val="17"/>
                <w:rtl w:val="0"/>
              </w:rPr>
            </w:r>
          </w:p>
        </w:tc>
        <w:tc>
          <w:tcPr>
            <w:tcW w:type="dxa" w:w="2520"/>
            <w:tcBorders>
              <w:top w:color="e6e6e6" w:space="0" w:sz="4" w:val="single"/>
              <w:bottom w:color="e6e6e6" w:space="0" w:sz="4" w:val="single"/>
            </w:tcBorders>
            <w:shd w:fill="f7f7f7" w:val="clear"/>
            <w:tcMar>
              <w:top w:w="100.0" w:type="dxa"/>
              <w:bottom w:w="100.0" w:type="dxa"/>
            </w:tcMar>
            <w:vAlign w:val="center"/>
          </w:tcPr>
          <w:p w14:paraId="00000030">
            <w:pPr>
              <w:keepNext w:val="0"/>
              <w:spacing w:after="0" w:before="0" w:line="240" w:lineRule="auto"/>
              <w:jc w:val="right"/>
              <w:rPr/>
            </w:pPr>
            <w:r>
              <w:rPr>
                <w:rFonts w:ascii="Arial" w:cs="Arial" w:eastAsia="Arial" w:hAnsi="Arial"/>
                <w:b w:val="0"/>
                <w:bCs w:val="0"/>
                <w:i w:val="0"/>
                <w:iCs w:val="0"/>
                <w:color w:val="111111"/>
                <w:sz w:val="17"/>
                <w:szCs w:val="16"/>
                <w:rtl w:val="0"/>
              </w:rPr>
              <w:t>8h 06m core development, technical checks and self-review</w:t>
            </w:r>
            <w:r>
              <w:rPr>
                <w:sz w:val="17"/>
                <w:rtl w:val="0"/>
              </w:rPr>
            </w:r>
          </w:p>
        </w:tc>
        <w:tc>
          <w:tcPr>
            <w:tcW w:type="dxa" w:w="3096"/>
            <w:tcBorders>
              <w:top w:color="e6e6e6" w:space="0" w:sz="4" w:val="single"/>
              <w:bottom w:color="e6e6e6" w:space="0" w:sz="4" w:val="single"/>
            </w:tcBorders>
            <w:shd w:fill="f7f7f7" w:val="clear"/>
            <w:tcMar>
              <w:top w:w="100.0" w:type="dxa"/>
              <w:bottom w:w="100.0" w:type="dxa"/>
            </w:tcMar>
            <w:vAlign w:val="center"/>
          </w:tcPr>
          <w:p w14:paraId="00000031">
            <w:pPr>
              <w:keepNext w:val="0"/>
              <w:spacing w:after="0" w:before="0" w:line="240" w:lineRule="auto"/>
              <w:jc w:val="left"/>
              <w:rPr/>
            </w:pPr>
            <w:r>
              <w:rPr>
                <w:rFonts w:ascii="Arial" w:cs="Arial" w:eastAsia="Arial" w:hAnsi="Arial"/>
                <w:b w:val="0"/>
                <w:bCs w:val="0"/>
                <w:i w:val="0"/>
                <w:iCs w:val="0"/>
                <w:color w:val="111111"/>
                <w:sz w:val="17"/>
                <w:szCs w:val="16"/>
                <w:rtl w:val="0"/>
              </w:rPr>
              <w:t>1h 30m coordination; 9h 36m total (80%)</w:t>
            </w:r>
            <w:r>
              <w:rPr>
                <w:sz w:val="17"/>
                <w:rtl w:val="0"/>
              </w:rPr>
            </w:r>
          </w:p>
        </w:tc>
        <w:tc>
          <w:tcPr>
            <w:tcW w:type="dxa" w:w="3528"/>
            <w:tcBorders>
              <w:top w:color="e6e6e6" w:space="0" w:sz="4" w:val="single"/>
              <w:bottom w:color="e6e6e6" w:space="0" w:sz="4" w:val="single"/>
            </w:tcBorders>
            <w:shd w:fill="f7f7f7" w:val="clear"/>
            <w:tcMar>
              <w:top w:w="100.0" w:type="dxa"/>
              <w:bottom w:w="100.0" w:type="dxa"/>
            </w:tcMar>
            <w:vAlign w:val="center"/>
          </w:tcPr>
          <w:p w14:paraId="00000032">
            <w:pPr>
              <w:keepNext w:val="0"/>
              <w:spacing w:after="0" w:before="0" w:line="240" w:lineRule="auto"/>
              <w:jc w:val="left"/>
              <w:rPr/>
            </w:pPr>
            <w:r>
              <w:rPr>
                <w:rFonts w:ascii="Arial" w:cs="Arial" w:eastAsia="Arial" w:hAnsi="Arial"/>
                <w:b w:val="0"/>
                <w:bCs w:val="0"/>
                <w:i w:val="0"/>
                <w:iCs w:val="0"/>
                <w:color w:val="111111"/>
                <w:sz w:val="17"/>
                <w:szCs w:val="16"/>
                <w:rtl w:val="0"/>
              </w:rPr>
              <w:t>Core application, technical verification and documented technical self-review</w:t>
            </w:r>
            <w:r>
              <w:rPr>
                <w:sz w:val="17"/>
                <w:rtl w:val="0"/>
              </w:rPr>
            </w:r>
          </w:p>
        </w:tc>
      </w:tr>
      <w:tr>
        <w:trPr>
          <w:cantSplit w:val="1"/>
          <w:trHeight w:val="440" w:hRule="atLeast"/>
          <w:tblHeader w:val="0"/>
        </w:trPr>
        <w:tc>
          <w:tcPr>
            <w:tcW w:type="dxa" w:w="1152"/>
            <w:tcBorders>
              <w:top w:color="e6e6e6" w:space="0" w:sz="4" w:val="single"/>
              <w:bottom w:color="e6e6e6" w:space="0" w:sz="4" w:val="single"/>
            </w:tcBorders>
            <w:shd w:fill="ffffff" w:val="clear"/>
            <w:tcMar>
              <w:top w:w="100.0" w:type="dxa"/>
              <w:bottom w:w="100.0" w:type="dxa"/>
            </w:tcMar>
            <w:vAlign w:val="center"/>
          </w:tcPr>
          <w:p w14:paraId="00000033">
            <w:pPr>
              <w:keepNext w:val="0"/>
              <w:spacing w:after="0" w:before="0" w:line="240" w:lineRule="auto"/>
              <w:jc w:val="left"/>
              <w:rPr/>
            </w:pPr>
            <w:r>
              <w:rPr>
                <w:rFonts w:ascii="Arial" w:cs="Arial" w:eastAsia="Arial" w:hAnsi="Arial"/>
                <w:b w:val="0"/>
                <w:bCs w:val="0"/>
                <w:i w:val="0"/>
                <w:iCs w:val="0"/>
                <w:color w:val="111111"/>
                <w:sz w:val="17"/>
                <w:szCs w:val="16"/>
                <w:rtl w:val="0"/>
              </w:rPr>
              <w:t>Saturnino</w:t>
            </w:r>
            <w:r>
              <w:rPr>
                <w:sz w:val="17"/>
                <w:rtl w:val="0"/>
              </w:rPr>
            </w:r>
          </w:p>
        </w:tc>
        <w:tc>
          <w:tcPr>
            <w:tcW w:type="dxa" w:w="2520"/>
            <w:tcBorders>
              <w:top w:color="e6e6e6" w:space="0" w:sz="4" w:val="single"/>
              <w:bottom w:color="e6e6e6" w:space="0" w:sz="4" w:val="single"/>
            </w:tcBorders>
            <w:shd w:fill="ffffff" w:val="clear"/>
            <w:tcMar>
              <w:top w:w="100.0" w:type="dxa"/>
              <w:bottom w:w="100.0" w:type="dxa"/>
            </w:tcMar>
            <w:vAlign w:val="center"/>
          </w:tcPr>
          <w:p w14:paraId="00000034">
            <w:pPr>
              <w:keepNext w:val="0"/>
              <w:spacing w:after="0" w:before="0" w:line="240" w:lineRule="auto"/>
              <w:jc w:val="right"/>
              <w:rPr/>
            </w:pPr>
            <w:r>
              <w:rPr>
                <w:rFonts w:ascii="Arial" w:cs="Arial" w:eastAsia="Arial" w:hAnsi="Arial"/>
                <w:b w:val="0"/>
                <w:bCs w:val="0"/>
                <w:i w:val="0"/>
                <w:iCs w:val="0"/>
                <w:color w:val="111111"/>
                <w:sz w:val="17"/>
                <w:szCs w:val="16"/>
                <w:rtl w:val="0"/>
              </w:rPr>
              <w:t>2h flexible UI design and small UI implementation, including usability and accessibility checks</w:t>
            </w:r>
            <w:r>
              <w:rPr>
                <w:sz w:val="17"/>
                <w:rtl w:val="0"/>
              </w:rPr>
            </w:r>
          </w:p>
        </w:tc>
        <w:tc>
          <w:tcPr>
            <w:tcW w:type="dxa" w:w="3096"/>
            <w:tcBorders>
              <w:top w:color="e6e6e6" w:space="0" w:sz="4" w:val="single"/>
              <w:bottom w:color="e6e6e6" w:space="0" w:sz="4" w:val="single"/>
            </w:tcBorders>
            <w:shd w:fill="ffffff" w:val="clear"/>
            <w:tcMar>
              <w:top w:w="100.0" w:type="dxa"/>
              <w:bottom w:w="100.0" w:type="dxa"/>
            </w:tcMar>
            <w:vAlign w:val="center"/>
          </w:tcPr>
          <w:p w14:paraId="00000035">
            <w:pPr>
              <w:keepNext w:val="0"/>
              <w:spacing w:after="0" w:before="0" w:line="240" w:lineRule="auto"/>
              <w:jc w:val="left"/>
              <w:rPr/>
            </w:pPr>
            <w:r>
              <w:rPr>
                <w:rFonts w:ascii="Arial" w:cs="Arial" w:eastAsia="Arial" w:hAnsi="Arial"/>
                <w:b w:val="0"/>
                <w:bCs w:val="0"/>
                <w:i w:val="0"/>
                <w:iCs w:val="0"/>
                <w:color w:val="111111"/>
                <w:sz w:val="17"/>
                <w:szCs w:val="16"/>
                <w:rtl w:val="0"/>
              </w:rPr>
              <w:t>24m coordination; 2h 24m total (20%)</w:t>
            </w:r>
            <w:r>
              <w:rPr>
                <w:sz w:val="17"/>
                <w:rtl w:val="0"/>
              </w:rPr>
            </w:r>
          </w:p>
        </w:tc>
        <w:tc>
          <w:tcPr>
            <w:tcW w:type="dxa" w:w="3528"/>
            <w:tcBorders>
              <w:top w:color="e6e6e6" w:space="0" w:sz="4" w:val="single"/>
              <w:bottom w:color="e6e6e6" w:space="0" w:sz="4" w:val="single"/>
            </w:tcBorders>
            <w:shd w:fill="ffffff" w:val="clear"/>
            <w:tcMar>
              <w:top w:w="100.0" w:type="dxa"/>
              <w:bottom w:w="100.0" w:type="dxa"/>
            </w:tcMar>
            <w:vAlign w:val="center"/>
          </w:tcPr>
          <w:p w14:paraId="00000036">
            <w:pPr>
              <w:keepNext w:val="0"/>
              <w:spacing w:after="0" w:before="0" w:line="240" w:lineRule="auto"/>
              <w:jc w:val="left"/>
              <w:rPr/>
            </w:pPr>
            <w:r>
              <w:rPr>
                <w:rFonts w:ascii="Arial" w:cs="Arial" w:eastAsia="Arial" w:hAnsi="Arial"/>
                <w:b w:val="0"/>
                <w:bCs w:val="0"/>
                <w:i w:val="0"/>
                <w:iCs w:val="0"/>
                <w:color w:val="111111"/>
                <w:sz w:val="17"/>
                <w:szCs w:val="16"/>
                <w:rtl w:val="0"/>
              </w:rPr>
              <w:t>Implementation-ready UX design and bounded UI coding after stable contracts</w:t>
            </w:r>
            <w:r>
              <w:rPr>
                <w:sz w:val="17"/>
                <w:rtl w:val="0"/>
              </w:rPr>
            </w:r>
          </w:p>
        </w:tc>
      </w:tr>
      <w:tr>
        <w:trPr>
          <w:cantSplit w:val="1"/>
          <w:trHeight w:val="440" w:hRule="atLeast"/>
          <w:tblHeader w:val="0"/>
        </w:trPr>
        <w:tc>
          <w:tcPr>
            <w:tcW w:type="dxa" w:w="1152"/>
            <w:tcBorders>
              <w:top w:color="e6e6e6" w:space="0" w:sz="4" w:val="single"/>
              <w:bottom w:color="e6e6e6" w:space="0" w:sz="4" w:val="single"/>
            </w:tcBorders>
            <w:shd w:fill="f7f7f7" w:val="clear"/>
            <w:tcMar>
              <w:top w:w="100.0" w:type="dxa"/>
              <w:bottom w:w="100.0" w:type="dxa"/>
            </w:tcMar>
            <w:vAlign w:val="center"/>
          </w:tcPr>
          <w:p w14:paraId="00000037">
            <w:pPr>
              <w:keepNext w:val="0"/>
              <w:spacing w:after="0" w:before="0" w:line="240" w:lineRule="auto"/>
              <w:jc w:val="left"/>
              <w:rPr/>
            </w:pPr>
            <w:r>
              <w:rPr>
                <w:rFonts w:ascii="Arial" w:cs="Arial" w:eastAsia="Arial" w:hAnsi="Arial"/>
                <w:b w:val="0"/>
                <w:bCs w:val="0"/>
                <w:i w:val="0"/>
                <w:iCs w:val="0"/>
                <w:color w:val="111111"/>
                <w:sz w:val="17"/>
                <w:szCs w:val="16"/>
                <w:rtl w:val="0"/>
              </w:rPr>
              <w:t>Combined</w:t>
            </w:r>
            <w:r>
              <w:rPr>
                <w:sz w:val="17"/>
                <w:rtl w:val="0"/>
              </w:rPr>
            </w:r>
          </w:p>
        </w:tc>
        <w:tc>
          <w:tcPr>
            <w:tcW w:type="dxa" w:w="2520"/>
            <w:tcBorders>
              <w:top w:color="e6e6e6" w:space="0" w:sz="4" w:val="single"/>
              <w:bottom w:color="e6e6e6" w:space="0" w:sz="4" w:val="single"/>
            </w:tcBorders>
            <w:shd w:fill="f7f7f7" w:val="clear"/>
            <w:tcMar>
              <w:top w:w="100.0" w:type="dxa"/>
              <w:bottom w:w="100.0" w:type="dxa"/>
            </w:tcMar>
            <w:vAlign w:val="center"/>
          </w:tcPr>
          <w:p w14:paraId="00000038">
            <w:pPr>
              <w:keepNext w:val="0"/>
              <w:spacing w:after="0" w:before="0" w:line="240" w:lineRule="auto"/>
              <w:jc w:val="right"/>
              <w:rPr/>
            </w:pPr>
            <w:r>
              <w:rPr>
                <w:rFonts w:ascii="Arial" w:cs="Arial" w:eastAsia="Arial" w:hAnsi="Arial"/>
                <w:b w:val="0"/>
                <w:bCs w:val="0"/>
                <w:i w:val="0"/>
                <w:iCs w:val="0"/>
                <w:color w:val="111111"/>
                <w:sz w:val="17"/>
                <w:szCs w:val="16"/>
                <w:rtl w:val="0"/>
              </w:rPr>
              <w:t>10h 06m</w:t>
            </w:r>
            <w:r>
              <w:rPr>
                <w:sz w:val="17"/>
                <w:rtl w:val="0"/>
              </w:rPr>
            </w:r>
          </w:p>
        </w:tc>
        <w:tc>
          <w:tcPr>
            <w:tcW w:type="dxa" w:w="3096"/>
            <w:tcBorders>
              <w:top w:color="e6e6e6" w:space="0" w:sz="4" w:val="single"/>
              <w:bottom w:color="e6e6e6" w:space="0" w:sz="4" w:val="single"/>
            </w:tcBorders>
            <w:shd w:fill="f7f7f7" w:val="clear"/>
            <w:tcMar>
              <w:top w:w="100.0" w:type="dxa"/>
              <w:bottom w:w="100.0" w:type="dxa"/>
            </w:tcMar>
            <w:vAlign w:val="center"/>
          </w:tcPr>
          <w:p w14:paraId="00000039">
            <w:pPr>
              <w:keepNext w:val="0"/>
              <w:spacing w:after="0" w:before="0" w:line="240" w:lineRule="auto"/>
              <w:jc w:val="left"/>
              <w:rPr/>
            </w:pPr>
            <w:r>
              <w:rPr>
                <w:rFonts w:ascii="Arial" w:cs="Arial" w:eastAsia="Arial" w:hAnsi="Arial"/>
                <w:b w:val="0"/>
                <w:bCs w:val="0"/>
                <w:i w:val="0"/>
                <w:iCs w:val="0"/>
                <w:color w:val="111111"/>
                <w:sz w:val="17"/>
                <w:szCs w:val="16"/>
                <w:rtl w:val="0"/>
              </w:rPr>
              <w:t>1h 54m coordination; 12h total</w:t>
            </w:r>
            <w:r>
              <w:rPr>
                <w:sz w:val="17"/>
                <w:rtl w:val="0"/>
              </w:rPr>
            </w:r>
          </w:p>
        </w:tc>
        <w:tc>
          <w:tcPr>
            <w:tcW w:type="dxa" w:w="3528"/>
            <w:tcBorders>
              <w:top w:color="e6e6e6" w:space="0" w:sz="4" w:val="single"/>
              <w:bottom w:color="e6e6e6" w:space="0" w:sz="4" w:val="single"/>
            </w:tcBorders>
            <w:shd w:fill="f7f7f7" w:val="clear"/>
            <w:tcMar>
              <w:top w:w="100.0" w:type="dxa"/>
              <w:bottom w:w="100.0" w:type="dxa"/>
            </w:tcMar>
            <w:vAlign w:val="center"/>
          </w:tcPr>
          <w:p w14:paraId="0000003A">
            <w:pPr>
              <w:keepNext w:val="0"/>
              <w:spacing w:after="0" w:before="0" w:line="240" w:lineRule="auto"/>
              <w:jc w:val="left"/>
              <w:rPr/>
            </w:pPr>
            <w:r>
              <w:rPr>
                <w:rFonts w:ascii="Arial" w:cs="Arial" w:eastAsia="Arial" w:hAnsi="Arial"/>
                <w:b w:val="0"/>
                <w:bCs w:val="0"/>
                <w:i w:val="0"/>
                <w:iCs w:val="0"/>
                <w:color w:val="111111"/>
                <w:sz w:val="17"/>
                <w:szCs w:val="16"/>
                <w:rtl w:val="0"/>
              </w:rPr>
              <w:t>Coordinated delivery, technical self-review, UX review and owner acceptance</w:t>
            </w:r>
            <w:r>
              <w:rPr>
                <w:sz w:val="17"/>
                <w:rtl w:val="0"/>
              </w:rPr>
            </w:r>
          </w:p>
        </w:tc>
      </w:tr>
      <w:tr>
        <w:trPr>
          <w:cantSplit w:val="1"/>
          <w:trHeight w:val="440" w:hRule="atLeast"/>
          <w:tblHeader w:val="0"/>
        </w:trPr>
        <w:tc>
          <w:tcPr>
            <w:tcW w:type="dxa" w:w="1152"/>
            <w:tcBorders>
              <w:top w:color="e6e6e6" w:space="0" w:sz="4" w:val="single"/>
              <w:bottom w:color="e6e6e6" w:space="0" w:sz="4" w:val="single"/>
            </w:tcBorders>
            <w:shd w:fill="111111" w:val="clear"/>
            <w:tcMar>
              <w:top w:w="100.0" w:type="dxa"/>
              <w:bottom w:w="100.0" w:type="dxa"/>
            </w:tcMar>
            <w:vAlign w:val="center"/>
          </w:tcPr>
          <w:p w14:paraId="0000003B">
            <w:pPr>
              <w:keepNext w:val="0"/>
              <w:spacing w:after="0" w:before="0" w:line="240" w:lineRule="auto"/>
              <w:jc w:val="left"/>
              <w:rPr/>
            </w:pPr>
            <w:r>
              <w:rPr>
                <w:rFonts w:ascii="Arial" w:cs="Arial" w:eastAsia="Arial" w:hAnsi="Arial"/>
                <w:b w:val="1"/>
                <w:bCs w:val="1"/>
                <w:i w:val="0"/>
                <w:iCs w:val="0"/>
                <w:color w:val="ffffff"/>
                <w:sz w:val="17"/>
                <w:szCs w:val="16"/>
                <w:rtl w:val="0"/>
              </w:rPr>
              <w:t>Former plan</w:t>
            </w:r>
            <w:r>
              <w:rPr>
                <w:sz w:val="17"/>
                <w:rtl w:val="0"/>
              </w:rPr>
            </w:r>
          </w:p>
        </w:tc>
        <w:tc>
          <w:tcPr>
            <w:tcW w:type="dxa" w:w="2520"/>
            <w:tcBorders>
              <w:top w:color="e6e6e6" w:space="0" w:sz="4" w:val="single"/>
              <w:bottom w:color="e6e6e6" w:space="0" w:sz="4" w:val="single"/>
            </w:tcBorders>
            <w:shd w:fill="111111" w:val="clear"/>
            <w:tcMar>
              <w:top w:w="100.0" w:type="dxa"/>
              <w:bottom w:w="100.0" w:type="dxa"/>
            </w:tcMar>
            <w:vAlign w:val="center"/>
          </w:tcPr>
          <w:p w14:paraId="0000003C">
            <w:pPr>
              <w:keepNext w:val="0"/>
              <w:spacing w:after="0" w:before="0" w:line="240" w:lineRule="auto"/>
              <w:jc w:val="right"/>
              <w:rPr/>
            </w:pPr>
            <w:r>
              <w:rPr>
                <w:rFonts w:ascii="Arial" w:cs="Arial" w:eastAsia="Arial" w:hAnsi="Arial"/>
                <w:b w:val="1"/>
                <w:bCs w:val="1"/>
                <w:i w:val="0"/>
                <w:iCs w:val="0"/>
                <w:color w:val="ffffff"/>
                <w:sz w:val="17"/>
                <w:szCs w:val="16"/>
                <w:rtl w:val="0"/>
              </w:rPr>
              <w:t>12h/person implementation</w:t>
            </w:r>
            <w:r>
              <w:rPr>
                <w:sz w:val="17"/>
                <w:rtl w:val="0"/>
              </w:rPr>
            </w:r>
          </w:p>
        </w:tc>
        <w:tc>
          <w:tcPr>
            <w:tcW w:type="dxa" w:w="3096"/>
            <w:tcBorders>
              <w:top w:color="e6e6e6" w:space="0" w:sz="4" w:val="single"/>
              <w:bottom w:color="e6e6e6" w:space="0" w:sz="4" w:val="single"/>
            </w:tcBorders>
            <w:shd w:fill="111111" w:val="clear"/>
            <w:tcMar>
              <w:top w:w="100.0" w:type="dxa"/>
              <w:bottom w:w="100.0" w:type="dxa"/>
            </w:tcMar>
            <w:vAlign w:val="center"/>
          </w:tcPr>
          <w:p w14:paraId="0000003D">
            <w:pPr>
              <w:keepNext w:val="0"/>
              <w:spacing w:after="0" w:before="0" w:line="240" w:lineRule="auto"/>
              <w:jc w:val="left"/>
              <w:rPr/>
            </w:pPr>
            <w:r>
              <w:rPr>
                <w:rFonts w:ascii="Arial" w:cs="Arial" w:eastAsia="Arial" w:hAnsi="Arial"/>
                <w:b w:val="1"/>
                <w:bCs w:val="1"/>
                <w:i w:val="0"/>
                <w:iCs w:val="0"/>
                <w:color w:val="ffffff"/>
                <w:sz w:val="17"/>
                <w:szCs w:val="16"/>
                <w:rtl w:val="0"/>
              </w:rPr>
              <w:t>3h/person coordination; 15h/person total</w:t>
            </w:r>
            <w:r>
              <w:rPr>
                <w:sz w:val="17"/>
                <w:rtl w:val="0"/>
              </w:rPr>
            </w:r>
          </w:p>
        </w:tc>
        <w:tc>
          <w:tcPr>
            <w:tcW w:type="dxa" w:w="3528"/>
            <w:tcBorders>
              <w:top w:color="e6e6e6" w:space="0" w:sz="4" w:val="single"/>
              <w:bottom w:color="e6e6e6" w:space="0" w:sz="4" w:val="single"/>
            </w:tcBorders>
            <w:shd w:fill="111111" w:val="clear"/>
            <w:tcMar>
              <w:top w:w="100.0" w:type="dxa"/>
              <w:bottom w:w="100.0" w:type="dxa"/>
            </w:tcMar>
            <w:vAlign w:val="center"/>
          </w:tcPr>
          <w:p w14:paraId="0000003E">
            <w:pPr>
              <w:keepNext w:val="0"/>
              <w:spacing w:after="0" w:before="0" w:line="240" w:lineRule="auto"/>
              <w:jc w:val="left"/>
              <w:rPr/>
            </w:pPr>
            <w:r>
              <w:rPr>
                <w:rFonts w:ascii="Arial" w:cs="Arial" w:eastAsia="Arial" w:hAnsi="Arial"/>
                <w:b w:val="1"/>
                <w:bCs w:val="1"/>
                <w:i w:val="0"/>
                <w:iCs w:val="0"/>
                <w:color w:val="ffffff"/>
                <w:sz w:val="17"/>
                <w:szCs w:val="16"/>
                <w:rtl w:val="0"/>
              </w:rPr>
              <w:t>Superseded baseline; actual availability unverified</w:t>
            </w:r>
            <w:r>
              <w:rPr>
                <w:sz w:val="17"/>
                <w:rtl w:val="0"/>
              </w:rPr>
            </w:r>
          </w:p>
        </w:tc>
      </w:tr>
    </w:tbl>
    <w:p>
      <w:pPr>
        <w:pStyle w:val="Heading2"/>
        <w:keepNext/>
      </w:pPr>
      <w:r>
        <w:t>Capacity fit and estimate basis</w:t>
      </w:r>
    </w:p>
    <w:p>
      <w:pPr>
        <w:keepNext/>
        <w:keepLines/>
      </w:pPr>
      <w:r>
        <w:t>The project requires 12 hours each week: Bernie 9h 36m and Saturnino 2h 24m. Whether these hours fit within current calendars or require changes to other commitments has not been verified and must be confirmed before dates are set.</w:t>
      </w:r>
    </w:p>
    <w:p>
      <w:pPr>
        <w:keepLines/>
      </w:pPr>
      <w:r>
        <w:t>The superseded 640-hour estimate (328h Dev A; 312h Dev B) already included AI assistance. The revised short forecast is provisional, unvalidated and not apportioned across milestones. Across 2-3 weeks, it totals 24-36 project hours: 20h 12m-30h 18m development/design and 3h 48m-5h 42m coordination. Bernie contributes 19h 12m-28h 48m; Saturnino contributes 4h 48m-7h 12m. These are planning figures, not actual time or proof of completion.</w:t>
      </w:r>
    </w:p>
    <w:p>
      <w:pPr>
        <w:pStyle w:val="Heading1"/>
        <w:keepNext/>
        <w:pageBreakBefore/>
      </w:pPr>
      <w:r>
        <w:t>2.   Parallel Feature Ownership</w:t>
      </w:r>
    </w:p>
    <w:p>
      <w:pPr/>
      <w:r>
        <w:t>Bernie owns core application delivery, technical verification and documented technical self-review. Saturnino consumes stable interfaces, supplies UX and accessibility review, and may implement bounded UI slices after the relevant contract is stable. The project owner provides final product acceptance.</w:t>
      </w:r>
    </w:p>
    <w:p>
      <w:pPr>
        <w:pStyle w:val="Heading2"/>
        <w:keepNext/>
      </w:pPr>
      <w:r>
        <w:t>Bernie | Developer A, core application and technical delivery</w:t>
      </w:r>
    </w:p>
    <w:p>
      <w:pPr/>
      <w:r>
        <w:t>Own client/team/member structure, permissions, migrations, domain services, Cerebru integration, assessment and plan logic, reporting data, chatbot security, queues, operations, functional checks, regression coverage and documented technical self-review.</w:t>
      </w:r>
    </w:p>
    <w:p>
      <w:pPr>
        <w:pStyle w:val="Heading2"/>
        <w:keepNext/>
      </w:pPr>
      <w:r>
        <w:t>Saturnino | Developer B, UI and Design</w:t>
      </w:r>
    </w:p>
    <w:p>
      <w:pPr/>
      <w:r>
        <w:t>Own user flows, annotated screens, interaction states, responsive and accessible behaviour, design handoffs, and small approved Blade, Livewire, CSS or UI slices that do not alter shared schemas, policies or backend contracts. Review UX and accessibility only; this is not independent technical approval.</w:t>
      </w:r>
    </w:p>
    <w:p>
      <w:pPr>
        <w:pStyle w:val="Heading2"/>
        <w:keepNext/>
      </w:pPr>
      <w:r>
        <w:t>Feature split across M0-M7</w:t>
      </w:r>
    </w:p>
    <w:p>
      <w:pPr/>
      <w:r>
        <w:t>M0-M2: Bernie reconciles code, requirements and decisions, then owns client boundaries, permissions, migrations, identity, directory and Cerebru adapters. Saturnino inventories journeys, prepares UX acceptance flows, and designs or implements bounded client/member, branding, import-preview, status and conflict interfaces.</w:t>
      </w:r>
    </w:p>
    <w:p>
      <w:pPr/>
      <w:r>
        <w:t>M3-M4: Bernie owns assessment lifecycle, scoring, approvals, calendar, capacity, generation and plan-approval rules. Saturnino designs and may implement assignment, response, review, plan-editor, member-view and workload interfaces after the relevant contracts are stable.</w:t>
      </w:r>
    </w:p>
    <w:p>
      <w:pPr/>
      <w:r>
        <w:t>M5-M6: Bernie owns weekly progress services, notes, metrics, exports, access controls, authorised chatbot context, provider controls and retention. Saturnino handles dashboards, charts, reporting, chat, citations and error-state interfaces, including usability and accessibility checks.</w:t>
      </w:r>
    </w:p>
    <w:p>
      <w:pPr/>
      <w:r>
        <w:t>M7: Bernie owns technical qualification and operational readiness. Saturnino supports usability review, pilot-facing designs and feedback capture. The project owner accepts locally completed outcomes. Live integration, pilot observation and production release gates remain separate.</w:t>
      </w:r>
    </w:p>
    <w:p>
      <w:pPr>
        <w:pStyle w:val="Heading1"/>
        <w:keepNext/>
        <w:pageBreakBefore/>
      </w:pPr>
      <w:r>
        <w:t>3.   Delivery Cadence and Local Acceptance</w:t>
      </w:r>
    </w:p>
    <w:p>
      <w:pPr/>
      <w:r>
        <w:t>The target treats the eight M0-M7 milestones as work packages for AI-assisted build and local acceptance, not as proof that external or live acceptance gates have passed. Schedule exact items by dependency; no calendar dates are assigned until kickoff. The 80/20 allocation stays constant through weeks 1 and 2 and, if needed, week 3. Saturnino's two delivery hours remain flexible between design and bounded UI implementation according to milestone priority. Work after local acceptance needs a separate forecast.</w:t>
      </w:r>
    </w:p>
    <w:tbl>
      <w:tblPr>
        <w:tblStyle w:val="Table4"/>
        <w:tblW w:w="9345.0" w:type="dxa"/>
        <w:jc w:val="left"/>
        <w:tblLayout w:type="fixed"/>
        <w:tblLook w:val="0400"/>
      </w:tblPr>
      <w:tblGrid>
        <w:gridCol w:w="2350"/>
        <w:gridCol w:w="2330"/>
        <w:gridCol w:w="2330"/>
        <w:gridCol w:w="2335"/>
        <w:tblGridChange w:id="0">
          <w:tblGrid>
            <w:gridCol w:w="2350"/>
            <w:gridCol w:w="2330"/>
            <w:gridCol w:w="2330"/>
            <w:gridCol w:w="2335"/>
          </w:tblGrid>
        </w:tblGridChange>
      </w:tblGrid>
      <w:tr>
        <w:trPr>
          <w:cantSplit w:val="0"/>
          <w:trHeight w:val="480" w:hRule="atLeast"/>
          <w:tblHeader w:val="1"/>
        </w:trPr>
        <w:tc>
          <w:tcPr>
            <w:tcBorders>
              <w:top w:color="e6e6e6" w:space="0" w:sz="4" w:val="single"/>
              <w:bottom w:color="e6e6e6" w:space="0" w:sz="4" w:val="single"/>
            </w:tcBorders>
            <w:shd w:fill="111111" w:val="clear"/>
            <w:tcMar>
              <w:top w:w="120.0" w:type="dxa"/>
              <w:bottom w:w="120.0" w:type="dxa"/>
            </w:tcMar>
            <w:vAlign w:val="center"/>
          </w:tcPr>
          <w:p w14:paraId="000000B2">
            <w:pPr>
              <w:keepNext w:val="0"/>
              <w:spacing w:after="0" w:before="0" w:line="240" w:lineRule="auto"/>
              <w:jc w:val="center"/>
              <w:rPr/>
            </w:pPr>
            <w:r>
              <w:rPr>
                <w:rtl w:val="0"/>
              </w:rPr>
              <w:t>Window</w:t>
            </w:r>
          </w:p>
        </w:tc>
        <w:tc>
          <w:tcPr>
            <w:tcBorders>
              <w:top w:color="e6e6e6" w:space="0" w:sz="4" w:val="single"/>
              <w:bottom w:color="e6e6e6" w:space="0" w:sz="4" w:val="single"/>
            </w:tcBorders>
            <w:shd w:fill="111111" w:val="clear"/>
            <w:tcMar>
              <w:top w:w="120.0" w:type="dxa"/>
              <w:bottom w:w="120.0" w:type="dxa"/>
            </w:tcMar>
            <w:vAlign w:val="center"/>
          </w:tcPr>
          <w:p w14:paraId="000000B3">
            <w:pPr>
              <w:keepNext w:val="0"/>
              <w:spacing w:after="0" w:before="0" w:line="240" w:lineRule="auto"/>
              <w:jc w:val="center"/>
              <w:rPr/>
            </w:pPr>
            <w:r>
              <w:rPr>
                <w:rFonts w:ascii="Arial" w:cs="Arial" w:eastAsia="Arial" w:hAnsi="Arial"/>
                <w:b w:val="1"/>
                <w:bCs w:val="1"/>
                <w:i w:val="0"/>
                <w:iCs w:val="0"/>
                <w:color w:val="ffffff"/>
                <w:sz w:val="16"/>
                <w:szCs w:val="16"/>
                <w:rtl w:val="0"/>
              </w:rPr>
              <w:t>Milestone target</w:t>
            </w:r>
            <w:r>
              <w:rPr>
                <w:rtl w:val="0"/>
              </w:rPr>
            </w:r>
          </w:p>
        </w:tc>
        <w:tc>
          <w:tcPr>
            <w:tcBorders>
              <w:top w:color="e6e6e6" w:space="0" w:sz="4" w:val="single"/>
              <w:bottom w:color="e6e6e6" w:space="0" w:sz="4" w:val="single"/>
            </w:tcBorders>
            <w:shd w:fill="111111" w:val="clear"/>
            <w:tcMar>
              <w:top w:w="120.0" w:type="dxa"/>
              <w:bottom w:w="120.0" w:type="dxa"/>
            </w:tcMar>
            <w:vAlign w:val="center"/>
          </w:tcPr>
          <w:p w14:paraId="000000B4">
            <w:pPr>
              <w:keepNext w:val="0"/>
              <w:spacing w:after="0" w:before="0" w:line="240" w:lineRule="auto"/>
              <w:jc w:val="center"/>
              <w:rPr/>
            </w:pPr>
            <w:r>
              <w:rPr>
                <w:rFonts w:ascii="Arial" w:cs="Arial" w:eastAsia="Arial" w:hAnsi="Arial"/>
                <w:b w:val="1"/>
                <w:bCs w:val="1"/>
                <w:i w:val="0"/>
                <w:iCs w:val="0"/>
                <w:color w:val="ffffff"/>
                <w:sz w:val="16"/>
                <w:szCs w:val="16"/>
                <w:rtl w:val="0"/>
              </w:rPr>
              <w:t>Parallel working model</w:t>
            </w:r>
            <w:r>
              <w:rPr>
                <w:rtl w:val="0"/>
              </w:rPr>
            </w:r>
          </w:p>
        </w:tc>
        <w:tc>
          <w:tcPr>
            <w:tcBorders>
              <w:top w:color="e6e6e6" w:space="0" w:sz="4" w:val="single"/>
              <w:bottom w:color="e6e6e6" w:space="0" w:sz="4" w:val="single"/>
            </w:tcBorders>
            <w:shd w:fill="111111" w:val="clear"/>
            <w:tcMar>
              <w:top w:w="120.0" w:type="dxa"/>
              <w:bottom w:w="120.0" w:type="dxa"/>
            </w:tcMar>
            <w:vAlign w:val="center"/>
          </w:tcPr>
          <w:p w14:paraId="000000B5">
            <w:pPr>
              <w:keepNext w:val="0"/>
              <w:spacing w:after="0" w:before="0" w:line="240" w:lineRule="auto"/>
              <w:jc w:val="center"/>
              <w:rPr/>
            </w:pPr>
            <w:r>
              <w:rPr>
                <w:rFonts w:ascii="Arial" w:cs="Arial" w:eastAsia="Arial" w:hAnsi="Arial"/>
                <w:b w:val="1"/>
                <w:bCs w:val="1"/>
                <w:i w:val="0"/>
                <w:iCs w:val="0"/>
                <w:color w:val="ffffff"/>
                <w:sz w:val="16"/>
                <w:szCs w:val="16"/>
                <w:rtl w:val="0"/>
              </w:rPr>
              <w:t>Checkpoint</w:t>
            </w:r>
            <w:r>
              <w:rPr>
                <w:rtl w:val="0"/>
              </w:rPr>
            </w:r>
          </w:p>
        </w:tc>
      </w:tr>
      <w:tr>
        <w:trPr>
          <w:cantSplit w:val="1"/>
          <w:trHeight w:val="440" w:hRule="atLeast"/>
          <w:tblHeader w:val="0"/>
        </w:trPr>
        <w:tc>
          <w:tcPr>
            <w:tcBorders>
              <w:top w:color="e6e6e6" w:space="0" w:sz="4" w:val="single"/>
              <w:bottom w:color="e6e6e6" w:space="0" w:sz="4" w:val="single"/>
            </w:tcBorders>
            <w:shd w:fill="f7f7f7" w:val="clear"/>
            <w:tcMar>
              <w:top w:w="100.0" w:type="dxa"/>
              <w:bottom w:w="100.0" w:type="dxa"/>
            </w:tcMar>
            <w:vAlign w:val="center"/>
          </w:tcPr>
          <w:p w14:paraId="000000B6">
            <w:pPr>
              <w:keepNext w:val="0"/>
              <w:spacing w:after="0" w:before="0" w:line="240" w:lineRule="auto"/>
              <w:jc w:val="left"/>
              <w:rPr/>
            </w:pPr>
            <w:r>
              <w:rPr>
                <w:rFonts w:ascii="Arial" w:cs="Arial" w:eastAsia="Arial" w:hAnsi="Arial"/>
                <w:b w:val="0"/>
                <w:bCs w:val="0"/>
                <w:i w:val="0"/>
                <w:iCs w:val="0"/>
                <w:color w:val="111111"/>
                <w:sz w:val="16"/>
                <w:szCs w:val="16"/>
                <w:rtl w:val="0"/>
              </w:rPr>
              <w:t>Week 1</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B7">
            <w:pPr>
              <w:keepNext w:val="0"/>
              <w:spacing w:after="0" w:before="0" w:line="240" w:lineRule="auto"/>
              <w:jc w:val="center"/>
              <w:rPr/>
            </w:pPr>
            <w:r>
              <w:rPr>
                <w:rFonts w:ascii="Arial" w:cs="Arial" w:eastAsia="Arial" w:hAnsi="Arial"/>
                <w:b w:val="0"/>
                <w:bCs w:val="0"/>
                <w:i w:val="0"/>
                <w:iCs w:val="0"/>
                <w:color w:val="111111"/>
                <w:sz w:val="16"/>
                <w:szCs w:val="16"/>
                <w:rtl w:val="0"/>
              </w:rPr>
              <w:t>3-5 selected M0-M7 work packages</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B8">
            <w:pPr>
              <w:keepNext w:val="0"/>
              <w:spacing w:after="0" w:before="0" w:line="240" w:lineRule="auto"/>
              <w:jc w:val="center"/>
              <w:rPr/>
            </w:pPr>
            <w:r>
              <w:rPr>
                <w:rFonts w:ascii="Arial" w:cs="Arial" w:eastAsia="Arial" w:hAnsi="Arial"/>
                <w:b w:val="0"/>
                <w:bCs w:val="0"/>
                <w:i w:val="0"/>
                <w:iCs w:val="0"/>
                <w:color w:val="111111"/>
                <w:sz w:val="16"/>
                <w:szCs w:val="16"/>
                <w:rtl w:val="0"/>
              </w:rPr>
              <w:t>Bernie leads core delivery; Saturnino works on priority UX and bounded UI after stable contracts</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B9">
            <w:pPr>
              <w:keepNext w:val="0"/>
              <w:spacing w:after="0" w:before="0" w:line="240" w:lineRule="auto"/>
              <w:jc w:val="center"/>
              <w:rPr/>
            </w:pPr>
            <w:r>
              <w:rPr>
                <w:rFonts w:ascii="Arial" w:cs="Arial" w:eastAsia="Arial" w:hAnsi="Arial"/>
                <w:b w:val="0"/>
                <w:bCs w:val="0"/>
                <w:i w:val="0"/>
                <w:iCs w:val="0"/>
                <w:color w:val="111111"/>
                <w:sz w:val="16"/>
                <w:szCs w:val="16"/>
                <w:rtl w:val="0"/>
              </w:rPr>
              <w:t>Count local acceptance; record checks, UX findings, hours and blockers</w:t>
            </w:r>
            <w:r>
              <w:rPr>
                <w:rtl w:val="0"/>
              </w:rPr>
            </w:r>
          </w:p>
        </w:tc>
      </w:tr>
      <w:tr>
        <w:trPr>
          <w:cantSplit w:val="1"/>
          <w:trHeight w:val="440" w:hRule="atLeast"/>
          <w:tblHeader w:val="0"/>
        </w:trPr>
        <w:tc>
          <w:tcPr>
            <w:tcBorders>
              <w:top w:color="e6e6e6" w:space="0" w:sz="4" w:val="single"/>
              <w:bottom w:color="e6e6e6" w:space="0" w:sz="4" w:val="single"/>
            </w:tcBorders>
            <w:shd w:fill="ffffff" w:val="clear"/>
            <w:tcMar>
              <w:top w:w="100.0" w:type="dxa"/>
              <w:bottom w:w="100.0" w:type="dxa"/>
            </w:tcMar>
            <w:vAlign w:val="center"/>
          </w:tcPr>
          <w:p w14:paraId="000000BA">
            <w:pPr>
              <w:keepNext w:val="0"/>
              <w:spacing w:after="0" w:before="0" w:line="240" w:lineRule="auto"/>
              <w:jc w:val="left"/>
              <w:rPr/>
            </w:pPr>
            <w:r>
              <w:rPr>
                <w:rFonts w:ascii="Arial" w:cs="Arial" w:eastAsia="Arial" w:hAnsi="Arial"/>
                <w:b w:val="0"/>
                <w:bCs w:val="0"/>
                <w:i w:val="0"/>
                <w:iCs w:val="0"/>
                <w:color w:val="111111"/>
                <w:sz w:val="16"/>
                <w:szCs w:val="16"/>
                <w:rtl w:val="0"/>
              </w:rPr>
              <w:t>Week 2</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BB">
            <w:pPr>
              <w:keepNext w:val="0"/>
              <w:spacing w:after="0" w:before="0" w:line="240" w:lineRule="auto"/>
              <w:jc w:val="center"/>
              <w:rPr/>
            </w:pPr>
            <w:r>
              <w:rPr>
                <w:rFonts w:ascii="Arial" w:cs="Arial" w:eastAsia="Arial" w:hAnsi="Arial"/>
                <w:b w:val="0"/>
                <w:bCs w:val="0"/>
                <w:i w:val="0"/>
                <w:iCs w:val="0"/>
                <w:color w:val="111111"/>
                <w:sz w:val="16"/>
                <w:szCs w:val="16"/>
                <w:rtl w:val="0"/>
              </w:rPr>
              <w:t>3-5 remaining work packages</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BC">
            <w:pPr>
              <w:keepNext w:val="0"/>
              <w:spacing w:after="0" w:before="0" w:line="240" w:lineRule="auto"/>
              <w:jc w:val="center"/>
              <w:rPr/>
            </w:pPr>
            <w:r>
              <w:rPr>
                <w:rFonts w:ascii="Arial" w:cs="Arial" w:eastAsia="Arial" w:hAnsi="Arial"/>
                <w:b w:val="0"/>
                <w:bCs w:val="0"/>
                <w:i w:val="0"/>
                <w:iCs w:val="0"/>
                <w:color w:val="111111"/>
                <w:sz w:val="16"/>
                <w:szCs w:val="16"/>
                <w:rtl w:val="0"/>
              </w:rPr>
              <w:t>Continue core delivery and priority UI; integrate only against stable contracts</w:t>
            </w:r>
            <w:r>
              <w:rPr>
                <w:rtl w:val="0"/>
              </w:rPr>
            </w:r>
          </w:p>
        </w:tc>
        <w:tc>
          <w:tcPr>
            <w:tcBorders>
              <w:top w:color="e6e6e6" w:space="0" w:sz="4" w:val="single"/>
              <w:bottom w:color="e6e6e6" w:space="0" w:sz="4" w:val="single"/>
            </w:tcBorders>
            <w:shd w:fill="ffffff" w:val="clear"/>
            <w:tcMar>
              <w:top w:w="100.0" w:type="dxa"/>
              <w:bottom w:w="100.0" w:type="dxa"/>
            </w:tcMar>
            <w:vAlign w:val="center"/>
          </w:tcPr>
          <w:p w14:paraId="000000BD">
            <w:pPr>
              <w:keepNext w:val="0"/>
              <w:spacing w:after="0" w:before="0" w:line="240" w:lineRule="auto"/>
              <w:jc w:val="center"/>
              <w:rPr/>
            </w:pPr>
            <w:r>
              <w:rPr>
                <w:rFonts w:ascii="Arial" w:cs="Arial" w:eastAsia="Arial" w:hAnsi="Arial"/>
                <w:b w:val="0"/>
                <w:bCs w:val="0"/>
                <w:i w:val="0"/>
                <w:iCs w:val="0"/>
                <w:color w:val="111111"/>
                <w:sz w:val="16"/>
                <w:szCs w:val="16"/>
                <w:rtl w:val="0"/>
              </w:rPr>
              <w:t>Record accepted, blocked and remaining items</w:t>
            </w:r>
            <w:r>
              <w:rPr>
                <w:rtl w:val="0"/>
              </w:rPr>
            </w:r>
          </w:p>
        </w:tc>
      </w:tr>
      <w:tr>
        <w:trPr>
          <w:cantSplit w:val="1"/>
          <w:trHeight w:val="440" w:hRule="atLeast"/>
          <w:tblHeader w:val="0"/>
        </w:trPr>
        <w:tc>
          <w:tcPr>
            <w:tcBorders>
              <w:top w:color="e6e6e6" w:space="0" w:sz="4" w:val="single"/>
              <w:bottom w:color="e6e6e6" w:space="0" w:sz="4" w:val="single"/>
            </w:tcBorders>
            <w:shd w:fill="f7f7f7" w:val="clear"/>
            <w:tcMar>
              <w:top w:w="100.0" w:type="dxa"/>
              <w:bottom w:w="100.0" w:type="dxa"/>
            </w:tcMar>
            <w:vAlign w:val="center"/>
          </w:tcPr>
          <w:p w14:paraId="000000BE">
            <w:pPr>
              <w:keepNext w:val="0"/>
              <w:spacing w:after="0" w:before="0" w:line="240" w:lineRule="auto"/>
              <w:jc w:val="left"/>
              <w:rPr/>
            </w:pPr>
            <w:r>
              <w:rPr>
                <w:rFonts w:ascii="Arial" w:cs="Arial" w:eastAsia="Arial" w:hAnsi="Arial"/>
                <w:b w:val="0"/>
                <w:bCs w:val="0"/>
                <w:i w:val="0"/>
                <w:iCs w:val="0"/>
                <w:color w:val="111111"/>
                <w:sz w:val="16"/>
                <w:szCs w:val="16"/>
                <w:rtl w:val="0"/>
              </w:rPr>
              <w:t>Week 3, if needed</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BF">
            <w:pPr>
              <w:keepNext w:val="0"/>
              <w:spacing w:after="0" w:before="0" w:line="240" w:lineRule="auto"/>
              <w:jc w:val="center"/>
              <w:rPr/>
            </w:pPr>
            <w:r>
              <w:rPr>
                <w:rFonts w:ascii="Arial" w:cs="Arial" w:eastAsia="Arial" w:hAnsi="Arial"/>
                <w:b w:val="0"/>
                <w:bCs w:val="0"/>
                <w:i w:val="0"/>
                <w:iCs w:val="0"/>
                <w:color w:val="111111"/>
                <w:sz w:val="16"/>
                <w:szCs w:val="16"/>
                <w:rtl w:val="0"/>
              </w:rPr>
              <w:t>Overflow, fixes and local acceptance</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C0">
            <w:pPr>
              <w:keepNext w:val="0"/>
              <w:spacing w:after="0" w:before="0" w:line="240" w:lineRule="auto"/>
              <w:jc w:val="center"/>
              <w:rPr/>
            </w:pPr>
            <w:r>
              <w:rPr>
                <w:rFonts w:ascii="Arial" w:cs="Arial" w:eastAsia="Arial" w:hAnsi="Arial"/>
                <w:b w:val="0"/>
                <w:bCs w:val="0"/>
                <w:i w:val="0"/>
                <w:iCs w:val="0"/>
                <w:color w:val="111111"/>
                <w:sz w:val="16"/>
                <w:szCs w:val="16"/>
                <w:rtl w:val="0"/>
              </w:rPr>
              <w:t>Use only for spillover; maintain the same 80/20 allocation</w:t>
            </w:r>
            <w:r>
              <w:rPr>
                <w:rtl w:val="0"/>
              </w:rPr>
            </w:r>
          </w:p>
        </w:tc>
        <w:tc>
          <w:tcPr>
            <w:tcBorders>
              <w:top w:color="e6e6e6" w:space="0" w:sz="4" w:val="single"/>
              <w:bottom w:color="e6e6e6" w:space="0" w:sz="4" w:val="single"/>
            </w:tcBorders>
            <w:shd w:fill="f7f7f7" w:val="clear"/>
            <w:tcMar>
              <w:top w:w="100.0" w:type="dxa"/>
              <w:bottom w:w="100.0" w:type="dxa"/>
            </w:tcMar>
            <w:vAlign w:val="center"/>
          </w:tcPr>
          <w:p w14:paraId="000000C1">
            <w:pPr>
              <w:keepNext w:val="0"/>
              <w:spacing w:after="0" w:before="0" w:line="240" w:lineRule="auto"/>
              <w:jc w:val="center"/>
              <w:rPr/>
            </w:pPr>
            <w:r>
              <w:rPr>
                <w:rFonts w:ascii="Arial" w:cs="Arial" w:eastAsia="Arial" w:hAnsi="Arial"/>
                <w:b w:val="0"/>
                <w:bCs w:val="0"/>
                <w:i w:val="0"/>
                <w:iCs w:val="0"/>
                <w:color w:val="111111"/>
                <w:sz w:val="16"/>
                <w:szCs w:val="16"/>
                <w:rtl w:val="0"/>
              </w:rPr>
              <w:t>Reforecast; do not count live gates as complete</w:t>
            </w:r>
            <w:r>
              <w:rPr>
                <w:rtl w:val="0"/>
              </w:rPr>
            </w:r>
          </w:p>
        </w:tc>
      </w:tr>
    </w:tbl>
    <w:p>
      <w:pPr>
        <w:pStyle w:val="Heading2"/>
        <w:keepNext/>
      </w:pPr>
      <w:r>
        <w:t>End-of-week-one checkpoint</w:t>
      </w:r>
    </w:p>
    <w:p>
      <w:pPr/>
      <w:r>
        <w:t>Review the number of work packages that met local acceptance, Bernie's technical self-review and check evidence, any applicable Saturnino UX review, project-owner acceptance, actual hours used, dependency blockers and conflicts with other commitments. Reforecast before continuing, including when fewer than three work packages have local acceptance evidence or a critical dependency blocks the target.</w:t>
      </w:r>
    </w:p>
    <w:p>
      <w:pPr>
        <w:pStyle w:val="Heading1"/>
        <w:keepNext/>
        <w:pageBreakBefore/>
      </w:pPr>
      <w:r>
        <w:t>4.   Estimate Boundaries, Dependencies, and Release Gates</w:t>
      </w:r>
    </w:p>
    <w:tbl>
      <w:tblPr>
        <w:tblStyle w:val="Table5"/>
        <w:tblW w:w="9345.0" w:type="dxa"/>
        <w:jc w:val="left"/>
        <w:tblLayout w:type="fixed"/>
        <w:tblLook w:val="0400"/>
      </w:tblPr>
      <w:tblGrid>
        <w:gridCol w:w="2100"/>
        <w:gridCol w:w="1100"/>
        <w:gridCol w:w="2450"/>
        <w:gridCol w:w="1600"/>
        <w:gridCol w:w="2095"/>
        <w:tblGridChange w:id="0">
          <w:tblGrid>
            <w:gridCol w:w="2100"/>
            <w:gridCol w:w="1100"/>
            <w:gridCol w:w="2450"/>
            <w:gridCol w:w="1600"/>
            <w:gridCol w:w="2095"/>
          </w:tblGrid>
        </w:tblGridChange>
      </w:tblGrid>
      <w:tr>
        <w:trPr>
          <w:cantSplit w:val="0"/>
          <w:trHeight w:val="480" w:hRule="atLeast"/>
          <w:tblHeader w:val="1"/>
        </w:trPr>
        <w:tc>
          <w:tcPr>
            <w:tcW w:type="dxa" w:w="1512"/>
            <w:tcBorders>
              <w:top w:color="e6e6e6" w:space="0" w:sz="4" w:val="single"/>
              <w:bottom w:color="e6e6e6" w:space="0" w:sz="4" w:val="single"/>
            </w:tcBorders>
            <w:shd w:fill="111111" w:val="clear"/>
            <w:tcMar>
              <w:top w:w="120.0" w:type="dxa"/>
              <w:bottom w:w="120.0" w:type="dxa"/>
            </w:tcMar>
            <w:vAlign w:val="center"/>
          </w:tcPr>
          <w:p w14:paraId="000000CE">
            <w:pPr>
              <w:keepNext w:val="0"/>
              <w:spacing w:after="0" w:before="0" w:line="240" w:lineRule="auto"/>
              <w:jc w:val="center"/>
              <w:rPr/>
            </w:pPr>
            <w:r>
              <w:rPr>
                <w:rFonts w:ascii="Arial" w:cs="Arial" w:eastAsia="Arial" w:hAnsi="Arial"/>
                <w:b w:val="1"/>
                <w:bCs w:val="1"/>
                <w:i w:val="0"/>
                <w:iCs w:val="0"/>
                <w:color w:val="ffffff"/>
                <w:sz w:val="15"/>
                <w:szCs w:val="15"/>
                <w:rtl w:val="0"/>
              </w:rPr>
              <w:t>Planning item</w:t>
            </w:r>
            <w:r>
              <w:rPr>
                <w:rtl w:val="0"/>
              </w:rPr>
            </w:r>
          </w:p>
        </w:tc>
        <w:tc>
          <w:tcPr>
            <w:tcW w:type="dxa" w:w="2376"/>
            <w:tcBorders>
              <w:top w:color="e6e6e6" w:space="0" w:sz="4" w:val="single"/>
              <w:bottom w:color="e6e6e6" w:space="0" w:sz="4" w:val="single"/>
            </w:tcBorders>
            <w:shd w:fill="111111" w:val="clear"/>
            <w:tcMar>
              <w:top w:w="120.0" w:type="dxa"/>
              <w:bottom w:w="120.0" w:type="dxa"/>
            </w:tcMar>
            <w:vAlign w:val="center"/>
          </w:tcPr>
          <w:p w14:paraId="000000CF">
            <w:pPr>
              <w:keepNext w:val="0"/>
              <w:spacing w:after="0" w:before="0" w:line="240" w:lineRule="auto"/>
              <w:jc w:val="center"/>
              <w:rPr/>
            </w:pPr>
            <w:r>
              <w:rPr>
                <w:rFonts w:ascii="Arial" w:cs="Arial" w:eastAsia="Arial" w:hAnsi="Arial"/>
                <w:b w:val="1"/>
                <w:bCs w:val="1"/>
                <w:i w:val="0"/>
                <w:iCs w:val="0"/>
                <w:color w:val="ffffff"/>
                <w:sz w:val="15"/>
                <w:szCs w:val="15"/>
                <w:rtl w:val="0"/>
              </w:rPr>
              <w:t>Current basis</w:t>
            </w:r>
            <w:r>
              <w:rPr>
                <w:rtl w:val="0"/>
              </w:rPr>
            </w:r>
          </w:p>
        </w:tc>
        <w:tc>
          <w:tcPr>
            <w:tcW w:type="dxa" w:w="2232"/>
            <w:tcBorders>
              <w:top w:color="e6e6e6" w:space="0" w:sz="4" w:val="single"/>
              <w:bottom w:color="e6e6e6" w:space="0" w:sz="4" w:val="single"/>
            </w:tcBorders>
            <w:shd w:fill="111111" w:val="clear"/>
            <w:tcMar>
              <w:top w:w="120.0" w:type="dxa"/>
              <w:bottom w:w="120.0" w:type="dxa"/>
            </w:tcMar>
            <w:vAlign w:val="center"/>
          </w:tcPr>
          <w:p w14:paraId="000000D0">
            <w:pPr>
              <w:keepNext w:val="0"/>
              <w:spacing w:after="0" w:before="0" w:line="240" w:lineRule="auto"/>
              <w:jc w:val="center"/>
              <w:rPr/>
            </w:pPr>
            <w:r>
              <w:rPr>
                <w:rFonts w:ascii="Arial" w:cs="Arial" w:eastAsia="Arial" w:hAnsi="Arial"/>
                <w:b w:val="1"/>
                <w:bCs w:val="1"/>
                <w:i w:val="0"/>
                <w:iCs w:val="0"/>
                <w:color w:val="ffffff"/>
                <w:sz w:val="15"/>
                <w:szCs w:val="15"/>
                <w:rtl w:val="0"/>
              </w:rPr>
              <w:t>Treatment</w:t>
            </w:r>
            <w:r>
              <w:rPr>
                <w:rtl w:val="0"/>
              </w:rPr>
            </w:r>
          </w:p>
        </w:tc>
        <w:tc>
          <w:tcPr>
            <w:tcW w:type="dxa" w:w="1512"/>
            <w:tcBorders>
              <w:top w:color="e6e6e6" w:space="0" w:sz="4" w:val="single"/>
              <w:bottom w:color="e6e6e6" w:space="0" w:sz="4" w:val="single"/>
            </w:tcBorders>
            <w:shd w:fill="111111" w:val="clear"/>
            <w:tcMar>
              <w:top w:w="120.0" w:type="dxa"/>
              <w:bottom w:w="120.0" w:type="dxa"/>
            </w:tcMar>
            <w:vAlign w:val="center"/>
          </w:tcPr>
          <w:p w14:paraId="000000D1">
            <w:pPr>
              <w:keepNext w:val="0"/>
              <w:spacing w:after="0" w:before="0" w:line="240" w:lineRule="auto"/>
              <w:jc w:val="center"/>
              <w:rPr/>
            </w:pPr>
            <w:r>
              <w:rPr>
                <w:rFonts w:ascii="Arial" w:cs="Arial" w:eastAsia="Arial" w:hAnsi="Arial"/>
                <w:b w:val="1"/>
                <w:bCs w:val="1"/>
                <w:i w:val="0"/>
                <w:iCs w:val="0"/>
                <w:color w:val="ffffff"/>
                <w:sz w:val="15"/>
                <w:szCs w:val="15"/>
                <w:rtl w:val="0"/>
              </w:rPr>
              <w:t>Responsible person</w:t>
            </w:r>
            <w:r>
              <w:rPr>
                <w:rtl w:val="0"/>
              </w:rPr>
            </w:r>
          </w:p>
        </w:tc>
        <w:tc>
          <w:tcPr>
            <w:tcW w:type="dxa" w:w="1800"/>
            <w:tcBorders>
              <w:top w:color="e6e6e6" w:space="0" w:sz="4" w:val="single"/>
              <w:bottom w:color="e6e6e6" w:space="0" w:sz="4" w:val="single"/>
            </w:tcBorders>
            <w:shd w:fill="111111" w:val="clear"/>
            <w:tcMar>
              <w:top w:w="120.0" w:type="dxa"/>
              <w:bottom w:w="120.0" w:type="dxa"/>
            </w:tcMar>
            <w:vAlign w:val="center"/>
          </w:tcPr>
          <w:p w14:paraId="000000D2">
            <w:pPr>
              <w:keepNext w:val="0"/>
              <w:spacing w:after="0" w:before="0" w:line="240" w:lineRule="auto"/>
              <w:jc w:val="center"/>
              <w:rPr/>
            </w:pPr>
            <w:r>
              <w:rPr>
                <w:rFonts w:ascii="Arial" w:cs="Arial" w:eastAsia="Arial" w:hAnsi="Arial"/>
                <w:b w:val="1"/>
                <w:bCs w:val="1"/>
                <w:i w:val="0"/>
                <w:iCs w:val="0"/>
                <w:color w:val="ffffff"/>
                <w:sz w:val="15"/>
                <w:szCs w:val="15"/>
                <w:rtl w:val="0"/>
              </w:rPr>
              <w:t>Review point</w:t>
            </w:r>
            <w:r>
              <w:rPr>
                <w:rtl w:val="0"/>
              </w:rPr>
            </w:r>
          </w:p>
        </w:tc>
      </w:tr>
      <w:tr>
        <w:trPr>
          <w:cantSplit w:val="1"/>
          <w:trHeight w:val="440" w:hRule="atLeast"/>
          <w:tblHeader w:val="0"/>
        </w:trPr>
        <w:tc>
          <w:tcPr>
            <w:tcW w:type="dxa" w:w="1512"/>
            <w:tcBorders>
              <w:top w:color="e6e6e6" w:space="0" w:sz="4" w:val="single"/>
              <w:bottom w:color="e6e6e6" w:space="0" w:sz="4" w:val="single"/>
            </w:tcBorders>
            <w:shd w:fill="f7f7f7" w:val="clear"/>
            <w:tcMar>
              <w:top w:w="100.0" w:type="dxa"/>
              <w:bottom w:w="100.0" w:type="dxa"/>
            </w:tcMar>
            <w:vAlign w:val="center"/>
          </w:tcPr>
          <w:p w14:paraId="000000D3">
            <w:pPr>
              <w:keepNext w:val="0"/>
              <w:spacing w:after="0" w:before="0" w:line="240" w:lineRule="auto"/>
              <w:jc w:val="left"/>
              <w:rPr/>
            </w:pPr>
            <w:r>
              <w:rPr>
                <w:rFonts w:ascii="Arial" w:cs="Arial" w:eastAsia="Arial" w:hAnsi="Arial"/>
                <w:b w:val="0"/>
                <w:bCs w:val="0"/>
                <w:i w:val="0"/>
                <w:iCs w:val="0"/>
                <w:color w:val="111111"/>
                <w:sz w:val="15"/>
                <w:szCs w:val="15"/>
                <w:rtl w:val="0"/>
              </w:rPr>
              <w:t>AI build target</w:t>
            </w:r>
            <w:r>
              <w:rPr>
                <w:rtl w:val="0"/>
              </w:rPr>
            </w:r>
          </w:p>
        </w:tc>
        <w:tc>
          <w:tcPr>
            <w:tcW w:type="dxa" w:w="2376"/>
            <w:tcBorders>
              <w:top w:color="e6e6e6" w:space="0" w:sz="4" w:val="single"/>
              <w:bottom w:color="e6e6e6" w:space="0" w:sz="4" w:val="single"/>
            </w:tcBorders>
            <w:shd w:fill="f7f7f7" w:val="clear"/>
            <w:tcMar>
              <w:top w:w="100.0" w:type="dxa"/>
              <w:bottom w:w="100.0" w:type="dxa"/>
            </w:tcMar>
            <w:vAlign w:val="center"/>
          </w:tcPr>
          <w:p w14:paraId="000000D4">
            <w:pPr>
              <w:keepNext w:val="0"/>
              <w:spacing w:after="0" w:before="0" w:line="240" w:lineRule="auto"/>
              <w:jc w:val="right"/>
              <w:rPr/>
            </w:pPr>
            <w:r>
              <w:rPr>
                <w:rFonts w:ascii="Arial" w:cs="Arial" w:eastAsia="Arial" w:hAnsi="Arial"/>
                <w:b w:val="0"/>
                <w:bCs w:val="0"/>
                <w:i w:val="0"/>
                <w:iCs w:val="0"/>
                <w:color w:val="111111"/>
                <w:sz w:val="15"/>
                <w:szCs w:val="15"/>
                <w:rtl w:val="0"/>
              </w:rPr>
              <w:t>3-5 work packages/week; 2-3 weeks</w:t>
            </w:r>
            <w:r>
              <w:rPr>
                <w:rtl w:val="0"/>
              </w:rPr>
            </w:r>
          </w:p>
        </w:tc>
        <w:tc>
          <w:tcPr>
            <w:tcW w:type="dxa" w:w="2232"/>
            <w:tcBorders>
              <w:top w:color="e6e6e6" w:space="0" w:sz="4" w:val="single"/>
              <w:bottom w:color="e6e6e6" w:space="0" w:sz="4" w:val="single"/>
            </w:tcBorders>
            <w:shd w:fill="f7f7f7" w:val="clear"/>
            <w:tcMar>
              <w:top w:w="100.0" w:type="dxa"/>
              <w:bottom w:w="100.0" w:type="dxa"/>
            </w:tcMar>
            <w:vAlign w:val="center"/>
          </w:tcPr>
          <w:p w14:paraId="000000D5">
            <w:pPr>
              <w:keepNext w:val="0"/>
              <w:spacing w:after="0" w:before="0" w:line="240" w:lineRule="auto"/>
              <w:jc w:val="left"/>
              <w:rPr/>
            </w:pPr>
            <w:r>
              <w:rPr>
                <w:rFonts w:ascii="Arial" w:cs="Arial" w:eastAsia="Arial" w:hAnsi="Arial"/>
                <w:b w:val="0"/>
                <w:bCs w:val="0"/>
                <w:i w:val="0"/>
                <w:iCs w:val="0"/>
                <w:color w:val="111111"/>
                <w:sz w:val="15"/>
                <w:szCs w:val="15"/>
                <w:rtl w:val="0"/>
              </w:rPr>
              <w:t>Provisional and unvalidated</w:t>
            </w:r>
            <w:r>
              <w:rPr>
                <w:rtl w:val="0"/>
              </w:rPr>
            </w:r>
          </w:p>
        </w:tc>
        <w:tc>
          <w:tcPr>
            <w:tcW w:type="dxa" w:w="1512"/>
            <w:tcBorders>
              <w:top w:color="e6e6e6" w:space="0" w:sz="4" w:val="single"/>
              <w:bottom w:color="e6e6e6" w:space="0" w:sz="4" w:val="single"/>
            </w:tcBorders>
            <w:shd w:fill="f7f7f7" w:val="clear"/>
            <w:tcMar>
              <w:top w:w="100.0" w:type="dxa"/>
              <w:bottom w:w="100.0" w:type="dxa"/>
            </w:tcMar>
            <w:vAlign w:val="center"/>
          </w:tcPr>
          <w:p w14:paraId="000000D6">
            <w:pPr>
              <w:keepNext w:val="0"/>
              <w:spacing w:after="0" w:before="0" w:line="240" w:lineRule="auto"/>
              <w:jc w:val="left"/>
              <w:rPr/>
            </w:pPr>
            <w:r>
              <w:rPr>
                <w:rFonts w:ascii="Arial" w:cs="Arial" w:eastAsia="Arial" w:hAnsi="Arial"/>
                <w:b w:val="0"/>
                <w:bCs w:val="0"/>
                <w:i w:val="0"/>
                <w:iCs w:val="0"/>
                <w:color w:val="111111"/>
                <w:sz w:val="15"/>
                <w:szCs w:val="15"/>
                <w:rtl w:val="0"/>
              </w:rPr>
              <w:t>Bernie + Saturnino within assigned lanes</w:t>
            </w:r>
            <w:r>
              <w:rPr>
                <w:rtl w:val="0"/>
              </w:rPr>
            </w:r>
          </w:p>
        </w:tc>
        <w:tc>
          <w:tcPr>
            <w:tcW w:type="dxa" w:w="1800"/>
            <w:tcBorders>
              <w:top w:color="e6e6e6" w:space="0" w:sz="4" w:val="single"/>
              <w:bottom w:color="e6e6e6" w:space="0" w:sz="4" w:val="single"/>
            </w:tcBorders>
            <w:shd w:fill="f7f7f7" w:val="clear"/>
            <w:tcMar>
              <w:top w:w="100.0" w:type="dxa"/>
              <w:bottom w:w="100.0" w:type="dxa"/>
            </w:tcMar>
            <w:vAlign w:val="center"/>
          </w:tcPr>
          <w:p w14:paraId="000000D7">
            <w:pPr>
              <w:keepNext w:val="0"/>
              <w:spacing w:after="0" w:before="0" w:line="240" w:lineRule="auto"/>
              <w:jc w:val="left"/>
              <w:rPr/>
            </w:pPr>
            <w:r>
              <w:rPr>
                <w:rFonts w:ascii="Arial" w:cs="Arial" w:eastAsia="Arial" w:hAnsi="Arial"/>
                <w:b w:val="0"/>
                <w:bCs w:val="0"/>
                <w:i w:val="0"/>
                <w:iCs w:val="0"/>
                <w:color w:val="111111"/>
                <w:sz w:val="15"/>
                <w:szCs w:val="15"/>
                <w:rtl w:val="0"/>
              </w:rPr>
              <w:t>End of week one</w:t>
            </w:r>
            <w:r>
              <w:rPr>
                <w:rtl w:val="0"/>
              </w:rPr>
            </w:r>
          </w:p>
        </w:tc>
      </w:tr>
      <w:tr>
        <w:trPr>
          <w:cantSplit w:val="1"/>
          <w:trHeight w:val="440" w:hRule="atLeast"/>
          <w:tblHeader w:val="0"/>
        </w:trPr>
        <w:tc>
          <w:tcPr>
            <w:tcW w:type="dxa" w:w="1512"/>
            <w:tcBorders>
              <w:top w:color="e6e6e6" w:space="0" w:sz="4" w:val="single"/>
              <w:bottom w:color="e6e6e6" w:space="0" w:sz="4" w:val="single"/>
            </w:tcBorders>
            <w:shd w:fill="ffffff" w:val="clear"/>
            <w:tcMar>
              <w:top w:w="100.0" w:type="dxa"/>
              <w:bottom w:w="100.0" w:type="dxa"/>
            </w:tcMar>
            <w:vAlign w:val="center"/>
          </w:tcPr>
          <w:p w14:paraId="000000D8">
            <w:pPr>
              <w:keepNext w:val="0"/>
              <w:spacing w:after="0" w:before="0" w:line="240" w:lineRule="auto"/>
              <w:jc w:val="left"/>
              <w:rPr/>
            </w:pPr>
            <w:r>
              <w:rPr>
                <w:rFonts w:ascii="Arial" w:cs="Arial" w:eastAsia="Arial" w:hAnsi="Arial"/>
                <w:b w:val="0"/>
                <w:bCs w:val="0"/>
                <w:i w:val="0"/>
                <w:iCs w:val="0"/>
                <w:color w:val="111111"/>
                <w:sz w:val="15"/>
                <w:szCs w:val="15"/>
                <w:rtl w:val="0"/>
              </w:rPr>
              <w:t>Prior estimate</w:t>
            </w:r>
            <w:r>
              <w:rPr>
                <w:rtl w:val="0"/>
              </w:rPr>
            </w:r>
          </w:p>
        </w:tc>
        <w:tc>
          <w:tcPr>
            <w:tcW w:type="dxa" w:w="2376"/>
            <w:tcBorders>
              <w:top w:color="e6e6e6" w:space="0" w:sz="4" w:val="single"/>
              <w:bottom w:color="e6e6e6" w:space="0" w:sz="4" w:val="single"/>
            </w:tcBorders>
            <w:shd w:fill="ffffff" w:val="clear"/>
            <w:tcMar>
              <w:top w:w="100.0" w:type="dxa"/>
              <w:bottom w:w="100.0" w:type="dxa"/>
            </w:tcMar>
            <w:vAlign w:val="center"/>
          </w:tcPr>
          <w:p w14:paraId="000000D9">
            <w:pPr>
              <w:keepNext w:val="0"/>
              <w:spacing w:after="0" w:before="0" w:line="240" w:lineRule="auto"/>
              <w:jc w:val="right"/>
              <w:rPr/>
            </w:pPr>
            <w:r>
              <w:rPr>
                <w:rFonts w:ascii="Arial" w:cs="Arial" w:eastAsia="Arial" w:hAnsi="Arial"/>
                <w:b w:val="0"/>
                <w:bCs w:val="0"/>
                <w:i w:val="0"/>
                <w:iCs w:val="0"/>
                <w:color w:val="111111"/>
                <w:sz w:val="15"/>
                <w:szCs w:val="15"/>
                <w:rtl w:val="0"/>
              </w:rPr>
              <w:t>640 implementation hours; AI included</w:t>
            </w:r>
            <w:r>
              <w:rPr>
                <w:rtl w:val="0"/>
              </w:rPr>
            </w:r>
          </w:p>
        </w:tc>
        <w:tc>
          <w:tcPr>
            <w:tcW w:type="dxa" w:w="2232"/>
            <w:tcBorders>
              <w:top w:color="e6e6e6" w:space="0" w:sz="4" w:val="single"/>
              <w:bottom w:color="e6e6e6" w:space="0" w:sz="4" w:val="single"/>
            </w:tcBorders>
            <w:shd w:fill="ffffff" w:val="clear"/>
            <w:tcMar>
              <w:top w:w="100.0" w:type="dxa"/>
              <w:bottom w:w="100.0" w:type="dxa"/>
            </w:tcMar>
            <w:vAlign w:val="center"/>
          </w:tcPr>
          <w:p w14:paraId="000000DA">
            <w:pPr>
              <w:keepNext w:val="0"/>
              <w:spacing w:after="0" w:before="0" w:line="240" w:lineRule="auto"/>
              <w:jc w:val="left"/>
              <w:rPr/>
            </w:pPr>
            <w:r>
              <w:rPr>
                <w:rFonts w:ascii="Arial" w:cs="Arial" w:eastAsia="Arial" w:hAnsi="Arial"/>
                <w:b w:val="0"/>
                <w:bCs w:val="0"/>
                <w:i w:val="0"/>
                <w:iCs w:val="0"/>
                <w:color w:val="111111"/>
                <w:sz w:val="15"/>
                <w:szCs w:val="15"/>
                <w:rtl w:val="0"/>
              </w:rPr>
              <w:t>Superseded baseline; not actuals</w:t>
            </w:r>
            <w:r>
              <w:rPr>
                <w:rtl w:val="0"/>
              </w:rPr>
            </w:r>
          </w:p>
        </w:tc>
        <w:tc>
          <w:tcPr>
            <w:tcW w:type="dxa" w:w="1512"/>
            <w:tcBorders>
              <w:top w:color="e6e6e6" w:space="0" w:sz="4" w:val="single"/>
              <w:bottom w:color="e6e6e6" w:space="0" w:sz="4" w:val="single"/>
            </w:tcBorders>
            <w:shd w:fill="ffffff" w:val="clear"/>
            <w:tcMar>
              <w:top w:w="100.0" w:type="dxa"/>
              <w:bottom w:w="100.0" w:type="dxa"/>
            </w:tcMar>
            <w:vAlign w:val="center"/>
          </w:tcPr>
          <w:p w14:paraId="000000DB">
            <w:pPr>
              <w:keepNext w:val="0"/>
              <w:spacing w:after="0" w:before="0" w:line="240" w:lineRule="auto"/>
              <w:jc w:val="left"/>
              <w:rPr/>
            </w:pPr>
            <w:r>
              <w:rPr>
                <w:rFonts w:ascii="Arial" w:cs="Arial" w:eastAsia="Arial" w:hAnsi="Arial"/>
                <w:b w:val="0"/>
                <w:bCs w:val="0"/>
                <w:i w:val="0"/>
                <w:iCs w:val="0"/>
                <w:color w:val="111111"/>
                <w:sz w:val="15"/>
                <w:szCs w:val="15"/>
                <w:rtl w:val="0"/>
              </w:rPr>
              <w:t>Plan maintainer</w:t>
            </w:r>
            <w:r>
              <w:rPr>
                <w:rtl w:val="0"/>
              </w:rPr>
            </w:r>
          </w:p>
        </w:tc>
        <w:tc>
          <w:tcPr>
            <w:tcW w:type="dxa" w:w="1800"/>
            <w:tcBorders>
              <w:top w:color="e6e6e6" w:space="0" w:sz="4" w:val="single"/>
              <w:bottom w:color="e6e6e6" w:space="0" w:sz="4" w:val="single"/>
            </w:tcBorders>
            <w:shd w:fill="ffffff" w:val="clear"/>
            <w:tcMar>
              <w:top w:w="100.0" w:type="dxa"/>
              <w:bottom w:w="100.0" w:type="dxa"/>
            </w:tcMar>
            <w:vAlign w:val="center"/>
          </w:tcPr>
          <w:p w14:paraId="000000DC">
            <w:pPr>
              <w:keepNext w:val="0"/>
              <w:spacing w:after="0" w:before="0" w:line="240" w:lineRule="auto"/>
              <w:jc w:val="left"/>
              <w:rPr/>
            </w:pPr>
            <w:r>
              <w:rPr>
                <w:rFonts w:ascii="Arial" w:cs="Arial" w:eastAsia="Arial" w:hAnsi="Arial"/>
                <w:b w:val="0"/>
                <w:bCs w:val="0"/>
                <w:i w:val="0"/>
                <w:iCs w:val="0"/>
                <w:color w:val="111111"/>
                <w:sz w:val="15"/>
                <w:szCs w:val="15"/>
                <w:rtl w:val="0"/>
              </w:rPr>
              <w:t>Retain for history</w:t>
            </w:r>
            <w:r>
              <w:rPr>
                <w:rtl w:val="0"/>
              </w:rPr>
            </w:r>
          </w:p>
        </w:tc>
      </w:tr>
      <w:tr>
        <w:trPr>
          <w:cantSplit w:val="1"/>
          <w:trHeight w:val="440" w:hRule="atLeast"/>
          <w:tblHeader w:val="0"/>
        </w:trPr>
        <w:tc>
          <w:tcPr>
            <w:tcW w:type="dxa" w:w="1512"/>
            <w:tcBorders>
              <w:top w:color="e6e6e6" w:space="0" w:sz="4" w:val="single"/>
              <w:bottom w:color="e6e6e6" w:space="0" w:sz="4" w:val="single"/>
            </w:tcBorders>
            <w:shd w:fill="f7f7f7" w:val="clear"/>
            <w:tcMar>
              <w:top w:w="100.0" w:type="dxa"/>
              <w:bottom w:w="100.0" w:type="dxa"/>
            </w:tcMar>
            <w:vAlign w:val="center"/>
          </w:tcPr>
          <w:p w14:paraId="000000DD">
            <w:pPr>
              <w:keepNext w:val="0"/>
              <w:spacing w:after="0" w:before="0" w:line="240" w:lineRule="auto"/>
              <w:jc w:val="left"/>
              <w:rPr/>
            </w:pPr>
            <w:r>
              <w:rPr>
                <w:rFonts w:ascii="Arial" w:cs="Arial" w:eastAsia="Arial" w:hAnsi="Arial"/>
                <w:b w:val="0"/>
                <w:bCs w:val="0"/>
                <w:i w:val="0"/>
                <w:iCs w:val="0"/>
                <w:color w:val="111111"/>
                <w:sz w:val="15"/>
                <w:szCs w:val="15"/>
                <w:rtl w:val="0"/>
              </w:rPr>
              <w:t>Weekly capacity</w:t>
            </w:r>
            <w:r>
              <w:rPr>
                <w:rtl w:val="0"/>
              </w:rPr>
            </w:r>
          </w:p>
        </w:tc>
        <w:tc>
          <w:tcPr>
            <w:tcW w:type="dxa" w:w="2376"/>
            <w:tcBorders>
              <w:top w:color="e6e6e6" w:space="0" w:sz="4" w:val="single"/>
              <w:bottom w:color="e6e6e6" w:space="0" w:sz="4" w:val="single"/>
            </w:tcBorders>
            <w:shd w:fill="f7f7f7" w:val="clear"/>
            <w:tcMar>
              <w:top w:w="100.0" w:type="dxa"/>
              <w:bottom w:w="100.0" w:type="dxa"/>
            </w:tcMar>
            <w:vAlign w:val="center"/>
          </w:tcPr>
          <w:p w14:paraId="000000DE">
            <w:pPr>
              <w:keepNext w:val="0"/>
              <w:spacing w:after="0" w:before="0" w:line="240" w:lineRule="auto"/>
              <w:jc w:val="right"/>
              <w:rPr/>
            </w:pPr>
            <w:r>
              <w:rPr>
                <w:rFonts w:ascii="Arial" w:cs="Arial" w:eastAsia="Arial" w:hAnsi="Arial"/>
                <w:b w:val="0"/>
                <w:bCs w:val="0"/>
                <w:i w:val="0"/>
                <w:iCs w:val="0"/>
                <w:color w:val="111111"/>
                <w:sz w:val="15"/>
                <w:szCs w:val="15"/>
                <w:rtl w:val="0"/>
              </w:rPr>
              <w:t>Bernie 9h 36m; Saturnino 2h 24m</w:t>
            </w:r>
            <w:r>
              <w:rPr>
                <w:rtl w:val="0"/>
              </w:rPr>
            </w:r>
          </w:p>
        </w:tc>
        <w:tc>
          <w:tcPr>
            <w:tcW w:type="dxa" w:w="2232"/>
            <w:tcBorders>
              <w:top w:color="e6e6e6" w:space="0" w:sz="4" w:val="single"/>
              <w:bottom w:color="e6e6e6" w:space="0" w:sz="4" w:val="single"/>
            </w:tcBorders>
            <w:shd w:fill="f7f7f7" w:val="clear"/>
            <w:tcMar>
              <w:top w:w="100.0" w:type="dxa"/>
              <w:bottom w:w="100.0" w:type="dxa"/>
            </w:tcMar>
            <w:vAlign w:val="center"/>
          </w:tcPr>
          <w:p w14:paraId="000000DF">
            <w:pPr>
              <w:keepNext w:val="0"/>
              <w:spacing w:after="0" w:before="0" w:line="240" w:lineRule="auto"/>
              <w:jc w:val="left"/>
              <w:rPr/>
            </w:pPr>
            <w:r>
              <w:rPr>
                <w:rFonts w:ascii="Arial" w:cs="Arial" w:eastAsia="Arial" w:hAnsi="Arial"/>
                <w:b w:val="0"/>
                <w:bCs w:val="0"/>
                <w:i w:val="0"/>
                <w:iCs w:val="0"/>
                <w:color w:val="111111"/>
                <w:sz w:val="15"/>
                <w:szCs w:val="15"/>
                <w:rtl w:val="0"/>
              </w:rPr>
              <w:t>12 combined hours/week; calendar fit still to be confirmed</w:t>
            </w:r>
            <w:r>
              <w:rPr>
                <w:rtl w:val="0"/>
              </w:rPr>
            </w:r>
          </w:p>
        </w:tc>
        <w:tc>
          <w:tcPr>
            <w:tcW w:type="dxa" w:w="1512"/>
            <w:tcBorders>
              <w:top w:color="e6e6e6" w:space="0" w:sz="4" w:val="single"/>
              <w:bottom w:color="e6e6e6" w:space="0" w:sz="4" w:val="single"/>
            </w:tcBorders>
            <w:shd w:fill="f7f7f7" w:val="clear"/>
            <w:tcMar>
              <w:top w:w="100.0" w:type="dxa"/>
              <w:bottom w:w="100.0" w:type="dxa"/>
            </w:tcMar>
            <w:vAlign w:val="center"/>
          </w:tcPr>
          <w:p w14:paraId="000000E0">
            <w:pPr>
              <w:keepNext w:val="0"/>
              <w:spacing w:after="0" w:before="0" w:line="240" w:lineRule="auto"/>
              <w:jc w:val="left"/>
              <w:rPr/>
            </w:pPr>
            <w:r>
              <w:rPr>
                <w:rFonts w:ascii="Arial" w:cs="Arial" w:eastAsia="Arial" w:hAnsi="Arial"/>
                <w:b w:val="0"/>
                <w:bCs w:val="0"/>
                <w:i w:val="0"/>
                <w:iCs w:val="0"/>
                <w:color w:val="111111"/>
                <w:sz w:val="15"/>
                <w:szCs w:val="15"/>
                <w:rtl w:val="0"/>
              </w:rPr>
              <w:t>Project owner</w:t>
            </w:r>
            <w:r>
              <w:rPr>
                <w:rtl w:val="0"/>
              </w:rPr>
            </w:r>
          </w:p>
        </w:tc>
        <w:tc>
          <w:tcPr>
            <w:tcW w:type="dxa" w:w="1800"/>
            <w:tcBorders>
              <w:top w:color="e6e6e6" w:space="0" w:sz="4" w:val="single"/>
              <w:bottom w:color="e6e6e6" w:space="0" w:sz="4" w:val="single"/>
            </w:tcBorders>
            <w:shd w:fill="f7f7f7" w:val="clear"/>
            <w:tcMar>
              <w:top w:w="100.0" w:type="dxa"/>
              <w:bottom w:w="100.0" w:type="dxa"/>
            </w:tcMar>
            <w:vAlign w:val="center"/>
          </w:tcPr>
          <w:p w14:paraId="000000E1">
            <w:pPr>
              <w:keepNext w:val="0"/>
              <w:spacing w:after="0" w:before="0" w:line="240" w:lineRule="auto"/>
              <w:jc w:val="left"/>
              <w:rPr/>
            </w:pPr>
            <w:r>
              <w:rPr>
                <w:rFonts w:ascii="Arial" w:cs="Arial" w:eastAsia="Arial" w:hAnsi="Arial"/>
                <w:b w:val="0"/>
                <w:bCs w:val="0"/>
                <w:i w:val="0"/>
                <w:iCs w:val="0"/>
                <w:color w:val="111111"/>
                <w:sz w:val="15"/>
                <w:szCs w:val="15"/>
                <w:rtl w:val="0"/>
              </w:rPr>
              <w:t>Before kickoff</w:t>
            </w:r>
            <w:r>
              <w:rPr>
                <w:rtl w:val="0"/>
              </w:rPr>
            </w:r>
          </w:p>
        </w:tc>
      </w:tr>
      <w:tr>
        <w:trPr>
          <w:cantSplit w:val="1"/>
          <w:trHeight w:val="440" w:hRule="atLeast"/>
          <w:tblHeader w:val="0"/>
        </w:trPr>
        <w:tc>
          <w:tcPr>
            <w:tcW w:type="dxa" w:w="1512"/>
            <w:tcBorders>
              <w:top w:color="e6e6e6" w:space="0" w:sz="4" w:val="single"/>
              <w:bottom w:color="e6e6e6" w:space="0" w:sz="4" w:val="single"/>
            </w:tcBorders>
            <w:shd w:fill="ffffff" w:val="clear"/>
            <w:tcMar>
              <w:top w:w="100.0" w:type="dxa"/>
              <w:bottom w:w="100.0" w:type="dxa"/>
            </w:tcMar>
            <w:vAlign w:val="center"/>
          </w:tcPr>
          <w:p w14:paraId="000000E2">
            <w:pPr>
              <w:keepNext w:val="0"/>
              <w:spacing w:after="0" w:before="0" w:line="240" w:lineRule="auto"/>
              <w:jc w:val="left"/>
              <w:rPr/>
            </w:pPr>
            <w:r>
              <w:rPr>
                <w:rFonts w:ascii="Arial" w:cs="Arial" w:eastAsia="Arial" w:hAnsi="Arial"/>
                <w:b w:val="0"/>
                <w:bCs w:val="0"/>
                <w:i w:val="0"/>
                <w:iCs w:val="0"/>
                <w:color w:val="111111"/>
                <w:sz w:val="15"/>
                <w:szCs w:val="15"/>
                <w:rtl w:val="0"/>
              </w:rPr>
              <w:t>Feature dependencies</w:t>
            </w:r>
            <w:r>
              <w:rPr>
                <w:rtl w:val="0"/>
              </w:rPr>
            </w:r>
          </w:p>
        </w:tc>
        <w:tc>
          <w:tcPr>
            <w:tcW w:type="dxa" w:w="2376"/>
            <w:tcBorders>
              <w:top w:color="e6e6e6" w:space="0" w:sz="4" w:val="single"/>
              <w:bottom w:color="e6e6e6" w:space="0" w:sz="4" w:val="single"/>
            </w:tcBorders>
            <w:shd w:fill="ffffff" w:val="clear"/>
            <w:tcMar>
              <w:top w:w="100.0" w:type="dxa"/>
              <w:bottom w:w="100.0" w:type="dxa"/>
            </w:tcMar>
            <w:vAlign w:val="center"/>
          </w:tcPr>
          <w:p w14:paraId="000000E3">
            <w:pPr>
              <w:keepNext w:val="0"/>
              <w:spacing w:after="0" w:before="0" w:line="240" w:lineRule="auto"/>
              <w:jc w:val="right"/>
              <w:rPr/>
            </w:pPr>
            <w:r>
              <w:rPr>
                <w:rFonts w:ascii="Arial" w:cs="Arial" w:eastAsia="Arial" w:hAnsi="Arial"/>
                <w:b w:val="0"/>
                <w:bCs w:val="0"/>
                <w:i w:val="0"/>
                <w:iCs w:val="0"/>
                <w:color w:val="111111"/>
                <w:sz w:val="15"/>
                <w:szCs w:val="15"/>
                <w:rtl w:val="0"/>
              </w:rPr>
              <w:t>Decisions, contracts and M0-M7 acceptance criteria</w:t>
            </w:r>
            <w:r>
              <w:rPr>
                <w:rtl w:val="0"/>
              </w:rPr>
            </w:r>
          </w:p>
        </w:tc>
        <w:tc>
          <w:tcPr>
            <w:tcW w:type="dxa" w:w="2232"/>
            <w:tcBorders>
              <w:top w:color="e6e6e6" w:space="0" w:sz="4" w:val="single"/>
              <w:bottom w:color="e6e6e6" w:space="0" w:sz="4" w:val="single"/>
            </w:tcBorders>
            <w:shd w:fill="ffffff" w:val="clear"/>
            <w:tcMar>
              <w:top w:w="100.0" w:type="dxa"/>
              <w:bottom w:w="100.0" w:type="dxa"/>
            </w:tcMar>
            <w:vAlign w:val="center"/>
          </w:tcPr>
          <w:p w14:paraId="000000E4">
            <w:pPr>
              <w:keepNext w:val="0"/>
              <w:spacing w:after="0" w:before="0" w:line="240" w:lineRule="auto"/>
              <w:jc w:val="left"/>
              <w:rPr/>
            </w:pPr>
            <w:r>
              <w:rPr>
                <w:rFonts w:ascii="Arial" w:cs="Arial" w:eastAsia="Arial" w:hAnsi="Arial"/>
                <w:b w:val="0"/>
                <w:bCs w:val="0"/>
                <w:i w:val="0"/>
                <w:iCs w:val="0"/>
                <w:color w:val="111111"/>
                <w:sz w:val="15"/>
                <w:szCs w:val="15"/>
                <w:rtl w:val="0"/>
              </w:rPr>
              <w:t>Sequence dependent work; parallelise independent lanes</w:t>
            </w:r>
            <w:r>
              <w:rPr>
                <w:rtl w:val="0"/>
              </w:rPr>
            </w:r>
          </w:p>
        </w:tc>
        <w:tc>
          <w:tcPr>
            <w:tcW w:type="dxa" w:w="1512"/>
            <w:tcBorders>
              <w:top w:color="e6e6e6" w:space="0" w:sz="4" w:val="single"/>
              <w:bottom w:color="e6e6e6" w:space="0" w:sz="4" w:val="single"/>
            </w:tcBorders>
            <w:shd w:fill="ffffff" w:val="clear"/>
            <w:tcMar>
              <w:top w:w="100.0" w:type="dxa"/>
              <w:bottom w:w="100.0" w:type="dxa"/>
            </w:tcMar>
            <w:vAlign w:val="center"/>
          </w:tcPr>
          <w:p w14:paraId="000000E5">
            <w:pPr>
              <w:keepNext w:val="0"/>
              <w:spacing w:after="0" w:before="0" w:line="240" w:lineRule="auto"/>
              <w:jc w:val="left"/>
              <w:rPr/>
            </w:pPr>
            <w:r>
              <w:rPr>
                <w:rFonts w:ascii="Arial" w:cs="Arial" w:eastAsia="Arial" w:hAnsi="Arial"/>
                <w:b w:val="0"/>
                <w:bCs w:val="0"/>
                <w:i w:val="0"/>
                <w:iCs w:val="0"/>
                <w:color w:val="111111"/>
                <w:sz w:val="15"/>
                <w:szCs w:val="15"/>
                <w:rtl w:val="0"/>
              </w:rPr>
              <w:t>Bernie owns contracts; Saturnino consumes them for UI work</w:t>
            </w:r>
            <w:r>
              <w:rPr>
                <w:rtl w:val="0"/>
              </w:rPr>
            </w:r>
          </w:p>
        </w:tc>
        <w:tc>
          <w:tcPr>
            <w:tcW w:type="dxa" w:w="1800"/>
            <w:tcBorders>
              <w:top w:color="e6e6e6" w:space="0" w:sz="4" w:val="single"/>
              <w:bottom w:color="e6e6e6" w:space="0" w:sz="4" w:val="single"/>
            </w:tcBorders>
            <w:shd w:fill="ffffff" w:val="clear"/>
            <w:tcMar>
              <w:top w:w="100.0" w:type="dxa"/>
              <w:bottom w:w="100.0" w:type="dxa"/>
            </w:tcMar>
            <w:vAlign w:val="center"/>
          </w:tcPr>
          <w:p w14:paraId="000000E6">
            <w:pPr>
              <w:keepNext w:val="0"/>
              <w:spacing w:after="0" w:before="0" w:line="240" w:lineRule="auto"/>
              <w:jc w:val="left"/>
              <w:rPr/>
            </w:pPr>
            <w:r>
              <w:rPr>
                <w:rFonts w:ascii="Arial" w:cs="Arial" w:eastAsia="Arial" w:hAnsi="Arial"/>
                <w:b w:val="0"/>
                <w:bCs w:val="0"/>
                <w:i w:val="0"/>
                <w:iCs w:val="0"/>
                <w:color w:val="111111"/>
                <w:sz w:val="15"/>
                <w:szCs w:val="15"/>
                <w:rtl w:val="0"/>
              </w:rPr>
              <w:t>Weekly coordination and week-one reforecast</w:t>
            </w:r>
            <w:r>
              <w:rPr>
                <w:rtl w:val="0"/>
              </w:rPr>
            </w:r>
          </w:p>
        </w:tc>
      </w:tr>
      <w:tr>
        <w:trPr>
          <w:cantSplit w:val="1"/>
          <w:trHeight w:val="440" w:hRule="atLeast"/>
          <w:tblHeader w:val="0"/>
        </w:trPr>
        <w:tc>
          <w:tcPr>
            <w:tcW w:type="dxa" w:w="1512"/>
            <w:tcBorders>
              <w:top w:color="e6e6e6" w:space="0" w:sz="4" w:val="single"/>
              <w:bottom w:color="e6e6e6" w:space="0" w:sz="4" w:val="single"/>
            </w:tcBorders>
            <w:shd w:fill="111111" w:val="clear"/>
            <w:tcMar>
              <w:top w:w="100.0" w:type="dxa"/>
              <w:bottom w:w="100.0" w:type="dxa"/>
            </w:tcMar>
            <w:vAlign w:val="center"/>
          </w:tcPr>
          <w:p w14:paraId="000000E7">
            <w:pPr>
              <w:keepNext w:val="0"/>
              <w:spacing w:after="0" w:before="0" w:line="240" w:lineRule="auto"/>
              <w:jc w:val="left"/>
              <w:rPr/>
            </w:pPr>
            <w:r>
              <w:rPr>
                <w:rFonts w:ascii="Arial" w:cs="Arial" w:eastAsia="Arial" w:hAnsi="Arial"/>
                <w:b w:val="1"/>
                <w:bCs w:val="1"/>
                <w:i w:val="0"/>
                <w:iCs w:val="0"/>
                <w:color w:val="ffffff"/>
                <w:sz w:val="15"/>
                <w:szCs w:val="15"/>
                <w:rtl w:val="0"/>
              </w:rPr>
              <w:t>External release gates</w:t>
            </w:r>
            <w:r>
              <w:rPr>
                <w:rtl w:val="0"/>
              </w:rPr>
            </w:r>
          </w:p>
        </w:tc>
        <w:tc>
          <w:tcPr>
            <w:tcW w:type="dxa" w:w="2376"/>
            <w:tcBorders>
              <w:top w:color="e6e6e6" w:space="0" w:sz="4" w:val="single"/>
              <w:bottom w:color="e6e6e6" w:space="0" w:sz="4" w:val="single"/>
            </w:tcBorders>
            <w:shd w:fill="111111" w:val="clear"/>
            <w:tcMar>
              <w:top w:w="100.0" w:type="dxa"/>
              <w:bottom w:w="100.0" w:type="dxa"/>
            </w:tcMar>
            <w:vAlign w:val="center"/>
          </w:tcPr>
          <w:p>
            <w:r>
              <w:rPr>
                <w:color w:val="FFFFFF"/>
                <w:sz w:val="18"/>
              </w:rPr>
              <w:t>Live identity/Cerebru, AI/SMTP, human pilot, 30-day observation, production</w:t>
            </w:r>
          </w:p>
        </w:tc>
        <w:tc>
          <w:tcPr>
            <w:tcW w:type="dxa" w:w="2232"/>
            <w:tcBorders>
              <w:top w:color="e6e6e6" w:space="0" w:sz="4" w:val="single"/>
              <w:bottom w:color="e6e6e6" w:space="0" w:sz="4" w:val="single"/>
            </w:tcBorders>
            <w:shd w:fill="111111" w:val="clear"/>
            <w:tcMar>
              <w:top w:w="100.0" w:type="dxa"/>
              <w:bottom w:w="100.0" w:type="dxa"/>
            </w:tcMar>
            <w:vAlign w:val="center"/>
          </w:tcPr>
          <w:p w14:paraId="000000E9">
            <w:pPr>
              <w:keepNext w:val="0"/>
              <w:spacing w:after="0" w:before="0" w:line="240" w:lineRule="auto"/>
              <w:jc w:val="left"/>
              <w:rPr/>
            </w:pPr>
            <w:r>
              <w:rPr>
                <w:rFonts w:ascii="Arial" w:cs="Arial" w:eastAsia="Arial" w:hAnsi="Arial"/>
                <w:b w:val="1"/>
                <w:bCs w:val="1"/>
                <w:i w:val="0"/>
                <w:iCs w:val="0"/>
                <w:color w:val="ffffff"/>
                <w:sz w:val="15"/>
                <w:szCs w:val="15"/>
                <w:rtl w:val="0"/>
              </w:rPr>
              <w:t>Outside 2-3-week build forecast</w:t>
            </w:r>
            <w:r>
              <w:rPr>
                <w:rtl w:val="0"/>
              </w:rPr>
            </w:r>
          </w:p>
        </w:tc>
        <w:tc>
          <w:tcPr>
            <w:tcW w:type="dxa" w:w="1512"/>
            <w:tcBorders>
              <w:top w:color="e6e6e6" w:space="0" w:sz="4" w:val="single"/>
              <w:bottom w:color="e6e6e6" w:space="0" w:sz="4" w:val="single"/>
            </w:tcBorders>
            <w:shd w:fill="111111" w:val="clear"/>
            <w:tcMar>
              <w:top w:w="100.0" w:type="dxa"/>
              <w:bottom w:w="100.0" w:type="dxa"/>
            </w:tcMar>
            <w:vAlign w:val="center"/>
          </w:tcPr>
          <w:p w14:paraId="000000EA">
            <w:pPr>
              <w:keepNext w:val="0"/>
              <w:spacing w:after="0" w:before="0" w:line="240" w:lineRule="auto"/>
              <w:jc w:val="left"/>
              <w:rPr/>
            </w:pPr>
            <w:r>
              <w:rPr>
                <w:rFonts w:ascii="Arial" w:cs="Arial" w:eastAsia="Arial" w:hAnsi="Arial"/>
                <w:b w:val="1"/>
                <w:bCs w:val="1"/>
                <w:i w:val="0"/>
                <w:iCs w:val="0"/>
                <w:color w:val="ffffff"/>
                <w:sz w:val="15"/>
                <w:szCs w:val="15"/>
                <w:rtl w:val="0"/>
              </w:rPr>
              <w:t>Project owner and separately approved reviewers</w:t>
            </w:r>
            <w:r>
              <w:rPr>
                <w:rtl w:val="0"/>
              </w:rPr>
            </w:r>
          </w:p>
        </w:tc>
        <w:tc>
          <w:tcPr>
            <w:tcW w:type="dxa" w:w="1800"/>
            <w:tcBorders>
              <w:top w:color="e6e6e6" w:space="0" w:sz="4" w:val="single"/>
              <w:bottom w:color="e6e6e6" w:space="0" w:sz="4" w:val="single"/>
            </w:tcBorders>
            <w:shd w:fill="111111" w:val="clear"/>
            <w:tcMar>
              <w:top w:w="100.0" w:type="dxa"/>
              <w:bottom w:w="100.0" w:type="dxa"/>
            </w:tcMar>
            <w:vAlign w:val="center"/>
          </w:tcPr>
          <w:p w14:paraId="000000EB">
            <w:pPr>
              <w:keepNext w:val="0"/>
              <w:spacing w:after="0" w:before="0" w:line="240" w:lineRule="auto"/>
              <w:jc w:val="left"/>
              <w:rPr/>
            </w:pPr>
            <w:r>
              <w:rPr>
                <w:rFonts w:ascii="Arial" w:cs="Arial" w:eastAsia="Arial" w:hAnsi="Arial"/>
                <w:b w:val="1"/>
                <w:bCs w:val="1"/>
                <w:i w:val="0"/>
                <w:iCs w:val="0"/>
                <w:color w:val="ffffff"/>
                <w:sz w:val="15"/>
                <w:szCs w:val="15"/>
                <w:rtl w:val="0"/>
              </w:rPr>
              <w:t>Separate M7 forecast</w:t>
            </w:r>
            <w:r>
              <w:rPr>
                <w:rtl w:val="0"/>
              </w:rPr>
            </w:r>
          </w:p>
        </w:tc>
      </w:tr>
    </w:tbl>
    <w:p>
      <w:pPr>
        <w:pStyle w:val="Heading2"/>
        <w:keepNext/>
      </w:pPr>
      <w:r>
        <w:t>Scope boundary</w:t>
      </w:r>
    </w:p>
    <w:p>
      <w:pPr/>
      <w:r>
        <w:t>The 2-3-week target includes development/design and local acceptance only. Live identity and Cerebru integration, live AI or SMTP qualification, pilot observation, the representative 30-day learning cycle and production deployment/release are excluded and need their own schedule and approvals. Existing CI and application checks remain required evidence. No additional reviewer, paid service, licence, subscription, infrastructure or live-service access is allocated by this planning target.</w:t>
      </w:r>
    </w:p>
    <w:p>
      <w:pPr/>
      <w:r>
        <w:t>Planning sources: current M0-M7 charters, the detailed Markdown implementation plan, and the approved 80/20 responsibility model effective 23 October 2026. The original Word implementation plan remains unchanged as the historical baseline.</w:t>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tabs>
        <w:tab w:val="right" w:leader="none" w:pos="9214"/>
      </w:tabs>
      <w:rPr>
        <w:color w:val="999999"/>
        <w:sz w:val="18"/>
        <w:szCs w:val="18"/>
      </w:rPr>
    </w:pPr>
    <w:r>
      <w:rPr>
        <w:color w:val="999999"/>
        <w:sz w:val="18"/>
        <w:szCs w:val="18"/>
        <w:rtl w:val="0"/>
      </w:rPr>
      <w:t>Confidential - Internal Use Only - Training Assessment Tracker V2</w:t>
      <w:tab/>
    </w:r>
    <w:r>
      <w:rPr>
        <w:color w:val="999999"/>
        <w:sz w:val="18"/>
        <w:szCs w:val="18"/>
      </w:rPr>
      <w:fldChar w:fldCharType="begin"/>
      <w:instrText xml:space="preserve">PAGE</w:instrText>
      <w:fldChar w:fldCharType="separate"/>
      <w:fldChar w:fldCharType="end"/>
    </w: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jc w:val="right"/>
      <w:rPr>
        <w:color w:val="999999"/>
        <w:sz w:val="24"/>
        <w:szCs w:val="24"/>
      </w:rPr>
    </w:pPr>
    <w:r>
      <w:rPr>
        <w:color w:val="999999"/>
        <w:sz w:val="18"/>
        <w:szCs w:val="18"/>
        <w:rtl w:val="0"/>
      </w:rPr>
      <w:t>AI Assisted Delivery Plan | October 2026</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AI Assisted Two Developer Resourcing and Delivery Plan</dc:title>
  <cp:lastModifiedBy>python-docx</cp:lastModifiedBy>
  <cp:revision>1</cp:revision>
  <dcterms:modified xsi:type="dcterms:W3CDTF">2026-10-16T05:50:29Z</dcterms:modified>
  <dc:subject>Provisional AI-assisted M0-M7 build cadence and developer resource commitment</dc:subject>
</cp:coreProperties>
</file>