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Ventas – Enero 2025</w:t>
      </w:r>
    </w:p>
    <w:p>
      <w:r>
        <w:t>Empresa: ZeroTech Solutions S.A.S.</w:t>
      </w:r>
    </w:p>
    <w:p>
      <w:r>
        <w:t>Elaborado por: Departamento Comercial</w:t>
      </w:r>
    </w:p>
    <w:p>
      <w:r>
        <w:t>Fecha de elaboración: 31 de enero de 2025</w:t>
      </w:r>
    </w:p>
    <w:p>
      <w:pPr>
        <w:pStyle w:val="Heading2"/>
      </w:pPr>
      <w:r>
        <w:t>1. Resumen General</w:t>
      </w:r>
    </w:p>
    <w:p>
      <w:r>
        <w:t>Durante el mes de enero de 2025, la empresa ZeroTech Solutions alcanzó un total de $42.500.000 COP en ventas, logrando un inicio de año sólido a pesar de la estacionalidad típica posterior a las festividades. El mayor desempeño se observó en la línea de licencias de software ZeroAI, representando el 42% de las ventas totales del mes.</w:t>
      </w:r>
    </w:p>
    <w:p>
      <w:pPr>
        <w:pStyle w:val="Heading2"/>
      </w:pPr>
      <w:r>
        <w:t>2. Resultados generales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Ventas totales</w:t>
            </w:r>
          </w:p>
        </w:tc>
        <w:tc>
          <w:tcPr>
            <w:tcW w:type="dxa" w:w="4320"/>
          </w:tcPr>
          <w:p>
            <w:r>
              <w:t>$42.500.000 COP</w:t>
            </w:r>
          </w:p>
        </w:tc>
      </w:tr>
      <w:tr>
        <w:tc>
          <w:tcPr>
            <w:tcW w:type="dxa" w:w="4320"/>
          </w:tcPr>
          <w:p>
            <w:r>
              <w:t>Número de transacciones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Clientes nuevos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Clientes recurrentes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Promedio de venta por transacción</w:t>
            </w:r>
          </w:p>
        </w:tc>
        <w:tc>
          <w:tcPr>
            <w:tcW w:type="dxa" w:w="4320"/>
          </w:tcPr>
          <w:p>
            <w:r>
              <w:t>$332.000 COP</w:t>
            </w:r>
          </w:p>
        </w:tc>
      </w:tr>
    </w:tbl>
    <w:p>
      <w:pPr>
        <w:pStyle w:val="Heading2"/>
      </w:pPr>
      <w:r>
        <w:t>3. Distribución por línea de producto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Línea de Producto</w:t>
            </w:r>
          </w:p>
        </w:tc>
        <w:tc>
          <w:tcPr>
            <w:tcW w:type="dxa" w:w="2880"/>
          </w:tcPr>
          <w:p>
            <w:r>
              <w:t>Ventas (COP)</w:t>
            </w:r>
          </w:p>
        </w:tc>
        <w:tc>
          <w:tcPr>
            <w:tcW w:type="dxa" w:w="2880"/>
          </w:tcPr>
          <w:p>
            <w:r>
              <w:t>Participación (%)</w:t>
            </w:r>
          </w:p>
        </w:tc>
      </w:tr>
      <w:tr>
        <w:tc>
          <w:tcPr>
            <w:tcW w:type="dxa" w:w="2880"/>
          </w:tcPr>
          <w:p>
            <w:r>
              <w:t>Licencias de Software ZeroAI</w:t>
            </w:r>
          </w:p>
        </w:tc>
        <w:tc>
          <w:tcPr>
            <w:tcW w:type="dxa" w:w="2880"/>
          </w:tcPr>
          <w:p>
            <w:r>
              <w:t>$18.000.000</w:t>
            </w:r>
          </w:p>
        </w:tc>
        <w:tc>
          <w:tcPr>
            <w:tcW w:type="dxa" w:w="2880"/>
          </w:tcPr>
          <w:p>
            <w:r>
              <w:t>42 %</w:t>
            </w:r>
          </w:p>
        </w:tc>
      </w:tr>
      <w:tr>
        <w:tc>
          <w:tcPr>
            <w:tcW w:type="dxa" w:w="2880"/>
          </w:tcPr>
          <w:p>
            <w:r>
              <w:t>Mantenimiento de Servidores</w:t>
            </w:r>
          </w:p>
        </w:tc>
        <w:tc>
          <w:tcPr>
            <w:tcW w:type="dxa" w:w="2880"/>
          </w:tcPr>
          <w:p>
            <w:r>
              <w:t>$9.500.000</w:t>
            </w:r>
          </w:p>
        </w:tc>
        <w:tc>
          <w:tcPr>
            <w:tcW w:type="dxa" w:w="2880"/>
          </w:tcPr>
          <w:p>
            <w:r>
              <w:t>22 %</w:t>
            </w:r>
          </w:p>
        </w:tc>
      </w:tr>
      <w:tr>
        <w:tc>
          <w:tcPr>
            <w:tcW w:type="dxa" w:w="2880"/>
          </w:tcPr>
          <w:p>
            <w:r>
              <w:t>Diseño Web y Branding</w:t>
            </w:r>
          </w:p>
        </w:tc>
        <w:tc>
          <w:tcPr>
            <w:tcW w:type="dxa" w:w="2880"/>
          </w:tcPr>
          <w:p>
            <w:r>
              <w:t>$6.300.000</w:t>
            </w:r>
          </w:p>
        </w:tc>
        <w:tc>
          <w:tcPr>
            <w:tcW w:type="dxa" w:w="2880"/>
          </w:tcPr>
          <w:p>
            <w:r>
              <w:t>15 %</w:t>
            </w:r>
          </w:p>
        </w:tc>
      </w:tr>
      <w:tr>
        <w:tc>
          <w:tcPr>
            <w:tcW w:type="dxa" w:w="2880"/>
          </w:tcPr>
          <w:p>
            <w:r>
              <w:t>Consultorías Técnicas</w:t>
            </w:r>
          </w:p>
        </w:tc>
        <w:tc>
          <w:tcPr>
            <w:tcW w:type="dxa" w:w="2880"/>
          </w:tcPr>
          <w:p>
            <w:r>
              <w:t>$8.700.000</w:t>
            </w:r>
          </w:p>
        </w:tc>
        <w:tc>
          <w:tcPr>
            <w:tcW w:type="dxa" w:w="2880"/>
          </w:tcPr>
          <w:p>
            <w:r>
              <w:t>21 %</w:t>
            </w:r>
          </w:p>
        </w:tc>
      </w:tr>
    </w:tbl>
    <w:p>
      <w:pPr>
        <w:pStyle w:val="Heading2"/>
      </w:pPr>
      <w:r>
        <w:t>4. Principales clientes del mes</w:t>
      </w:r>
    </w:p>
    <w:p>
      <w:r>
        <w:t>- TecnoAndes Ltda. – Compra de 15 licencias ZeroAI Pro.</w:t>
      </w:r>
    </w:p>
    <w:p>
      <w:r>
        <w:t>- Digital Market Pro – Servicio completo de rediseño web corporativo.</w:t>
      </w:r>
    </w:p>
    <w:p>
      <w:r>
        <w:t>- InnovaCloud S.A. – Asesoría técnica en migración de servidores.</w:t>
      </w:r>
    </w:p>
    <w:p>
      <w:r>
        <w:t>- Grupo Orion – Contrato de mantenimiento de red local.</w:t>
      </w:r>
    </w:p>
    <w:p>
      <w:pPr>
        <w:pStyle w:val="Heading2"/>
      </w:pPr>
      <w:r>
        <w:t>5. Observaciones</w:t>
      </w:r>
    </w:p>
    <w:p>
      <w:r>
        <w:t>- Buen desempeño en el área de consultorías técnicas, con contratos empresariales de valor medio.</w:t>
      </w:r>
    </w:p>
    <w:p>
      <w:r>
        <w:t>- Ligera disminución en solicitudes de diseño web frente al último trimestre de 2024.</w:t>
      </w:r>
    </w:p>
    <w:p>
      <w:r>
        <w:t>- Incremento en nuevos clientes, gracias a la campaña de demostraciones gratuitas de ZeroAI.</w:t>
      </w:r>
    </w:p>
    <w:p>
      <w:pPr>
        <w:pStyle w:val="Heading2"/>
      </w:pPr>
      <w:r>
        <w:t>6. Recomendaciones</w:t>
      </w:r>
    </w:p>
    <w:p>
      <w:r>
        <w:t>1. Reforzar el seguimiento a los clientes nuevos para fomentar su fidelización.</w:t>
      </w:r>
    </w:p>
    <w:p>
      <w:r>
        <w:t>1. Incrementar la presencia digital en redes profesionales (LinkedIn, Behance, GitHub) para atraer proyectos web.</w:t>
      </w:r>
    </w:p>
    <w:p>
      <w:r>
        <w:t>1. Capacitar al equipo comercial en estrategias de venta cruzada de servicios.</w:t>
      </w:r>
    </w:p>
    <w:p>
      <w:r>
        <w:br/>
        <w:t>Elaborado por: María Fernanda Torres</w:t>
      </w:r>
    </w:p>
    <w:p>
      <w:r>
        <w:t>Coordinadora Comercial – ZeroTech Solutions</w:t>
      </w:r>
    </w:p>
    <w:p>
      <w:r>
        <w:t>Firma: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