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Ventas – Febrero 2025</w:t>
      </w:r>
    </w:p>
    <w:p>
      <w:r>
        <w:t>Empresa: ZeroTech Solutions S.A.S.</w:t>
      </w:r>
    </w:p>
    <w:p>
      <w:r>
        <w:t>Elaborado por: Departamento Comercial</w:t>
      </w:r>
    </w:p>
    <w:p>
      <w:r>
        <w:t>Fecha de elaboración: 28 de febrero de 2025</w:t>
      </w:r>
    </w:p>
    <w:p>
      <w:pPr>
        <w:pStyle w:val="Heading2"/>
      </w:pPr>
      <w:r>
        <w:t>1. Resumen General</w:t>
      </w:r>
    </w:p>
    <w:p>
      <w:r>
        <w:t>Durante el mes de febrero de 2025, la empresa ZeroTech Solutions registró un total de $47.800.000 COP en ventas, lo que representa un incremento del 12,5% con respecto al mes anterior. Este crecimiento se debió principalmente al aumento en la demanda de licencias del software ZeroAI y a un mayor número de proyectos de consultoría técnica.</w:t>
      </w:r>
    </w:p>
    <w:p>
      <w:pPr>
        <w:pStyle w:val="Heading2"/>
      </w:pPr>
      <w:r>
        <w:t>2. Resultados generales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Ventas totales</w:t>
            </w:r>
          </w:p>
        </w:tc>
        <w:tc>
          <w:tcPr>
            <w:tcW w:type="dxa" w:w="4320"/>
          </w:tcPr>
          <w:p>
            <w:r>
              <w:t>$47.800.000 COP</w:t>
            </w:r>
          </w:p>
        </w:tc>
      </w:tr>
      <w:tr>
        <w:tc>
          <w:tcPr>
            <w:tcW w:type="dxa" w:w="4320"/>
          </w:tcPr>
          <w:p>
            <w:r>
              <w:t>Número de transacciones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Clientes nuevos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Clientes recurrentes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Promedio de venta por transacción</w:t>
            </w:r>
          </w:p>
        </w:tc>
        <w:tc>
          <w:tcPr>
            <w:tcW w:type="dxa" w:w="4320"/>
          </w:tcPr>
          <w:p>
            <w:r>
              <w:t>$334.000 COP</w:t>
            </w:r>
          </w:p>
        </w:tc>
      </w:tr>
      <w:tr>
        <w:tc>
          <w:tcPr>
            <w:tcW w:type="dxa" w:w="4320"/>
          </w:tcPr>
          <w:p>
            <w:r>
              <w:t>Variación frente a enero</w:t>
            </w:r>
          </w:p>
        </w:tc>
        <w:tc>
          <w:tcPr>
            <w:tcW w:type="dxa" w:w="4320"/>
          </w:tcPr>
          <w:p>
            <w:r>
              <w:t>+12,5 %</w:t>
            </w:r>
          </w:p>
        </w:tc>
      </w:tr>
    </w:tbl>
    <w:p>
      <w:pPr>
        <w:pStyle w:val="Heading2"/>
      </w:pPr>
      <w:r>
        <w:t>3. Distribución por línea de producto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Línea de Producto</w:t>
            </w:r>
          </w:p>
        </w:tc>
        <w:tc>
          <w:tcPr>
            <w:tcW w:type="dxa" w:w="2880"/>
          </w:tcPr>
          <w:p>
            <w:r>
              <w:t>Ventas (COP)</w:t>
            </w:r>
          </w:p>
        </w:tc>
        <w:tc>
          <w:tcPr>
            <w:tcW w:type="dxa" w:w="2880"/>
          </w:tcPr>
          <w:p>
            <w:r>
              <w:t>Variación (%)</w:t>
            </w:r>
          </w:p>
        </w:tc>
      </w:tr>
      <w:tr>
        <w:tc>
          <w:tcPr>
            <w:tcW w:type="dxa" w:w="2880"/>
          </w:tcPr>
          <w:p>
            <w:r>
              <w:t>Licencias de Software ZeroAI</w:t>
            </w:r>
          </w:p>
        </w:tc>
        <w:tc>
          <w:tcPr>
            <w:tcW w:type="dxa" w:w="2880"/>
          </w:tcPr>
          <w:p>
            <w:r>
              <w:t>$21.500.000</w:t>
            </w:r>
          </w:p>
        </w:tc>
        <w:tc>
          <w:tcPr>
            <w:tcW w:type="dxa" w:w="2880"/>
          </w:tcPr>
          <w:p>
            <w:r>
              <w:t>+19,4 %</w:t>
            </w:r>
          </w:p>
        </w:tc>
      </w:tr>
      <w:tr>
        <w:tc>
          <w:tcPr>
            <w:tcW w:type="dxa" w:w="2880"/>
          </w:tcPr>
          <w:p>
            <w:r>
              <w:t>Mantenimiento de Servidores</w:t>
            </w:r>
          </w:p>
        </w:tc>
        <w:tc>
          <w:tcPr>
            <w:tcW w:type="dxa" w:w="2880"/>
          </w:tcPr>
          <w:p>
            <w:r>
              <w:t>$10.200.000</w:t>
            </w:r>
          </w:p>
        </w:tc>
        <w:tc>
          <w:tcPr>
            <w:tcW w:type="dxa" w:w="2880"/>
          </w:tcPr>
          <w:p>
            <w:r>
              <w:t>+7,3 %</w:t>
            </w:r>
          </w:p>
        </w:tc>
      </w:tr>
      <w:tr>
        <w:tc>
          <w:tcPr>
            <w:tcW w:type="dxa" w:w="2880"/>
          </w:tcPr>
          <w:p>
            <w:r>
              <w:t>Diseño Web y Branding</w:t>
            </w:r>
          </w:p>
        </w:tc>
        <w:tc>
          <w:tcPr>
            <w:tcW w:type="dxa" w:w="2880"/>
          </w:tcPr>
          <w:p>
            <w:r>
              <w:t>$5.800.000</w:t>
            </w:r>
          </w:p>
        </w:tc>
        <w:tc>
          <w:tcPr>
            <w:tcW w:type="dxa" w:w="2880"/>
          </w:tcPr>
          <w:p>
            <w:r>
              <w:t>-7,9 %</w:t>
            </w:r>
          </w:p>
        </w:tc>
      </w:tr>
      <w:tr>
        <w:tc>
          <w:tcPr>
            <w:tcW w:type="dxa" w:w="2880"/>
          </w:tcPr>
          <w:p>
            <w:r>
              <w:t>Consultorías Técnicas</w:t>
            </w:r>
          </w:p>
        </w:tc>
        <w:tc>
          <w:tcPr>
            <w:tcW w:type="dxa" w:w="2880"/>
          </w:tcPr>
          <w:p>
            <w:r>
              <w:t>$10.300.000</w:t>
            </w:r>
          </w:p>
        </w:tc>
        <w:tc>
          <w:tcPr>
            <w:tcW w:type="dxa" w:w="2880"/>
          </w:tcPr>
          <w:p>
            <w:r>
              <w:t>+18,3 %</w:t>
            </w:r>
          </w:p>
        </w:tc>
      </w:tr>
    </w:tbl>
    <w:p>
      <w:pPr>
        <w:pStyle w:val="Heading2"/>
      </w:pPr>
      <w:r>
        <w:t>4. Principales clientes del mes</w:t>
      </w:r>
    </w:p>
    <w:p>
      <w:r>
        <w:t>- InnovaCloud S.A. – Implementación de módulo de IA conversacional.</w:t>
      </w:r>
    </w:p>
    <w:p>
      <w:r>
        <w:t>- Unab Ingeniería – Mantenimiento preventivo de red interna.</w:t>
      </w:r>
    </w:p>
    <w:p>
      <w:r>
        <w:t>- DataSolutions Ltda. – Contrato de soporte de servidores.</w:t>
      </w:r>
    </w:p>
    <w:p>
      <w:r>
        <w:t>- Digital Market Pro – Ajustes de hosting y actualización de contenido web.</w:t>
      </w:r>
    </w:p>
    <w:p>
      <w:pPr>
        <w:pStyle w:val="Heading2"/>
      </w:pPr>
      <w:r>
        <w:t>5. Observaciones</w:t>
      </w:r>
    </w:p>
    <w:p>
      <w:r>
        <w:t>- Se evidencia un crecimiento sostenido en ventas gracias a campañas de fidelización.</w:t>
      </w:r>
    </w:p>
    <w:p>
      <w:r>
        <w:t>- El área de diseño web presentó una ligera caída en ingresos debido a reducción temporal de la demanda.</w:t>
      </w:r>
    </w:p>
    <w:p>
      <w:r>
        <w:t>- Consultorías técnicas y licencias de software continúan siendo las líneas más rentables.</w:t>
      </w:r>
    </w:p>
    <w:p>
      <w:pPr>
        <w:pStyle w:val="Heading2"/>
      </w:pPr>
      <w:r>
        <w:t>6. Recomendaciones</w:t>
      </w:r>
    </w:p>
    <w:p>
      <w:r>
        <w:t>1. Lanzar una campaña de referidos para ampliar la base de clientes nuevos.</w:t>
      </w:r>
    </w:p>
    <w:p>
      <w:r>
        <w:t>2. Fortalecer la promoción del servicio de diseño web con descuentos por paquetes.</w:t>
      </w:r>
    </w:p>
    <w:p>
      <w:r>
        <w:t>3. Aumentar la capacitación en ventas cruzadas entre productos ZeroAI y consultorías.</w:t>
      </w:r>
    </w:p>
    <w:p>
      <w:r>
        <w:br/>
        <w:t>Elaborado por: María Fernanda Torres</w:t>
      </w:r>
    </w:p>
    <w:p>
      <w:r>
        <w:t>Coordinadora Comercial – ZeroTech Solutions</w:t>
      </w:r>
    </w:p>
    <w:p>
      <w:r>
        <w:t>Firma: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