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13F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中国人民解放军海军标准</w:t>
      </w:r>
    </w:p>
    <w:p w14:paraId="49059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HJB 590-2025舰船舰载软件质量监督通用要求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General requirements for quality surveillance of shipborne software in naval vessels</w:t>
      </w:r>
    </w:p>
    <w:p w14:paraId="5069F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2025-03-01 发布　　2025-06-01 实施中国人民解放军海军装备部　批准</w:t>
      </w:r>
    </w:p>
    <w:p w14:paraId="2AE96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前言</w:t>
      </w:r>
    </w:p>
    <w:p w14:paraId="6F0DB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本标准依据 HJB 168-97、GJB 4072B-2023 及海军装备软件管理相关规定编制，用于统一规范舰船嵌入式、指控、导航、通信等舰载软件全生命周期质量监督工作。本标准与 GJB 4072B-2023 配套使用，突出舰船海洋环境、多系统交联、作战连续性等海军特有场景要求。本标准由海军装备部舰船技术保障部提出。本标准起草单位：海军装备研究院标准规范研究所、中国船舶集团第七〇九研究所、海军大连舰艇学院。本标准主要起草人：刘跃武、陈海涛、林晓燕、赵文斌、黄伟光、孙健。</w:t>
      </w:r>
    </w:p>
    <w:p w14:paraId="414362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 范围</w:t>
      </w:r>
    </w:p>
    <w:p w14:paraId="3F266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1.1 主题内容</w:t>
      </w:r>
    </w:p>
    <w:p w14:paraId="58CB6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本标准规定了舰船舰载软件质量监督的总则、监督内容、监督方法、过程监督、产品监督、外部供方监督、质量信息管理及保障要求。</w:t>
      </w:r>
    </w:p>
    <w:p w14:paraId="6A8B3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1.2 适用范围</w:t>
      </w:r>
    </w:p>
    <w:p w14:paraId="73B65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本标准适用于海军各类水面舰艇、潜艇、军辅船舰载软件的研制、生产、交付、改装与在役保障的质量监督。军事代表、承制单位、监理单位及外部供方应遵照执行。</w:t>
      </w:r>
    </w:p>
    <w:p w14:paraId="436A0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1.3 剪裁</w:t>
      </w:r>
    </w:p>
    <w:p w14:paraId="0F7D5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可根据软件等级、重要程度、复杂程度及使用环境对监督要求进行剪裁，剪裁方案须经海军装备主管部门批准。</w:t>
      </w:r>
    </w:p>
    <w:p w14:paraId="4E377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 规范性引用文件</w:t>
      </w:r>
    </w:p>
    <w:p w14:paraId="1BEEE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GJB 4072B-2023　军用软件质量监督要求GJB 2786　军用软件开发通用要求GJB 5000B　军用软件能力成熟度模型GJB 5234　军用软件验证与确认GJB 5235　军用软件配置管理GJB 8000　军用软件研制能力等级要求HJB 111-94　舰艇指挥控制系统应用软件测试HJB 221-2000　舰艇作战指挥系统维修性规范HJB 355-2006　舰船电子装备通用修理技术要求</w:t>
      </w:r>
    </w:p>
    <w:p w14:paraId="424FE3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 术语和定义</w:t>
      </w:r>
    </w:p>
    <w:p w14:paraId="29137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3.1 舰载软件 shipborne software</w:t>
      </w:r>
    </w:p>
    <w:p w14:paraId="3114C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安装于舰船平台，用于指控、导航、通信、武器控制、动力监控、电子对抗等功能的软件，含嵌入式软件、固件、可编程逻辑器件软件及应用软件。</w:t>
      </w:r>
    </w:p>
    <w:p w14:paraId="1824EE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3.2 软件关键等级 software critical level</w:t>
      </w:r>
    </w:p>
    <w:p w14:paraId="3B104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按失效对舰船安全、作战任务、装备完好性的影响程度划分为 Ⅰ 级（关键）、Ⅱ 级（重要）、Ⅲ 级（一般）。</w:t>
      </w:r>
    </w:p>
    <w:p w14:paraId="04EB8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3.3 舰上运行环境 shipboard operating environment</w:t>
      </w:r>
    </w:p>
    <w:p w14:paraId="24FE3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舰船振动、冲击、盐雾、湿热、电磁干扰、供电波动及多装备交联的综合使用环境。</w:t>
      </w:r>
    </w:p>
    <w:p w14:paraId="4E718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 总则</w:t>
      </w:r>
    </w:p>
    <w:p w14:paraId="28CC1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4.1 监督目的</w:t>
      </w:r>
    </w:p>
    <w:p w14:paraId="46DEC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保障舰载软件满足作战使用与舰上环境适应性要求</w:t>
      </w:r>
    </w:p>
    <w:p w14:paraId="03C840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规范研制、生产、保障全过程质量行为</w:t>
      </w:r>
    </w:p>
    <w:p w14:paraId="14336F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提升软件可靠性、安全性、可维修性与信息安全</w:t>
      </w:r>
    </w:p>
    <w:p w14:paraId="1CDDCB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4.2 监督原则</w:t>
      </w:r>
    </w:p>
    <w:p w14:paraId="501FF0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聚焦作战、环境适配、全程可控</w:t>
      </w:r>
    </w:p>
    <w:p w14:paraId="2BE2A3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预防为主、测试验证为核心</w:t>
      </w:r>
    </w:p>
    <w:p w14:paraId="53A92F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分级分类、突出关键软件</w:t>
      </w:r>
    </w:p>
    <w:p w14:paraId="3E12F3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依法依规、闭环管理</w:t>
      </w:r>
    </w:p>
    <w:p w14:paraId="380A52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4.3 监督依据</w:t>
      </w:r>
    </w:p>
    <w:p w14:paraId="3367D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合同、技术协议、本标准及相关 GJB/HJB 标准、军方批准的技术文件。</w:t>
      </w:r>
    </w:p>
    <w:p w14:paraId="08327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 监督内容与方法</w:t>
      </w:r>
    </w:p>
    <w:p w14:paraId="678AC4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5.1 监督内容</w:t>
      </w:r>
    </w:p>
    <w:p w14:paraId="752B88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质量管理体系与软件能力监督</w:t>
      </w:r>
    </w:p>
    <w:p w14:paraId="5AD385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研制、生产、在役保障过程监督</w:t>
      </w:r>
    </w:p>
    <w:p w14:paraId="59A84F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软件产品验证、确认、验收监督</w:t>
      </w:r>
    </w:p>
    <w:p w14:paraId="7D4ACF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外部供方与外协软件监督</w:t>
      </w:r>
    </w:p>
    <w:p w14:paraId="7F93B2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质量信息与问题闭环监督</w:t>
      </w:r>
    </w:p>
    <w:p w14:paraId="7874A5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5.2 监督方法</w:t>
      </w:r>
    </w:p>
    <w:p w14:paraId="2A8547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文档审查、现场巡查、见证测试</w:t>
      </w:r>
    </w:p>
    <w:p w14:paraId="2086DF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参加评审、配置审核、第三方测评</w:t>
      </w:r>
    </w:p>
    <w:p w14:paraId="3C2517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版本一致性检查、病毒查杀、环境适应性验证</w:t>
      </w:r>
    </w:p>
    <w:p w14:paraId="1FAECF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问题跟踪、归零验证、质量评价</w:t>
      </w:r>
    </w:p>
    <w:p w14:paraId="686F41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 过程质量监督</w:t>
      </w:r>
    </w:p>
    <w:p w14:paraId="6DD06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6.1 研制过程监督</w:t>
      </w:r>
    </w:p>
    <w:p w14:paraId="245107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项目策划、风险管理、需求开发与基线管理</w:t>
      </w:r>
    </w:p>
    <w:p w14:paraId="5F6757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架构设计、模块设计、接口设计、环境适应性设计</w:t>
      </w:r>
    </w:p>
    <w:p w14:paraId="691F13A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编码规范、代码审查、静态分析</w:t>
      </w:r>
    </w:p>
    <w:p w14:paraId="17E6B6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验证与确认：单元、集成、配置项、系统测试</w:t>
      </w:r>
    </w:p>
    <w:p w14:paraId="2C5B4A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配置管理：三库管理、变更控制、版本基线</w:t>
      </w:r>
    </w:p>
    <w:p w14:paraId="396A594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质量保证、问题归零、成文信息管控</w:t>
      </w:r>
    </w:p>
    <w:p w14:paraId="66357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6.2 生产过程监督</w:t>
      </w:r>
    </w:p>
    <w:p w14:paraId="702F0A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生产环境、专用工具、母盘管理</w:t>
      </w:r>
    </w:p>
    <w:p w14:paraId="217CF0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版本一致性、齐套性、载体质量</w:t>
      </w:r>
    </w:p>
    <w:p w14:paraId="48C96F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病毒查杀、加密、刻录 / 灌装控制</w:t>
      </w:r>
    </w:p>
    <w:p w14:paraId="157C90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出厂检验与合格证明</w:t>
      </w:r>
    </w:p>
    <w:p w14:paraId="72176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6.3 在役保障监督</w:t>
      </w:r>
    </w:p>
    <w:p w14:paraId="6EA41F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现场安装、调试、升级、版本管控</w:t>
      </w:r>
    </w:p>
    <w:p w14:paraId="75DE91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故障定位、补丁分发、回归验证</w:t>
      </w:r>
    </w:p>
    <w:p w14:paraId="77D433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舰上数据记录、问题反馈、维修保障</w:t>
      </w:r>
    </w:p>
    <w:p w14:paraId="62292F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技术培训、备件与资料管理</w:t>
      </w:r>
    </w:p>
    <w:p w14:paraId="5E0A61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 产品质量监督</w:t>
      </w:r>
    </w:p>
    <w:p w14:paraId="5B072A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7.1 研制阶段监督</w:t>
      </w:r>
    </w:p>
    <w:p w14:paraId="4EF03B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需求评审、设计评审、代码评审</w:t>
      </w:r>
    </w:p>
    <w:p w14:paraId="26C4BE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分阶段测试见证、测试覆盖率核查</w:t>
      </w:r>
    </w:p>
    <w:p w14:paraId="2B4ACF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第三方测评、问题整改与回归验证</w:t>
      </w:r>
    </w:p>
    <w:p w14:paraId="40C513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出厂（所）检查、鉴定 / 定型试验</w:t>
      </w:r>
    </w:p>
    <w:p w14:paraId="5D5E6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7.2 生产阶段监督</w:t>
      </w:r>
    </w:p>
    <w:p w14:paraId="6F4648A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版本与配置项一致性检查</w:t>
      </w:r>
    </w:p>
    <w:p w14:paraId="366B4A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代码哈希比对、载体检测</w:t>
      </w:r>
    </w:p>
    <w:p w14:paraId="4B1435E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病毒查杀、安全扫描</w:t>
      </w:r>
    </w:p>
    <w:p w14:paraId="1A1B01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齐套性、标识、包装、交付资料核查</w:t>
      </w:r>
    </w:p>
    <w:p w14:paraId="20CAA1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7.3 舰船环境适应性监督</w:t>
      </w:r>
    </w:p>
    <w:p w14:paraId="31BF4B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振动 / 冲击 / 高低温 / 湿热 / 电磁环境下软件运行稳定性</w:t>
      </w:r>
    </w:p>
    <w:p w14:paraId="65BD79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供电波动、断送电、网络丢包场景容错能力</w:t>
      </w:r>
    </w:p>
    <w:p w14:paraId="734F40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多系统交联、数据交互、时序一致性验证</w:t>
      </w:r>
    </w:p>
    <w:p w14:paraId="32F26C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 外部供方质量监督</w:t>
      </w:r>
    </w:p>
    <w:p w14:paraId="3828E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8.1 供方准入与评价</w:t>
      </w:r>
    </w:p>
    <w:p w14:paraId="58DC7CE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资质、软件能力、业绩、保密资格审查</w:t>
      </w:r>
    </w:p>
    <w:p w14:paraId="7D97228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关键软件供方须通过海军认可的能力评价</w:t>
      </w:r>
    </w:p>
    <w:p w14:paraId="18626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8.2 过程与交付监督</w:t>
      </w:r>
    </w:p>
    <w:p w14:paraId="001AF9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需求传递、技术协议、接口控制</w:t>
      </w:r>
    </w:p>
    <w:p w14:paraId="1253EF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开发过程、测试、配置管理监督</w:t>
      </w:r>
    </w:p>
    <w:p w14:paraId="1A449D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交付物检验、版本一致性、安全检查</w:t>
      </w:r>
    </w:p>
    <w:p w14:paraId="4C2AB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8.3 开源与商用软件管控</w:t>
      </w:r>
    </w:p>
    <w:p w14:paraId="47C9C8A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合规审查、漏洞扫描、版本锁定</w:t>
      </w:r>
    </w:p>
    <w:p w14:paraId="114492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禁止使用未经安全评估的开源组件</w:t>
      </w:r>
    </w:p>
    <w:p w14:paraId="5D071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 质量信息管理监督</w:t>
      </w:r>
    </w:p>
    <w:p w14:paraId="08133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9.1 信息范围</w:t>
      </w:r>
    </w:p>
    <w:p w14:paraId="26E1FA4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缺陷数据、问题归零、测试数据</w:t>
      </w:r>
    </w:p>
    <w:p w14:paraId="13F26E5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过程绩效、供方绩效、舰上使用反馈</w:t>
      </w:r>
    </w:p>
    <w:p w14:paraId="6F5E2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9.2 管理要求</w:t>
      </w:r>
    </w:p>
    <w:p w14:paraId="769166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统一采集、分类统计、趋势分析</w:t>
      </w:r>
    </w:p>
    <w:p w14:paraId="03BB823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闭环跟踪、可追溯、定期上报</w:t>
      </w:r>
    </w:p>
    <w:p w14:paraId="1DAECFB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纳入装备质量档案与组织过程资产</w:t>
      </w:r>
    </w:p>
    <w:p w14:paraId="0A2D6B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 保障要求</w:t>
      </w:r>
    </w:p>
    <w:p w14:paraId="34904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10.1 人员</w:t>
      </w:r>
    </w:p>
    <w:p w14:paraId="61C74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监督与承制人员应具备相应专业能力，关键岗位需经培训考核合格。</w:t>
      </w:r>
    </w:p>
    <w:p w14:paraId="0628B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10.2 环境与工具</w:t>
      </w:r>
    </w:p>
    <w:p w14:paraId="7B94576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开发、测试、仿真、三库环境受控</w:t>
      </w:r>
    </w:p>
    <w:p w14:paraId="6D06A02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测试工具、静态分析、配置管理工具经确认并备案</w:t>
      </w:r>
    </w:p>
    <w:p w14:paraId="4D2FCE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10.3 文档与配置</w:t>
      </w:r>
    </w:p>
    <w:p w14:paraId="370B204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文档完整、规范、与产品一致</w:t>
      </w:r>
    </w:p>
    <w:p w14:paraId="0495AA2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配置项清晰、基线明确、变更可追溯</w:t>
      </w:r>
    </w:p>
    <w:p w14:paraId="37BFE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A（资料性附录）舰载软件分级监督要点</w:t>
      </w:r>
    </w:p>
    <w:p w14:paraId="1DB501B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Ⅰ 级关键软件：全流程监督、必做第三方测评、100% 评审见证</w:t>
      </w:r>
    </w:p>
    <w:p w14:paraId="0869C48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Ⅱ 级重要软件：重点节点监督、抽样测试、关键评审参加</w:t>
      </w:r>
    </w:p>
    <w:p w14:paraId="078E765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Ⅲ 级一般软件：文档审查 + 出厂验收监督</w:t>
      </w:r>
    </w:p>
    <w:p w14:paraId="5249EB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B（资料性附录）舰上环境适应性测试项目</w:t>
      </w:r>
    </w:p>
    <w:p w14:paraId="3748FED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振动测试、冲击测试、高低温循环</w:t>
      </w:r>
    </w:p>
    <w:p w14:paraId="5C1305D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湿热、盐雾、电磁兼容</w:t>
      </w:r>
      <w:bookmarkStart w:id="0" w:name="_GoBack"/>
      <w:bookmarkEnd w:id="0"/>
    </w:p>
    <w:p w14:paraId="226BDD4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供电波动、断上电、网络异常容错</w:t>
      </w:r>
    </w:p>
    <w:p w14:paraId="0C8888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附录 C（资料性附录）监督活动最小集</w:t>
      </w:r>
    </w:p>
    <w:p w14:paraId="3860908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软件能力等级核查</w:t>
      </w:r>
    </w:p>
    <w:p w14:paraId="132382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需求与配置基线审查</w:t>
      </w:r>
    </w:p>
    <w:p w14:paraId="46D9922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关键评审参加</w:t>
      </w:r>
    </w:p>
    <w:p w14:paraId="1DD49D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第三方测评监督</w:t>
      </w:r>
    </w:p>
    <w:p w14:paraId="135F9D6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版本一致性与病毒检查</w:t>
      </w:r>
    </w:p>
    <w:p w14:paraId="2B3F601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问题归零验证</w:t>
      </w:r>
    </w:p>
    <w:p w14:paraId="76E421B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交付验收监督</w:t>
      </w:r>
    </w:p>
    <w:p w14:paraId="380F79D0"/>
    <w:p w14:paraId="50A517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360"/>
      </w:pPr>
      <w:r>
        <w:separator/>
      </w:r>
    </w:p>
  </w:footnote>
  <w:footnote w:type="continuationSeparator" w:id="1">
    <w:p>
      <w:pPr>
        <w:spacing w:line="360" w:lineRule="auto"/>
        <w:ind w:firstLine="3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A7469"/>
    <w:multiLevelType w:val="multilevel"/>
    <w:tmpl w:val="81EA7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3016A5"/>
    <w:multiLevelType w:val="multilevel"/>
    <w:tmpl w:val="8F301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774E89"/>
    <w:multiLevelType w:val="multilevel"/>
    <w:tmpl w:val="98774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F9B937"/>
    <w:multiLevelType w:val="multilevel"/>
    <w:tmpl w:val="B0F9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B0FAD7"/>
    <w:multiLevelType w:val="multilevel"/>
    <w:tmpl w:val="C3B0F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C682A1"/>
    <w:multiLevelType w:val="multilevel"/>
    <w:tmpl w:val="DCC68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4D0A8E"/>
    <w:multiLevelType w:val="multilevel"/>
    <w:tmpl w:val="E34D0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72909F"/>
    <w:multiLevelType w:val="multilevel"/>
    <w:tmpl w:val="FC729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C68822"/>
    <w:multiLevelType w:val="multilevel"/>
    <w:tmpl w:val="06C68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737C743"/>
    <w:multiLevelType w:val="multilevel"/>
    <w:tmpl w:val="0737C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2D40B7"/>
    <w:multiLevelType w:val="multilevel"/>
    <w:tmpl w:val="112D4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17ADE60"/>
    <w:multiLevelType w:val="multilevel"/>
    <w:tmpl w:val="317AD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EC6641"/>
    <w:multiLevelType w:val="multilevel"/>
    <w:tmpl w:val="49EC6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D9F6D2A"/>
    <w:multiLevelType w:val="multilevel"/>
    <w:tmpl w:val="4D9F6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FD2B5B"/>
    <w:multiLevelType w:val="multilevel"/>
    <w:tmpl w:val="51FD2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3C0B04"/>
    <w:multiLevelType w:val="multilevel"/>
    <w:tmpl w:val="533C0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B02882F"/>
    <w:multiLevelType w:val="multilevel"/>
    <w:tmpl w:val="5B028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B28710"/>
    <w:multiLevelType w:val="multilevel"/>
    <w:tmpl w:val="5BB28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8F965C4"/>
    <w:multiLevelType w:val="multilevel"/>
    <w:tmpl w:val="68F96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428DF82"/>
    <w:multiLevelType w:val="multilevel"/>
    <w:tmpl w:val="7428D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7"/>
  </w:num>
  <w:num w:numId="3">
    <w:abstractNumId w:val="9"/>
  </w:num>
  <w:num w:numId="4">
    <w:abstractNumId w:val="7"/>
  </w:num>
  <w:num w:numId="5">
    <w:abstractNumId w:val="10"/>
  </w:num>
  <w:num w:numId="6">
    <w:abstractNumId w:val="18"/>
  </w:num>
  <w:num w:numId="7">
    <w:abstractNumId w:val="6"/>
  </w:num>
  <w:num w:numId="8">
    <w:abstractNumId w:val="12"/>
  </w:num>
  <w:num w:numId="9">
    <w:abstractNumId w:val="4"/>
  </w:num>
  <w:num w:numId="10">
    <w:abstractNumId w:val="0"/>
  </w:num>
  <w:num w:numId="11">
    <w:abstractNumId w:val="19"/>
  </w:num>
  <w:num w:numId="12">
    <w:abstractNumId w:val="2"/>
  </w:num>
  <w:num w:numId="13">
    <w:abstractNumId w:val="8"/>
  </w:num>
  <w:num w:numId="14">
    <w:abstractNumId w:val="1"/>
  </w:num>
  <w:num w:numId="15">
    <w:abstractNumId w:val="11"/>
  </w:num>
  <w:num w:numId="16">
    <w:abstractNumId w:val="3"/>
  </w:num>
  <w:num w:numId="17">
    <w:abstractNumId w:val="5"/>
  </w:num>
  <w:num w:numId="18">
    <w:abstractNumId w:val="13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00A2A"/>
    <w:rsid w:val="0EB135EE"/>
    <w:rsid w:val="1AA27EDE"/>
    <w:rsid w:val="1B301417"/>
    <w:rsid w:val="1B75743F"/>
    <w:rsid w:val="1F5A6485"/>
    <w:rsid w:val="29216F7F"/>
    <w:rsid w:val="30D22D51"/>
    <w:rsid w:val="369E0EF6"/>
    <w:rsid w:val="36B204FD"/>
    <w:rsid w:val="37AF33BA"/>
    <w:rsid w:val="4A207039"/>
    <w:rsid w:val="4A7159F9"/>
    <w:rsid w:val="540C4EAA"/>
    <w:rsid w:val="54CE24A4"/>
    <w:rsid w:val="57E500C0"/>
    <w:rsid w:val="61E57855"/>
    <w:rsid w:val="627A0183"/>
    <w:rsid w:val="65592D0A"/>
    <w:rsid w:val="6C895281"/>
    <w:rsid w:val="6E2A146D"/>
    <w:rsid w:val="73EB0E16"/>
    <w:rsid w:val="745459AE"/>
    <w:rsid w:val="74BF5B0A"/>
    <w:rsid w:val="7B5B274E"/>
    <w:rsid w:val="7D057285"/>
    <w:rsid w:val="7F92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0" w:leftChars="0" w:firstLine="883" w:firstLineChars="200"/>
      <w:jc w:val="both"/>
    </w:pPr>
    <w:rPr>
      <w:rFonts w:ascii="Times New Roman" w:hAnsi="Times New Roman" w:eastAsia="华文中宋" w:cstheme="minorBidi"/>
      <w:kern w:val="2"/>
      <w:sz w:val="1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300" w:lineRule="exact"/>
      <w:jc w:val="left"/>
      <w:outlineLvl w:val="0"/>
    </w:pPr>
    <w:rPr>
      <w:rFonts w:hint="eastAsia" w:ascii="宋体" w:hAnsi="宋体" w:eastAsia="华文中宋" w:cs="宋体"/>
      <w:b/>
      <w:bCs/>
      <w:kern w:val="44"/>
      <w:sz w:val="24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0" w:after="0" w:afterAutospacing="0" w:line="300" w:lineRule="exact"/>
      <w:ind w:firstLine="0" w:firstLineChars="0"/>
      <w:jc w:val="left"/>
      <w:outlineLvl w:val="1"/>
    </w:pPr>
    <w:rPr>
      <w:rFonts w:hint="eastAsia" w:ascii="宋体" w:hAnsi="宋体" w:eastAsia="华文中宋" w:cs="宋体"/>
      <w:b/>
      <w:bCs/>
      <w:kern w:val="0"/>
      <w:sz w:val="21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240" w:lineRule="auto"/>
      <w:ind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  <w:rPr>
      <w:rFonts w:ascii="Times New Roman" w:hAnsi="Times New Roman" w:eastAsia="宋体"/>
      <w:sz w:val="24"/>
    </w:rPr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2025-12-05T08:49:00Z</dcterms:created>
  <dc:creator>xiaobai</dc:creator>
  <cp:lastModifiedBy>程佳豪</cp:lastModifiedBy>
  <dcterms:modified xsi:type="dcterms:W3CDTF">2026-05-19T10:12:32Z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D4DBF972045A4F18996EA9ED579CA96F_12</vt:lpwstr>
  </property>
  <property fmtid="{D5CDD505-2E9C-101B-9397-08002B2CF9AE}" pid="4" name="KSOTemplateDocerSaveRecord">
    <vt:lpwstr>eyJoZGlkIjoiMTEyY2IzYmQ4YTBjNmI2OTAyYzI4ZjkzZTQ3M2FhNzQiLCJ1c2VySWQiOiI3ODI0Njk5ODUifQ==</vt:lpwstr>
  </property>
</Properties>
</file>