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3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El desempleo en España ha sido influenciado por ciclos económicos, crisis estructurales y factores demográficos y sociales. Desde el pico del 27% durante la crisis financiera (2008) y la crisis de la deuda soberana (2013), la tasa de paro ha disminuido significativamente hasta alcanzar el 10.6-11.4% en 2024-2025. Este informe analiza las tendencias del paro desde 2014T1 hasta 2025T1, destacando cómo el sexo, la edad, el sector económico, el estado civil y el nivel de formación afectan la propensión al desempleo. Los gráficos generados refuerzan las conclusiones sobre los grupos más vulnerables y los sectores más afectados.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3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Factores Clave que Influyen en el Paro</w:t>
      </w:r>
    </w:p>
    <w:p w:rsidR="00000000" w:rsidDel="00000000" w:rsidP="00000000" w:rsidRDefault="00000000" w:rsidRPr="00000000" w14:paraId="00000005">
      <w:pPr>
        <w:spacing w:after="120" w:before="3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Situación Económica y Ciclo Económico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Contexto Histórico</w:t>
      </w:r>
      <w:r w:rsidDel="00000000" w:rsidR="00000000" w:rsidRPr="00000000">
        <w:rPr>
          <w:rtl w:val="0"/>
        </w:rPr>
        <w:t xml:space="preserve">: La crisis financiera de 2008 y la crisis de la deuda soberana de 2013 elevaron la tasa de paro en España hasta el 27%. Desde entonces, la recuperación económica ha reducido la tasa de paro a un rango de 10.6-11.4% en 2024-2025, como se observa en los datos.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Tendencia General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2014-2016</w:t>
      </w:r>
      <w:r w:rsidDel="00000000" w:rsidR="00000000" w:rsidRPr="00000000">
        <w:rPr>
          <w:rtl w:val="0"/>
        </w:rPr>
        <w:t xml:space="preserve">: Tasa de paro alta (18.6-21.0%), con un pico de 21.00% en 2016T1 reflejando la lenta recuperación post-crisis.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2017-2019</w:t>
      </w:r>
      <w:r w:rsidDel="00000000" w:rsidR="00000000" w:rsidRPr="00000000">
        <w:rPr>
          <w:rtl w:val="0"/>
        </w:rPr>
        <w:t xml:space="preserve">: Descenso progresivo hasta el 13.8-14.7%, impulsado por el crecimiento económico.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2020</w:t>
      </w:r>
      <w:r w:rsidDel="00000000" w:rsidR="00000000" w:rsidRPr="00000000">
        <w:rPr>
          <w:rtl w:val="0"/>
        </w:rPr>
        <w:t xml:space="preserve">: Incremento a 16.26% en 2020T3 debido al impacto de la pandemia de COVID-19, que afectó especialmente al sector servicios.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2021-2025</w:t>
      </w:r>
      <w:r w:rsidDel="00000000" w:rsidR="00000000" w:rsidRPr="00000000">
        <w:rPr>
          <w:rtl w:val="0"/>
        </w:rPr>
        <w:t xml:space="preserve">: Recuperación sostenida, con la tasa de paro estabilizada en torno al 10.6-11.4% (mínimo de 10.61% en 2024T4).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30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Observación</w:t>
      </w:r>
      <w:r w:rsidDel="00000000" w:rsidR="00000000" w:rsidRPr="00000000">
        <w:rPr>
          <w:rtl w:val="0"/>
        </w:rPr>
        <w:t xml:space="preserve">: La situación económica es el factor principal del desempleo, con mejoras significativas en la última década, aunque persisten desafíos estructurales.</w:t>
      </w:r>
    </w:p>
    <w:p w:rsidR="00000000" w:rsidDel="00000000" w:rsidP="00000000" w:rsidRDefault="00000000" w:rsidRPr="00000000" w14:paraId="0000000D">
      <w:pPr>
        <w:spacing w:after="120" w:before="3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Sexo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El diferencial de paro entre hombres y mujeres se ha reducido. Hace 20 años, la brecha era del 13%, pero según el informe explicativo, ahora es del 5%.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Datos del Archivo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Los datos de "Ambos sexos" no desglosan directamente por sexo, pero el informe señala que las mujeres, especialmente en el grupo de 55 años y más, representan alrededor del 60% de los parados en el sector servicios y entre los desempleados de larga duración (más de 1 año), frente al 40% de los hombres.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48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Para mujeres de 55 años y más , el paro es significativo en niveles educativos más altos (e.j., 67.6 miles en educación superior en 2025T1).</w:t>
      </w:r>
    </w:p>
    <w:p w:rsidR="00000000" w:rsidDel="00000000" w:rsidP="00000000" w:rsidRDefault="00000000" w:rsidRPr="00000000" w14:paraId="00000012">
      <w:pPr>
        <w:spacing w:after="120" w:before="3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Grupo de Edad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Tendencia General</w:t>
      </w:r>
      <w:r w:rsidDel="00000000" w:rsidR="00000000" w:rsidRPr="00000000">
        <w:rPr>
          <w:rtl w:val="0"/>
        </w:rPr>
        <w:t xml:space="preserve">: El grupo de 55 años y más ha aumentado su proporción en el paro, pasando del 7.86% al 19.41% según el informe explicativo.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Datos Específicos (Mujeres de 55 años y más)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Primera etapa de educación secundaria</w:t>
      </w:r>
      <w:r w:rsidDel="00000000" w:rsidR="00000000" w:rsidRPr="00000000">
        <w:rPr>
          <w:rtl w:val="0"/>
        </w:rPr>
        <w:t xml:space="preserve">: Promedio de 106.8 miles de paradas, con un pico de 132.3 miles en 2021T3 (fila 7396) y 116.5 miles en 2025T1 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Educación superior</w:t>
      </w:r>
      <w:r w:rsidDel="00000000" w:rsidR="00000000" w:rsidRPr="00000000">
        <w:rPr>
          <w:rtl w:val="0"/>
        </w:rPr>
        <w:t xml:space="preserve">: Promedio de 45.5 miles, con un máximo de 68.8 miles en 2021T3 y 67.6 miles en 2025T1).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Observación</w:t>
      </w:r>
      <w:r w:rsidDel="00000000" w:rsidR="00000000" w:rsidRPr="00000000">
        <w:rPr>
          <w:rtl w:val="0"/>
        </w:rPr>
        <w:t xml:space="preserve">: El aumento en el paro de este grupo, especialmente en sectores como agricultura y construcción (actividades físicas), se debe a la mayor facilidad de despido y la preferencia por contratar jóvenes con menores costes laborales. Los mayores de 45 años representan el 43.22% de los parados.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0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Tendencia</w:t>
      </w:r>
      <w:r w:rsidDel="00000000" w:rsidR="00000000" w:rsidRPr="00000000">
        <w:rPr>
          <w:rtl w:val="0"/>
        </w:rPr>
        <w:t xml:space="preserve">: El paro en el grupo de 55 años y más ha crecido significativamente, especialmente entre los desempleados de larga duración (25% del total en este grupo).</w:t>
      </w:r>
    </w:p>
    <w:p w:rsidR="00000000" w:rsidDel="00000000" w:rsidP="00000000" w:rsidRDefault="00000000" w:rsidRPr="00000000" w14:paraId="00000019">
      <w:pPr>
        <w:spacing w:after="120" w:before="3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2.4. Sector Económico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Distribución (Ambos sexos, Total)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: Promedio de 1,226.6 miles de parados, representando el 35-40% del total. Máximo: 1,561.7 miles en 2020T3 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Parados de larga duración/primer empleo</w:t>
      </w:r>
      <w:r w:rsidDel="00000000" w:rsidR="00000000" w:rsidRPr="00000000">
        <w:rPr>
          <w:rtl w:val="0"/>
        </w:rPr>
        <w:t xml:space="preserve">: Promedio de 1,773.6 miles, hasta el 50% en algunos trimestres (e.j., 2,693.9 miles en 2016T1.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Industria</w:t>
      </w:r>
      <w:r w:rsidDel="00000000" w:rsidR="00000000" w:rsidRPr="00000000">
        <w:rPr>
          <w:rtl w:val="0"/>
        </w:rPr>
        <w:t xml:space="preserve">: Promedio de 162.8 miles. Mínimo: 119.7 miles en 2023T4 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Construcción</w:t>
      </w:r>
      <w:r w:rsidDel="00000000" w:rsidR="00000000" w:rsidRPr="00000000">
        <w:rPr>
          <w:rtl w:val="0"/>
        </w:rPr>
        <w:t xml:space="preserve">: Promedio de 138.4 miles. Mínimo: 88 miles en 2023T3 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Agricultura</w:t>
      </w:r>
      <w:r w:rsidDel="00000000" w:rsidR="00000000" w:rsidRPr="00000000">
        <w:rPr>
          <w:rtl w:val="0"/>
        </w:rPr>
        <w:t xml:space="preserve">: Promedio de 178.9 miles. Mínimo: 121.4 miles en 2024T2 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Observaciones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parados de larga duración/primer empleo</w:t>
      </w:r>
      <w:r w:rsidDel="00000000" w:rsidR="00000000" w:rsidRPr="00000000">
        <w:rPr>
          <w:rtl w:val="0"/>
        </w:rPr>
        <w:t xml:space="preserve"> concentran el 86% de los parados, reflejando el peso del sector servicios en la economía.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Construcción</w:t>
      </w:r>
      <w:r w:rsidDel="00000000" w:rsidR="00000000" w:rsidRPr="00000000">
        <w:rPr>
          <w:rtl w:val="0"/>
        </w:rPr>
        <w:t xml:space="preserve"> ha reducido su contribución al paro desde el 18% en 2009 a niveles mínimos (e.j., 88 miles en 2023T3), debido a la reestructuración post-crisis inmobiliaria.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48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Industria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Agricultura</w:t>
      </w:r>
      <w:r w:rsidDel="00000000" w:rsidR="00000000" w:rsidRPr="00000000">
        <w:rPr>
          <w:rtl w:val="0"/>
        </w:rPr>
        <w:t xml:space="preserve"> muestran una disminución relativa, beneficiados por la recuperación económica.</w:t>
      </w:r>
    </w:p>
    <w:p w:rsidR="00000000" w:rsidDel="00000000" w:rsidP="00000000" w:rsidRDefault="00000000" w:rsidRPr="00000000" w14:paraId="00000024">
      <w:pPr>
        <w:spacing w:after="120" w:before="3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2.5. Estado Civil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Tendencia</w:t>
      </w:r>
      <w:r w:rsidDel="00000000" w:rsidR="00000000" w:rsidRPr="00000000">
        <w:rPr>
          <w:rtl w:val="0"/>
        </w:rPr>
        <w:t xml:space="preserve">: Los solteros y casados representan la mayoría de los parados. En los últimos años, el porcentaje de parados casados ha disminuido, mientras que el de solteros ha aumentado, influido por la tendencia a casarse menos.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30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Observación</w:t>
      </w:r>
      <w:r w:rsidDel="00000000" w:rsidR="00000000" w:rsidRPr="00000000">
        <w:rPr>
          <w:rtl w:val="0"/>
        </w:rPr>
        <w:t xml:space="preserve">: Estar casado se asocia con una mejor situación laboral, posiblemente por estabilidad económica o social.</w:t>
      </w:r>
    </w:p>
    <w:p w:rsidR="00000000" w:rsidDel="00000000" w:rsidP="00000000" w:rsidRDefault="00000000" w:rsidRPr="00000000" w14:paraId="00000027">
      <w:pPr>
        <w:spacing w:after="120" w:before="3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2.6. Nivel de Formación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Distribución (Ambos sexos, Total)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Educación secundaria total</w:t>
      </w:r>
      <w:r w:rsidDel="00000000" w:rsidR="00000000" w:rsidRPr="00000000">
        <w:rPr>
          <w:rtl w:val="0"/>
        </w:rPr>
        <w:t xml:space="preserve">: Promedio de 2,146.3 miles (75% de los parados). Máximo: 3,033.4 miles en 2016T1 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Educación superior</w:t>
      </w:r>
      <w:r w:rsidDel="00000000" w:rsidR="00000000" w:rsidRPr="00000000">
        <w:rPr>
          <w:rtl w:val="0"/>
        </w:rPr>
        <w:t xml:space="preserve">: Promedio de 889.5 miles (25% de los parados). Mínimo: 723.9 miles en 2022T2 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Educación primaria total</w:t>
      </w:r>
      <w:r w:rsidDel="00000000" w:rsidR="00000000" w:rsidRPr="00000000">
        <w:rPr>
          <w:rtl w:val="0"/>
        </w:rPr>
        <w:t xml:space="preserve">: Promedio de 361.3 miles. Mínimo: 252.8 miles en 2025T1 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Analfabetos</w:t>
      </w:r>
      <w:r w:rsidDel="00000000" w:rsidR="00000000" w:rsidRPr="00000000">
        <w:rPr>
          <w:rtl w:val="0"/>
        </w:rPr>
        <w:t xml:space="preserve">: Promedio de 28.7 miles. Mínimo: 20 miles en 2024T2.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Mujeres de 55 años y más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Las mujeres con educación secundaria (primera etapa) son el grupo más numeroso (promedio: 106.8 miles), pero el paro en educación superior es relevante (60% de las paradas frente al 40% de los hombres en este grupo).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48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Tendencia: Aumento del paro en mujeres mayores con educación secundaria y superior, especialmente durante la pandemia (2020-2021).</w:t>
      </w:r>
    </w:p>
    <w:p w:rsidR="00000000" w:rsidDel="00000000" w:rsidP="00000000" w:rsidRDefault="00000000" w:rsidRPr="00000000" w14:paraId="00000030">
      <w:pPr>
        <w:spacing w:after="120" w:before="3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2.7. Grupos de Mayor Riesgo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Perfil de Alto Riesgo</w:t>
      </w:r>
      <w:r w:rsidDel="00000000" w:rsidR="00000000" w:rsidRPr="00000000">
        <w:rPr>
          <w:rtl w:val="0"/>
        </w:rPr>
        <w:t xml:space="preserve">: Personas con educación secundaria, solteras, en el sector servicios o desempleadas de larga duración/primer empleo, mayores de 45 años (especialmente 55 y más), y mujeres (aunque el diferencial por sexo ha disminuido).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30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Mujeres de 55 años y más</w:t>
      </w:r>
      <w:r w:rsidDel="00000000" w:rsidR="00000000" w:rsidRPr="00000000">
        <w:rPr>
          <w:rtl w:val="0"/>
        </w:rPr>
        <w:t xml:space="preserve">: Representan el 60% del paro en servicios y desempleo de larga duración, frente al 40% de los hombres, destacando su vulnerabilidad.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3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Conclusiones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Tendencia General</w:t>
      </w:r>
      <w:r w:rsidDel="00000000" w:rsidR="00000000" w:rsidRPr="00000000">
        <w:rPr>
          <w:rtl w:val="0"/>
        </w:rPr>
        <w:t xml:space="preserve">: La tasa de paro ha disminuido desde el 21% en 2016T1 al 11.36% en 2025T1, con un repunte en 2020 por la pandemia. La recuperación económica ha sido clave.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: La brecha de paro entre hombres y mujeres se ha reducido al 5%, pero las mujeres de 55 años y más representan el 60% del paro en servicios y desempleo de larga duración.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: El grupo de 55 años y más ha aumentado su proporción en el paro (de 7.86% a 19.41%), especialmente en agricultura, construcción y desempleo de larga duración.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Sector Económico</w:t>
      </w:r>
      <w:r w:rsidDel="00000000" w:rsidR="00000000" w:rsidRPr="00000000">
        <w:rPr>
          <w:rtl w:val="0"/>
        </w:rPr>
        <w:t xml:space="preserve">: Servicios (35-40%) y parados de larga duración/primer empleo (hasta 50%) dominan el desempleo. Construcción ha reducido su peso significativamente.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 Civil</w:t>
      </w:r>
      <w:r w:rsidDel="00000000" w:rsidR="00000000" w:rsidRPr="00000000">
        <w:rPr>
          <w:rtl w:val="0"/>
        </w:rPr>
        <w:t xml:space="preserve">: Los solteros han incrementado su proporción en el paro, mientras que los casados han mejorado su situación.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Nivel de Formación</w:t>
      </w:r>
      <w:r w:rsidDel="00000000" w:rsidR="00000000" w:rsidRPr="00000000">
        <w:rPr>
          <w:rtl w:val="0"/>
        </w:rPr>
        <w:t xml:space="preserve">: Los parados con educación secundaria representan el 75%, mientras que los de educación superior son el 25%. En mujeres de 55 años y más, el paro en educación superior es notable (60% frente al 40% de hombres).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30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Grupos de Riesgo</w:t>
      </w:r>
      <w:r w:rsidDel="00000000" w:rsidR="00000000" w:rsidRPr="00000000">
        <w:rPr>
          <w:rtl w:val="0"/>
        </w:rPr>
        <w:t xml:space="preserve">: Los más vulnerables son solteros, con educación secundaria, mayores de 45 años, en el sector servicios o desempleados de larga duración, especialmente mujeres.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3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Recomendaciones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Políticas Laborales</w:t>
      </w:r>
      <w:r w:rsidDel="00000000" w:rsidR="00000000" w:rsidRPr="00000000">
        <w:rPr>
          <w:rtl w:val="0"/>
        </w:rPr>
        <w:t xml:space="preserve">: Diseñar programas de reinserción laboral para mayores de 55 años, especialmente mujeres, en sectores como servicios y para desempleados de larga duración.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Formación</w:t>
      </w:r>
      <w:r w:rsidDel="00000000" w:rsidR="00000000" w:rsidRPr="00000000">
        <w:rPr>
          <w:rtl w:val="0"/>
        </w:rPr>
        <w:t xml:space="preserve">: Fomentar la formación profesional para personas con educación secundaria, dado su alto riesgo de desempleo.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Análisis Adicional</w:t>
      </w:r>
      <w:r w:rsidDel="00000000" w:rsidR="00000000" w:rsidRPr="00000000">
        <w:rPr>
          <w:rtl w:val="0"/>
        </w:rPr>
        <w:t xml:space="preserve">: Realizar un desglose por sexo y edad para cuantificar mejor las disparidades. Incluir datos macroeconómicos (e.j., PIB) para correlacionar con el paro.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30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Monitoreo Continuo</w:t>
      </w:r>
      <w:r w:rsidDel="00000000" w:rsidR="00000000" w:rsidRPr="00000000">
        <w:rPr>
          <w:rtl w:val="0"/>
        </w:rPr>
        <w:t xml:space="preserve">: Actualizar el análisis con datos futuros para evaluar la sostenibilidad de la recuperación.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