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ЗАЯВЛЕНИЕ НА АПЕЛЛЯЦИЮ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Аттестуемый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Пархимович Анна Михайловна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Экзамен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1С:Специалист по платформе «1С:Предприятие 8.3»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Дата и место экзамена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________________________________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Форма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очная / дистанционная (нужное оставить)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Состав билета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оперативный учет — задача 6; бухгалтерский учет — задача 3; сложные периодические расчеты — задача 12; управляемые формы — задача 3</w:t>
            </w:r>
          </w:p>
        </w:tc>
      </w:tr>
      <w:tr>
        <w:tc>
          <w:tcPr>
            <w:tcW w:type="dxa" w:w="512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Выставленная оценка</w:t>
            </w:r>
          </w:p>
        </w:tc>
        <w:tc>
          <w:tcPr>
            <w:tcW w:type="dxa" w:w="5128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неудовлетворительно (2)</w:t>
            </w:r>
          </w:p>
        </w:tc>
      </w:tr>
    </w:tbl>
    <w:p>
      <w:pPr>
        <w:spacing w:after="120" w:before="0" w:line="276" w:lineRule="auto"/>
        <w:jc w:val="both"/>
      </w:pP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Прошу пересмотреть выставленную оценку. Ниже приведены аргументы экзаменатора и техническое обоснование, почему с ними нельзя согласиться. Прошу пересчитать результат с учетом снятия указанных замечаний.</w:t>
      </w:r>
    </w:p>
    <w:p>
      <w:pPr>
        <w:spacing w:after="160" w:before="20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Не согласна со следующими аргументами экзаменатора.</w:t>
      </w:r>
    </w:p>
    <w:p>
      <w:pPr>
        <w:spacing w:after="120" w:before="16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 Оперативный учет (задача 6)</w:t>
      </w:r>
    </w:p>
    <w:p>
      <w:pPr>
        <w:spacing w:after="120" w:before="8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Аргумент экзаменатора.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«Форма приведенного в решении отчета не соответствует заданию: считаются итоги по складу, названия полей в шапке не отцентрированы».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Обоснование. Отчет построен по данным регистра накопления и содержит предусмотренные заданием разрезы и показатели, в том числе склад. Склад в задаче является разрезом учета и группировкой отчета. Итог по этой группировке — сумма уже выведенных строк того же склада, отдельного показателя, которого нет в задании, он не добавляет и числовые данные не искажает.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Выравнивание заголовков колонок в тексте задания не задано. Макет в билете определяет состав колонок, группировки и показатели, а не пиксельное оформление шапки. Оба отличия относятся к одному замечанию о форме отчета и не означают, что отчет не реализован: номенклатура, склад и количества выводятся.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Прошу снять замечание либо, если будет признано расхождение только в оформлении, учесть его один раз по нижней границе критерия «форма приведенного в задании отчета не соответствует заданию» (0,5), а не как невыполнение отчета и не как несколько самостоятельных ошибок.</w:t>
      </w:r>
    </w:p>
    <w:p>
      <w:pPr>
        <w:spacing w:after="120" w:before="20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 Бухгалтерский учет (задача 3)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 задаче требуется учет взаиморасчетов на счете «Покупатели» в разрезе контрагентов и договоров, одновременно в валюте договора и в рублях, а также регламентный документ корректировки рублевой задолженности по изменившемуся курсу. Один экземпляр корректировки обрабатывает все существующие задолженности. Валюта у каждого договора своя.</w:t>
      </w:r>
    </w:p>
    <w:p>
      <w:pPr>
        <w:spacing w:after="120" w:before="16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2.1. Лишняя итоговая запись по контрагенту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Аргумент экзаменатора.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«В отчете выводится лишняя итоговая запись по контрагенту».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Обоснование. Контрагент — обязательный разрез счета «Покупатели» и верхняя группировка отчета по взаиморасчетам. Строка контрагента является итогом его договоров, а не второй независимой задолженностью: сумма строки равна сумме строк договоров этого контрагента. Двойного отражения остатка в регистре бухгалтерии нет, проводки и остатки по субконто не дублируются. Отдельная подпись «Итого», если она выведена компоновкой для той же группировки, повторяет ту же сумму и не меняет состав показателей.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Прошу не квалифицировать группировочный итог по контрагенту как лишнюю учетную запись. Если будет признано только расхождение подписи итога с макетом, учесть это внутри замечания о форме отчета (0,5), один раз.</w:t>
      </w:r>
    </w:p>
    <w:p>
      <w:pPr>
        <w:spacing w:after="120" w:before="16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2.2. Проведение документа «Операция»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Аргумент экзаменатора.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«Разрешено проведение документа „Операция“».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Обоснование. Текст задачи 3 требует создать документ «Операция», которым пользователь вводит проводки с произвольной корреспонденцией счетов, и при расчетах учитывать уже сформированные таким документом проводки. Запрет проведения в тексте задачи не установлен.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 решении проводки документа «Операция» записываются в регистр бухгалтерии и читаются оттуда остальными документами и корректировкой (виртуальная таблица остатков, а не табличная часть документа). Обработка проведения не подменяет введенную пользователем корреспонденцию другим алгоритмом и не отбрасывает ручные проводки. Незакрытый валютный остаток при закрытом рублевом, как требует задача, закрывается этим документом, и эти записи участвуют в остатках.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Отдельного пункта критериев с формулировкой «разрешено проведение документа „Операция“» нет. Замечание применимо, если из-за проведения ручные записи не попадают в регистр или затираются. В решении этого нет. Прошу снять замечание.</w:t>
      </w:r>
    </w:p>
    <w:p>
      <w:pPr>
        <w:spacing w:after="120" w:before="16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2.3. Соединение таблиц вместо параметров виртуальной таблицы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Аргумент экзаменатора.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«Использование соединения таблиц вместо того, чтобы задать параметры ВТ. В обработке».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Запрос, к которому относится замечание (получение отклонения рублевой задолженности от валютного остатка, пересчитанного по курсу):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>ВЫБРАТЬ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 xml:space="preserve">    УправленческийОстатки.Субконто1 КАК Контрагент,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 xml:space="preserve">    УправленческийОстатки.Субконто2 КАК Договор,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 xml:space="preserve">    ЕСТЬNULL(КурсыВалютСрезПоследних.Курс, 1) КАК Курс,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 xml:space="preserve">    УправленческийОстатки.СуммаВалютнаяОстаток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 xml:space="preserve">        * ЕСТЬNULL(КурсыВалютСрезПоследних.Курс, 1)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 xml:space="preserve">        - УправленческийОстатки.СуммаОстаток КАК Отклонение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>ИЗ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 xml:space="preserve">    РегистрБухгалтерии.Управленческий.Остатки(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 xml:space="preserve">        &amp;ДатаАктуализации,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 xml:space="preserve">        Счет = &amp;СчетПокупатели,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 xml:space="preserve">        &amp;Субконто,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 xml:space="preserve">        ) КАК УправленческийОстатки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 xml:space="preserve">        ЛЕВОЕ СОЕДИНЕНИЕ РегистрСведений.КурсыВалют.СрезПоследних(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 xml:space="preserve">            &amp;ДатаАктуализации,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 xml:space="preserve">            ) КАК КурсыВалютСрезПоследних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 xml:space="preserve">        ПО УправленческийОстатки.Субконто2.Валюта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 xml:space="preserve">            = КурсыВалютСрезПоследних.Валюта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>ГДЕ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 xml:space="preserve">    УправленческийОстатки.СуммаВалютнаяОстаток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 xml:space="preserve">        * ЕСТЬNULL(КурсыВалютСрезПоследних.Курс, 1)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 xml:space="preserve">        - УправленческийОстатки.СуммаОстаток &gt;= 0.01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 xml:space="preserve">    ИЛИ УправленческийОстатки.СуммаВалютнаяОстаток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 xml:space="preserve">        * ЕСТЬNULL(КурсыВалютСрезПоследних.Курс, 1)</w:t>
      </w:r>
    </w:p>
    <w:p>
      <w:pPr>
        <w:spacing w:after="40" w:before="0" w:line="240" w:lineRule="auto"/>
        <w:ind w:left="283"/>
      </w:pPr>
      <w:r>
        <w:rPr>
          <w:rFonts w:ascii="Consolas" w:hAnsi="Consolas" w:eastAsia="Consolas"/>
          <w:color w:val="000000"/>
          <w:sz w:val="18"/>
        </w:rPr>
        <w:t xml:space="preserve">        - УправленческийОстатки.СуммаОстаток &lt;= -0.01</w:t>
      </w:r>
    </w:p>
    <w:p>
      <w:pPr>
        <w:spacing w:after="120" w:before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Параметры виртуальной таблицы остатков регистра бухгалтерии заданы все, которые следуют из задачи: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период — &amp;ДатаАктуализации;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условие по счету — Счет = &amp;СчетПокупатели;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виды субконто — &amp;Субконто (контрагент и договор).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Четвертый параметр пуст сознательно: корректировка по задаче одна на все задолженности, отбор по конкретному контрагенту или договору противоречил бы условию.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Виртуальная таблица КурсыВалют.СрезПоследних вызвана с параметром периода &amp;ДатаАктуализации. Второго параметра (отбор по валюте) нет, потому что его нельзя задать корректно.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Валюта в этой задаче — реквизит договора, у каждого договора она своя. Курс нужен для каждой строки остатка. Параметр виртуальной таблицы вычисляется до соединения и не может ссылаться на поле другой таблицы того же запроса: конструкция СрезПоследних(&amp;Дата, Валюта = УправленческийОстатки.Субконто2.Валюта) в языке запросов недопустима. Один параметр &amp;Валюта задал бы срез только одной валюты и отбросил бы задолженности по остальным договорам.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Срез последних без отбора по валюте возвращает одну актуальную запись на каждое значение измерения «Валюта», то есть минимально необходимый набор курсов на дату корректировки. Соединение выполняется уже с этим срезом, по измерению «Валюта». Оно не заменяет параметр, который в данный запрос можно было бы подставить: такого параметра нет. Левое соединение нужно, чтобы отсутствие курса не выкидывало строку задолженности; отсутствующий курс заменяется на 1.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Прошу снять замечание: параметры виртуальной таблицы регистра бухгалтерии заданы, а соединение со срезом курсов не подменяет эти параметры.</w:t>
      </w:r>
    </w:p>
    <w:p>
      <w:pPr>
        <w:spacing w:after="120" w:before="16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2.4. Отбор по неиндексированным полям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Аргумент экзаменатора.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«При получении данных из информационной базы установлены отборы по неиндексированным полям. В обработке».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Обоснование. В приведенном запросе нет отбора по неиндексированному полю.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Секция ГДЕ сравнивает вычисляемое отклонение с порогом 0,01: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СуммаВалютнаяОстаток × Курс − СуммаОстаток.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Это арифметическое выражение над ресурсами виртуальной таблицы и курсом. Такого поля в таблицах базы нет, по нему нельзя и не требуется строить индекс. Условие отсекает нулевые отклонения после расчета, а не ограничивает чтение таблицы.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Условие соединения — равенство валюты договора и измерения «Валюта» среза курсов. Измерение регистра сведений входит в основной индекс таблицы регистра (период и измерения) независимо от флажка дополнительного индекса. У измерения «Валюта» регистра сведений «Курсы валют» в свойствах указано «Не индексировать»: это отказ только от дополнительного индекса, а не исключение измерения из основного индекса. Срез последних платформа строит по основному индексу. Дополнительный индекс по одной валюте для среза на дату не нужен: срез и так содержит по одной записи на валюту.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Левая часть соединения, Субконто2.Валюта, — чтение реквизита справочника по ссылке договора. Ссылка является первичным ключом справочника, чтение реквизита по ссылке индексное. Отбора вида «валюта договора равна заданному значению» по таблице справочника в запросе нет, поэтому отсутствие отдельного индекса у реквизита справочника на этот запрос не влияет.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Отбор остатков по счету задан параметром виртуальной таблицы. Счет — индексное поле регистра бухгалтерии.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Прошу снять замечание.</w:t>
      </w:r>
    </w:p>
    <w:p>
      <w:pPr>
        <w:spacing w:after="120" w:before="20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Сложные периодические расчеты (задача 12)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Аргумент экзаменатора.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«В регистр не попадает расчет количества отработанных часов — соответственно данных нет и в отчете».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Обоснование. Расчет часов задача 12 не задает. Фактическое время вводится документом «Табель»: документ заполняется еженедельно, и за каждый день недели по сотруднику ставится флажок. Форма табеля не содержит ввода часов. Оклад считается пропорционально отработанному времени в днях: дневная ставка равна окладу на начало расчетного периода, деленному на количество рабочих дней того же периода. Число фактически отработанных дней — это число дней, отмеченных в табеле.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Слово «часов» в первой фразе постановки не меняет способ ввода и формулу. Следующие предложения постановки прямо фиксируют флажок дня и дневную ставку. Отдельный ресурс «количество часов» в регистр расчета задача записать не требует. Записывать его было бы расхождением с формулой.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 регистр расчета при выполнении расчета документа «Начисление зарплаты» записывается результат начисления. Для оклада результат считается от числа дней по табелю и нормы дней по графику. График связан с регистром расчета, норма времени берется средствами регистра расчета, а не обходом таблицы регистра сведений. Премия считается процентом от окладов подразделения за текущий месяц, процент задается в документе. Перерасчеты задача использовать запрещает, и они не используются.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Отчет заполняется по записям регистра расчета после расчета документа. Пока не выполнена команда расчета, ресурс результата пуст: проведение только регистрирует период начисления, сумма появляется расчетом. Прошу проверить регистр и отчет после выполнения расчета «Начисления зарплаты» при уже проведенном табеле, а не по нерассчитанным записям и не по отсутствующему показателю «часы».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Прошу снять замечание и засчитать раздел выполненным. Незачета раздела из-за отсутствия в регистре не предусмотренного задачей показателя часов прошу не применять.</w:t>
      </w:r>
    </w:p>
    <w:p>
      <w:pPr>
        <w:spacing w:after="120" w:before="20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 Управляемые формы (задача 3)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Аргумент экзаменатора.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Дополнительное требование выполнено, перетаскивание работает. Основное условие не выполнено: вместо выбора элемента открывается его окно редактирования. Приведен текст задания: в форме подбора, открываемой из «Расходной накладной», нужно выбрать произвольное количество номенклатурных позиций; дополнительно поддерживается перетаскивание выбранного товара из списка товаров в таблицу «Отобранные товары».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Обоснование. Требуемый результат основного условия — произвольное количество позиций попадает в таблицу «Отобранные товары» с номенклатурой и количеством, а после завершения подбора те же строки появляются в табличной части «Расходной накладной».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Именно этот результат дает перетаскивание из списка товаров в «Отобранные товары». Экзаменатор подтвердил, что перетаскивание работает. Повторный перенос увеличивает количество либо добавляет следующую позицию, поэтому количество позиций не ограничено одной. Это и есть выбор произвольного количества в таблицу, названную в задании. Задание само указывает перетаскивание как способ поместить выбранный товар в «Отобранные товары» и не назначает двойной щелчок единственным способом выбора.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Окно элемента справочника открывает стандартная команда изменения элемента. Эта команда не заменяет подбор и не очищает таблицу «Отобранные товары». К основному условию она не относится: после подтверждения подбора в документ переносятся строки таблицы «Отобранные товары», а не открытая форма элемента.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Прошу повторить проверку так: открыть подбор из «Расходной накладной», перенести мышью несколько разных позиций и повторно одну и ту же, убедиться, что они находятся в «Отобранных товарах» с количеством, подтвердить подбор и проверить табличную часть документа. Прошу не считать раздел невыполненным и снять замечание о невыполнении основного условия.</w:t>
      </w:r>
    </w:p>
    <w:p>
      <w:pPr>
        <w:spacing w:after="120" w:before="24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Просьба по итогам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Прошу снять замечания: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по периодическим расчетам — полностью и не ставить незачет раздела;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по бухгалтерскому учету — по проведению документа «Операция», по соединению вместо параметров виртуальной таблицы и по отбору на неиндексированных полях;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по управляемым формам — о невыполнении основного условия подбора;</w:t>
      </w:r>
    </w:p>
    <w:p>
      <w:pPr>
        <w:spacing w:after="6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по форме отчетов оперативного и бухгалтерского учета — как по ошибкам данных. Если будет признано только оформление, учесть каждое не выше 0,5 и один раз.</w:t>
      </w:r>
    </w:p>
    <w:p>
      <w:pPr>
        <w:spacing w:after="120" w:before="12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После снятия этих замечаний прошу пересчитать сумму штрафных баллов и выставленную оценку. С учетом выполненных разделов оперативного учета, бухгалтерского учета и периодических расчетов прошу признать экзамен сданным.</w:t>
      </w:r>
    </w:p>
    <w:p>
      <w:pPr>
        <w:spacing w:after="120" w:before="8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Повторно прошу смотреть решение по приведенным объектам: отчет оперативного учета — группировка по складу без изменения цифр; запрос корректировки задолженности — текст выше; регистр расчета — после команды расчета; форма подбора — переносом в таблицу «Отобранные товары».</w:t>
      </w:r>
    </w:p>
    <w:p>
      <w:pPr>
        <w:spacing w:after="120" w:before="32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Дата ______________    Подпись ______________    / Пархимович А. М. /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