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F2043"/>
          <w:sz w:val="48"/>
        </w:rPr>
        <w:t>Scape Bin-Picking Evaluator Security &amp; AI Cybersecurity Policy</w:t>
      </w:r>
    </w:p>
    <w:p>
      <w:pPr>
        <w:spacing w:after="480"/>
        <w:jc w:val="center"/>
      </w:pPr>
      <w:r>
        <w:rPr>
          <w:i/>
          <w:color w:val="46505F"/>
          <w:sz w:val="28"/>
        </w:rPr>
        <w:t>Comprehensive Information Security, AI Threat Governance, and Operational Procedures</w:t>
        <w:br/>
        <w:t>System Classification: High-Security Industrial System | Version 2.0 | Date: September 2026</w:t>
      </w:r>
    </w:p>
    <w:p>
      <w:pPr>
        <w:spacing w:before="360" w:after="120"/>
      </w:pPr>
      <w:r>
        <w:rPr>
          <w:b/>
          <w:color w:val="0F2043"/>
          <w:sz w:val="36"/>
        </w:rPr>
        <w:t>1. Document Overview and System Scope</w:t>
      </w:r>
    </w:p>
    <w:p>
      <w:pPr>
        <w:spacing w:after="120" w:line="276" w:lineRule="auto"/>
      </w:pPr>
      <w:r>
        <w:rPr>
          <w:sz w:val="22"/>
        </w:rPr>
        <w:t>This policy defines the mandatory information security controls, operational procedures, and AI cybersecurity governance for the Scape Bin-Picking Evaluator platform. The system is classified as a High-Security Industrial System due to its handling of proprietary customer engineering data, CAD part geometries, industrial bin specifications, and automated AI feasibility analytics.</w:t>
      </w:r>
    </w:p>
    <w:p>
      <w:pPr>
        <w:spacing w:after="120" w:line="276" w:lineRule="auto"/>
      </w:pPr>
      <w:r>
        <w:rPr>
          <w:b/>
          <w:sz w:val="22"/>
        </w:rPr>
        <w:t xml:space="preserve">System Architecture Scope: </w:t>
      </w:r>
      <w:r>
        <w:rPr>
          <w:sz w:val="22"/>
        </w:rPr>
        <w:t>The platform architecture encompasses:</w:t>
      </w:r>
    </w:p>
    <w:p>
      <w:pPr>
        <w:pStyle w:val="ListBullet"/>
        <w:spacing w:after="80" w:line="276" w:lineRule="auto"/>
      </w:pPr>
      <w:r>
        <w:rPr>
          <w:b/>
          <w:sz w:val="22"/>
        </w:rPr>
        <w:t xml:space="preserve">Frontend Layer: </w:t>
      </w:r>
      <w:r>
        <w:rPr>
          <w:sz w:val="22"/>
        </w:rPr>
        <w:t>Single-Page Application built with React 19, TypeScript, Vite, and Framer Motion, hosted on Firebase Cloud Hosting.</w:t>
      </w:r>
    </w:p>
    <w:p>
      <w:pPr>
        <w:pStyle w:val="ListBullet"/>
        <w:spacing w:after="80" w:line="276" w:lineRule="auto"/>
      </w:pPr>
      <w:r>
        <w:rPr>
          <w:b/>
          <w:sz w:val="22"/>
        </w:rPr>
        <w:t xml:space="preserve">Backend Layer: </w:t>
      </w:r>
      <w:r>
        <w:rPr>
          <w:sz w:val="22"/>
        </w:rPr>
        <w:t>Node.js Express proxy server deployed on Google Cloud Run, serving as an isolated execution environment for database and AI operations.</w:t>
      </w:r>
    </w:p>
    <w:p>
      <w:pPr>
        <w:pStyle w:val="ListBullet"/>
        <w:spacing w:after="80" w:line="276" w:lineRule="auto"/>
      </w:pPr>
      <w:r>
        <w:rPr>
          <w:b/>
          <w:sz w:val="22"/>
        </w:rPr>
        <w:t xml:space="preserve">AI Analytics Engine: </w:t>
      </w:r>
      <w:r>
        <w:rPr>
          <w:sz w:val="22"/>
        </w:rPr>
        <w:t>Google Gemini 2.5 Pro and Gemini 2.5 Flash models integrated via the official @google/genai SDK.</w:t>
      </w:r>
    </w:p>
    <w:p>
      <w:pPr>
        <w:pStyle w:val="ListBullet"/>
        <w:spacing w:after="80" w:line="276" w:lineRule="auto"/>
      </w:pPr>
      <w:r>
        <w:rPr>
          <w:b/>
          <w:sz w:val="22"/>
        </w:rPr>
        <w:t xml:space="preserve">Database &amp; Identity: </w:t>
      </w:r>
      <w:r>
        <w:rPr>
          <w:sz w:val="22"/>
        </w:rPr>
        <w:t>Firebase Authentication for identity verification and Google Cloud Firestore for real-time data persistence.</w:t>
      </w:r>
    </w:p>
    <w:p>
      <w:pPr>
        <w:spacing w:before="280" w:after="80"/>
      </w:pPr>
      <w:r>
        <w:rPr>
          <w:b/>
          <w:color w:val="1E4078"/>
          <w:sz w:val="28"/>
        </w:rPr>
        <w:t>Roles and Responsibilities</w:t>
      </w:r>
    </w:p>
    <w:p>
      <w:pPr>
        <w:pStyle w:val="ListBullet"/>
        <w:spacing w:after="80" w:line="276" w:lineRule="auto"/>
      </w:pPr>
      <w:r>
        <w:rPr>
          <w:b/>
          <w:sz w:val="22"/>
        </w:rPr>
        <w:t xml:space="preserve">System Owner (Scape Management): </w:t>
      </w:r>
      <w:r>
        <w:rPr>
          <w:sz w:val="22"/>
        </w:rPr>
        <w:t>Ensures the platform operates securely and enforces compliance with this policy.</w:t>
      </w:r>
    </w:p>
    <w:p>
      <w:pPr>
        <w:pStyle w:val="ListBullet"/>
        <w:spacing w:after="80" w:line="276" w:lineRule="auto"/>
      </w:pPr>
      <w:r>
        <w:rPr>
          <w:b/>
          <w:sz w:val="22"/>
        </w:rPr>
        <w:t xml:space="preserve">System Administrator(s): </w:t>
      </w:r>
      <w:r>
        <w:rPr>
          <w:sz w:val="22"/>
        </w:rPr>
        <w:t>Maintains backend infrastructure, applies critical security patches within 24-48 hours, monitors Cloud Run services, and manages Firestore access configurations.</w:t>
      </w:r>
    </w:p>
    <w:p>
      <w:pPr>
        <w:pStyle w:val="ListBullet"/>
        <w:spacing w:after="80" w:line="276" w:lineRule="auto"/>
      </w:pPr>
      <w:r>
        <w:rPr>
          <w:b/>
          <w:sz w:val="22"/>
        </w:rPr>
        <w:t xml:space="preserve">Scape Applications Engineers (Evaluators): </w:t>
      </w:r>
      <w:r>
        <w:rPr>
          <w:sz w:val="22"/>
        </w:rPr>
        <w:t>Oversees technical feasibility assessments, reviews AI-generated project draft reports, and validates customer CAD/part specifications prior to verdict publication.</w:t>
      </w:r>
    </w:p>
    <w:p>
      <w:pPr>
        <w:pStyle w:val="ListBullet"/>
        <w:spacing w:after="80" w:line="276" w:lineRule="auto"/>
      </w:pPr>
      <w:r>
        <w:rPr>
          <w:b/>
          <w:sz w:val="22"/>
        </w:rPr>
        <w:t xml:space="preserve">Data Custodians: </w:t>
      </w:r>
      <w:r>
        <w:rPr>
          <w:sz w:val="22"/>
        </w:rPr>
        <w:t>Ensures customer industrial data, CAD models, and personal account details are classified and protected according to GDPR and corporate secrecy standards.</w:t>
      </w:r>
    </w:p>
    <w:p>
      <w:pPr>
        <w:pStyle w:val="ListBullet"/>
        <w:spacing w:after="80" w:line="276" w:lineRule="auto"/>
      </w:pPr>
      <w:r>
        <w:rPr>
          <w:b/>
          <w:sz w:val="22"/>
        </w:rPr>
        <w:t xml:space="preserve">External Users &amp; Integrators: </w:t>
      </w:r>
      <w:r>
        <w:rPr>
          <w:sz w:val="22"/>
        </w:rPr>
        <w:t>Responsible for adhering to authentication controls, maintaining password hygiene, and reporting security anomalies.</w:t>
      </w:r>
    </w:p>
    <w:p>
      <w:pPr>
        <w:pStyle w:val="ListBullet"/>
        <w:spacing w:after="80" w:line="276" w:lineRule="auto"/>
      </w:pPr>
      <w:r>
        <w:rPr>
          <w:b/>
          <w:sz w:val="22"/>
        </w:rPr>
        <w:t xml:space="preserve">Security Team: </w:t>
      </w:r>
      <w:r>
        <w:rPr>
          <w:sz w:val="22"/>
        </w:rPr>
        <w:t>Conducts log audits, performs threat assessments, and coordinates incident response workflows.</w:t>
      </w:r>
    </w:p>
    <w:p>
      <w:pPr>
        <w:spacing w:before="360" w:after="120"/>
      </w:pPr>
      <w:r>
        <w:rPr>
          <w:b/>
          <w:color w:val="0F2043"/>
          <w:sz w:val="36"/>
        </w:rPr>
        <w:t>2. Access Control and Identity Management</w:t>
      </w:r>
    </w:p>
    <w:p>
      <w:pPr>
        <w:spacing w:before="280" w:after="80"/>
      </w:pPr>
      <w:r>
        <w:rPr>
          <w:b/>
          <w:color w:val="1E4078"/>
          <w:sz w:val="28"/>
        </w:rPr>
        <w:t>User Authentication &amp; Password Management</w:t>
      </w:r>
    </w:p>
    <w:p>
      <w:pPr>
        <w:pStyle w:val="ListBullet"/>
        <w:spacing w:after="80" w:line="276" w:lineRule="auto"/>
      </w:pPr>
      <w:r>
        <w:rPr>
          <w:b/>
          <w:sz w:val="22"/>
        </w:rPr>
        <w:t xml:space="preserve">Authentication Standards: </w:t>
      </w:r>
      <w:r>
        <w:rPr>
          <w:sz w:val="22"/>
        </w:rPr>
        <w:t>All external users must authenticate using Firebase Authentication (Email/Password or Google OAuth). Passwords must satisfy strong security complexity standards (minimum 12 characters, mixing uppercase, lowercase, numbers, and symbols). Account lockouts trigger after 5 consecutive failed login attempts.</w:t>
      </w:r>
    </w:p>
    <w:p>
      <w:pPr>
        <w:pStyle w:val="ListBullet"/>
        <w:spacing w:after="80" w:line="276" w:lineRule="auto"/>
      </w:pPr>
      <w:r>
        <w:rPr>
          <w:b/>
          <w:sz w:val="22"/>
        </w:rPr>
        <w:t xml:space="preserve">Mobile PWA OAuth Security: </w:t>
      </w:r>
      <w:r>
        <w:rPr>
          <w:sz w:val="22"/>
        </w:rPr>
        <w:t>For mobile browser and iOS PWA contexts (where popup/redirect auth is restricted), authentication is executed via a server-side OAuth flow (/api/auth/google/start). OAuth session states are stored in Firestore with a strict 10-minute expiration window and httpOnly, Secure cookies. Issued custom tokens have a 5-minute lifecycle for immediate client pickup.</w:t>
      </w:r>
    </w:p>
    <w:p>
      <w:pPr>
        <w:spacing w:before="280" w:after="80"/>
      </w:pPr>
      <w:r>
        <w:rPr>
          <w:b/>
          <w:color w:val="1E4078"/>
          <w:sz w:val="28"/>
        </w:rPr>
        <w:t>Role-Based Access Control (RBAC)</w:t>
      </w:r>
    </w:p>
    <w:p>
      <w:pPr>
        <w:pStyle w:val="ListBullet"/>
        <w:spacing w:after="80" w:line="276" w:lineRule="auto"/>
      </w:pPr>
      <w:r>
        <w:rPr>
          <w:b/>
          <w:sz w:val="22"/>
        </w:rPr>
        <w:t xml:space="preserve">External User Permissions: </w:t>
      </w:r>
      <w:r>
        <w:rPr>
          <w:sz w:val="22"/>
        </w:rPr>
        <w:t>External partners can create, update, and inspect their own evaluation projects. Upon formal project submission, the system automatically sets the isLocked flag to true, locking project data to prevent post-submission tampering.</w:t>
      </w:r>
    </w:p>
    <w:p>
      <w:pPr>
        <w:pStyle w:val="ListBullet"/>
        <w:spacing w:after="80" w:line="276" w:lineRule="auto"/>
      </w:pPr>
      <w:r>
        <w:rPr>
          <w:b/>
          <w:sz w:val="22"/>
        </w:rPr>
        <w:t xml:space="preserve">Evaluator Permissions: </w:t>
      </w:r>
      <w:r>
        <w:rPr>
          <w:sz w:val="22"/>
        </w:rPr>
        <w:t>Elevated evaluator capabilities are strictly granted via server-side domain verification (@scapesolutions.eu, @scapesolutions.com) or explicit Firestore whitelist entries. Evaluators possess authority to review all submissions, unlock project data for corrections, generate AI draft verdicts, and publish final feasibility reports.</w:t>
      </w:r>
    </w:p>
    <w:p>
      <w:pPr>
        <w:pStyle w:val="ListBullet"/>
        <w:spacing w:after="80" w:line="276" w:lineRule="auto"/>
      </w:pPr>
      <w:r>
        <w:rPr>
          <w:b/>
          <w:sz w:val="22"/>
        </w:rPr>
        <w:t xml:space="preserve">Administrator Privileges: </w:t>
      </w:r>
      <w:r>
        <w:rPr>
          <w:sz w:val="22"/>
        </w:rPr>
        <w:t>Superuser privileges are restricted to designated administrator accounts. Dynamic changes to allowed domains or evaluator lists are secured in Firestore under /config/access and protected by Firestore Security Rules (isScape()).</w:t>
      </w:r>
    </w:p>
    <w:p>
      <w:pPr>
        <w:spacing w:before="280" w:after="80"/>
      </w:pPr>
      <w:r>
        <w:rPr>
          <w:b/>
          <w:color w:val="1E4078"/>
          <w:sz w:val="28"/>
        </w:rPr>
        <w:t>Account Management &amp; Suspension</w:t>
      </w:r>
    </w:p>
    <w:p>
      <w:pPr>
        <w:pStyle w:val="ListBullet"/>
        <w:spacing w:after="80" w:line="276" w:lineRule="auto"/>
      </w:pPr>
      <w:r>
        <w:rPr>
          <w:b/>
          <w:sz w:val="22"/>
        </w:rPr>
        <w:t xml:space="preserve">Suspension Procedures: </w:t>
      </w:r>
      <w:r>
        <w:rPr>
          <w:sz w:val="22"/>
        </w:rPr>
        <w:t>Accounts belonging to terminated staff or users violating security terms are flagged as suspended (isSuspended = true) in Firestore. Suspended accounts are immediately blocked at the server API gateway verifyFirebaseToken middleware.</w:t>
      </w:r>
    </w:p>
    <w:p>
      <w:pPr>
        <w:spacing w:before="360" w:after="120"/>
      </w:pPr>
      <w:r>
        <w:rPr>
          <w:b/>
          <w:color w:val="0F2043"/>
          <w:sz w:val="36"/>
        </w:rPr>
        <w:t>3. AI Cybersecurity &amp; Generative AI Governance</w:t>
      </w:r>
    </w:p>
    <w:p>
      <w:pPr>
        <w:spacing w:after="120" w:line="276" w:lineRule="auto"/>
      </w:pPr>
      <w:r>
        <w:rPr>
          <w:sz w:val="22"/>
        </w:rPr>
        <w:t>As an AI-driven industrial platform, the system implements a Zero-Trust AI Security Pipeline to safeguard against AI-specific vulnerabilities, model manipulation, prompt injection attacks, and data leakage.</w:t>
      </w:r>
    </w:p>
    <w:p>
      <w:pPr>
        <w:spacing w:before="280" w:after="80"/>
      </w:pPr>
      <w:r>
        <w:rPr>
          <w:b/>
          <w:color w:val="1E4078"/>
          <w:sz w:val="28"/>
        </w:rPr>
        <w:t>3.1 API Key Isolation &amp; Secret Management</w:t>
      </w:r>
    </w:p>
    <w:p>
      <w:pPr>
        <w:pStyle w:val="ListBullet"/>
        <w:spacing w:after="80" w:line="276" w:lineRule="auto"/>
      </w:pPr>
      <w:r>
        <w:rPr>
          <w:b/>
          <w:sz w:val="22"/>
        </w:rPr>
        <w:t xml:space="preserve">API Key Storage: </w:t>
      </w:r>
      <w:r>
        <w:rPr>
          <w:sz w:val="22"/>
        </w:rPr>
        <w:t>The Gemini API key (GEMINI_API_KEY) is strictly managed server-side using Google Cloud Secret Manager and injected at Cloud Run deployment time (--set-secrets GEMINI_API_KEY=GEMINI_API_KEY:latest). Client-side exposure of API keys in JavaScript bundles is strictly forbidden.</w:t>
      </w:r>
    </w:p>
    <w:p>
      <w:pPr>
        <w:spacing w:before="280" w:after="80"/>
      </w:pPr>
      <w:r>
        <w:rPr>
          <w:b/>
          <w:color w:val="1E4078"/>
          <w:sz w:val="28"/>
        </w:rPr>
        <w:t>3.2 Prompt Injection &amp; Jailbreak Mitigation</w:t>
      </w:r>
    </w:p>
    <w:p>
      <w:pPr>
        <w:pStyle w:val="ListBullet"/>
        <w:spacing w:after="80" w:line="276" w:lineRule="auto"/>
      </w:pPr>
      <w:r>
        <w:rPr>
          <w:b/>
          <w:sz w:val="22"/>
        </w:rPr>
        <w:t xml:space="preserve">Input Sanitization &amp; Framing: </w:t>
      </w:r>
      <w:r>
        <w:rPr>
          <w:sz w:val="22"/>
        </w:rPr>
        <w:t>All user inputs (part descriptions, project notes, chat messages) are sanitized server-side before concatenation into LLM prompts. System instructions are structurally isolated using delimiter boundaries.</w:t>
      </w:r>
    </w:p>
    <w:p>
      <w:pPr>
        <w:pStyle w:val="ListBullet"/>
        <w:spacing w:after="80" w:line="276" w:lineRule="auto"/>
      </w:pPr>
      <w:r>
        <w:rPr>
          <w:b/>
          <w:sz w:val="22"/>
        </w:rPr>
        <w:t xml:space="preserve">Chat History Sanitization: </w:t>
      </w:r>
      <w:r>
        <w:rPr>
          <w:sz w:val="22"/>
        </w:rPr>
        <w:t>When constructing context for the auto-fill chat model (Gemini 2.5 Flash), raw markdown code blocks (`json ... `) from prior model responses are automatically stripped from history to prevent context poisoning or recursive prompt injection.</w:t>
      </w:r>
    </w:p>
    <w:p>
      <w:pPr>
        <w:pStyle w:val="ListBullet"/>
        <w:spacing w:after="80" w:line="276" w:lineRule="auto"/>
      </w:pPr>
      <w:r>
        <w:rPr>
          <w:b/>
          <w:sz w:val="22"/>
        </w:rPr>
        <w:t xml:space="preserve">Injection Escalation: </w:t>
      </w:r>
      <w:r>
        <w:rPr>
          <w:sz w:val="22"/>
        </w:rPr>
        <w:t>Users attempting prompt injection, prompt leakage, or model jailbreaking will have their sessions terminated and accounts flagged for security review.</w:t>
      </w:r>
    </w:p>
    <w:p>
      <w:pPr>
        <w:spacing w:before="280" w:after="80"/>
      </w:pPr>
      <w:r>
        <w:rPr>
          <w:b/>
          <w:color w:val="1E4078"/>
          <w:sz w:val="28"/>
        </w:rPr>
        <w:t>3.3 Data Minimization &amp; CAD Confidentiality</w:t>
      </w:r>
    </w:p>
    <w:p>
      <w:pPr>
        <w:pStyle w:val="ListBullet"/>
        <w:spacing w:after="80" w:line="276" w:lineRule="auto"/>
      </w:pPr>
      <w:r>
        <w:rPr>
          <w:b/>
          <w:sz w:val="22"/>
        </w:rPr>
        <w:t xml:space="preserve">Payload Token Stripping: </w:t>
      </w:r>
      <w:r>
        <w:rPr>
          <w:sz w:val="22"/>
        </w:rPr>
        <w:t>Before transmitting project payloads to Google Gemini API models, the server-side helper prepareAIRequest() strips binary CAD file payloads, raw base64 data URLs, chat histories, internal report drafts, and evaluation metadata.</w:t>
      </w:r>
    </w:p>
    <w:p>
      <w:pPr>
        <w:pStyle w:val="ListBullet"/>
        <w:spacing w:after="80" w:line="276" w:lineRule="auto"/>
      </w:pPr>
      <w:r>
        <w:rPr>
          <w:b/>
          <w:sz w:val="22"/>
        </w:rPr>
        <w:t xml:space="preserve">CAD Privacy: </w:t>
      </w:r>
      <w:r>
        <w:rPr>
          <w:sz w:val="22"/>
        </w:rPr>
        <w:t>Customer CAD geometries and part drawings are retained in secure storage and NEVER sent to external AI endpoints unless explicitly required as low-resolution image attachments.</w:t>
      </w:r>
    </w:p>
    <w:p>
      <w:pPr>
        <w:spacing w:before="280" w:after="80"/>
      </w:pPr>
      <w:r>
        <w:rPr>
          <w:b/>
          <w:color w:val="1E4078"/>
          <w:sz w:val="28"/>
        </w:rPr>
        <w:t>3.4 AI Output Integrity &amp; Human-in-the-Loop Verdict Gating</w:t>
      </w:r>
    </w:p>
    <w:p>
      <w:pPr>
        <w:pStyle w:val="ListBullet"/>
        <w:spacing w:after="80" w:line="276" w:lineRule="auto"/>
      </w:pPr>
      <w:r>
        <w:rPr>
          <w:b/>
          <w:sz w:val="22"/>
        </w:rPr>
        <w:t xml:space="preserve">Human Approval Gate: </w:t>
      </w:r>
      <w:r>
        <w:rPr>
          <w:sz w:val="22"/>
        </w:rPr>
        <w:t>AI-generated technical drafts and feasibility scores are stored in a provisional state (isVerdictVisible = false). Automated verdicts CANNOT be viewed by external customers until a qualified Scape Applications Engineer reviews, verifies physics parameters, and approves publication.</w:t>
      </w:r>
    </w:p>
    <w:p>
      <w:pPr>
        <w:spacing w:before="280" w:after="80"/>
      </w:pPr>
      <w:r>
        <w:rPr>
          <w:b/>
          <w:color w:val="1E4078"/>
          <w:sz w:val="28"/>
        </w:rPr>
        <w:t>3.5 AI Rate Limiting &amp; Denial of Service (DoS) Defense</w:t>
      </w:r>
    </w:p>
    <w:p>
      <w:pPr>
        <w:pStyle w:val="ListBullet"/>
        <w:spacing w:after="80" w:line="276" w:lineRule="auto"/>
      </w:pPr>
      <w:r>
        <w:rPr>
          <w:b/>
          <w:sz w:val="22"/>
        </w:rPr>
        <w:t xml:space="preserve">Quota Enforcement: </w:t>
      </w:r>
      <w:r>
        <w:rPr>
          <w:sz w:val="22"/>
        </w:rPr>
        <w:t>External user AI interactions are capped by dailyAiRateLimiter middleware at 15 AI calls per day per account, logged in Firestore under user_limits/{uid}_{date}. Scape Evaluators and Superusers bypass rate limits for business operations.</w:t>
      </w:r>
    </w:p>
    <w:p>
      <w:pPr>
        <w:pStyle w:val="ListBullet"/>
        <w:spacing w:after="80" w:line="276" w:lineRule="auto"/>
      </w:pPr>
      <w:r>
        <w:rPr>
          <w:b/>
          <w:sz w:val="22"/>
        </w:rPr>
        <w:t xml:space="preserve">Payload Size Capping: </w:t>
      </w:r>
      <w:r>
        <w:rPr>
          <w:sz w:val="22"/>
        </w:rPr>
        <w:t>The server API limits JSON payload sizes to 50MB to accommodate high-resolution image uploads while blocking memory exhaustion DoS vectors.</w:t>
      </w:r>
    </w:p>
    <w:p>
      <w:pPr>
        <w:spacing w:before="360" w:after="120"/>
      </w:pPr>
      <w:r>
        <w:rPr>
          <w:b/>
          <w:color w:val="0F2043"/>
          <w:sz w:val="36"/>
        </w:rPr>
        <w:t>4. Data Protection and Encryption</w:t>
      </w:r>
    </w:p>
    <w:p>
      <w:pPr>
        <w:spacing w:before="280" w:after="80"/>
      </w:pPr>
      <w:r>
        <w:rPr>
          <w:b/>
          <w:color w:val="1E4078"/>
          <w:sz w:val="28"/>
        </w:rPr>
        <w:t>Data Classification</w:t>
      </w:r>
    </w:p>
    <w:p>
      <w:pPr>
        <w:pStyle w:val="ListBullet"/>
        <w:spacing w:after="80" w:line="276" w:lineRule="auto"/>
      </w:pPr>
      <w:r>
        <w:rPr>
          <w:b/>
          <w:sz w:val="22"/>
        </w:rPr>
        <w:t xml:space="preserve">Public Data: </w:t>
      </w:r>
      <w:r>
        <w:rPr>
          <w:sz w:val="22"/>
        </w:rPr>
        <w:t>Includes public marketing assets and product brochure documentation.</w:t>
      </w:r>
    </w:p>
    <w:p>
      <w:pPr>
        <w:pStyle w:val="ListBullet"/>
        <w:spacing w:after="80" w:line="276" w:lineRule="auto"/>
      </w:pPr>
      <w:r>
        <w:rPr>
          <w:b/>
          <w:sz w:val="22"/>
        </w:rPr>
        <w:t xml:space="preserve">Internal Data: </w:t>
      </w:r>
      <w:r>
        <w:rPr>
          <w:sz w:val="22"/>
        </w:rPr>
        <w:t>Includes system configuration prompts, evaluator notes, and anonymized aggregate metrics.</w:t>
      </w:r>
    </w:p>
    <w:p>
      <w:pPr>
        <w:pStyle w:val="ListBullet"/>
        <w:spacing w:after="80" w:line="276" w:lineRule="auto"/>
      </w:pPr>
      <w:r>
        <w:rPr>
          <w:b/>
          <w:sz w:val="22"/>
        </w:rPr>
        <w:t xml:space="preserve">Sensitive Industrial Data: </w:t>
      </w:r>
      <w:r>
        <w:rPr>
          <w:sz w:val="22"/>
        </w:rPr>
        <w:t>Includes customer CAD files, part dimensions, cycle time constraints, facility photos, and user credentials. Demands top-tier encryption and access restriction.</w:t>
      </w:r>
    </w:p>
    <w:p>
      <w:pPr>
        <w:spacing w:before="280" w:after="80"/>
      </w:pPr>
      <w:r>
        <w:rPr>
          <w:b/>
          <w:color w:val="1E4078"/>
          <w:sz w:val="28"/>
        </w:rPr>
        <w:t>Data Encryption &amp; Storage Security</w:t>
      </w:r>
    </w:p>
    <w:p>
      <w:pPr>
        <w:pStyle w:val="ListBullet"/>
        <w:spacing w:after="80" w:line="276" w:lineRule="auto"/>
      </w:pPr>
      <w:r>
        <w:rPr>
          <w:b/>
          <w:sz w:val="22"/>
        </w:rPr>
        <w:t xml:space="preserve">In Transit: </w:t>
      </w:r>
      <w:r>
        <w:rPr>
          <w:sz w:val="22"/>
        </w:rPr>
        <w:t>All communication between clients, Cloud Run proxies, and Firebase services is enforced over TLS 1.3 / HTTPS.</w:t>
      </w:r>
    </w:p>
    <w:p>
      <w:pPr>
        <w:pStyle w:val="ListBullet"/>
        <w:spacing w:after="80" w:line="276" w:lineRule="auto"/>
      </w:pPr>
      <w:r>
        <w:rPr>
          <w:b/>
          <w:sz w:val="22"/>
        </w:rPr>
        <w:t xml:space="preserve">At Rest: </w:t>
      </w:r>
      <w:r>
        <w:rPr>
          <w:sz w:val="22"/>
        </w:rPr>
        <w:t>All persistent database records in Firestore and objects in Cloud Storage are encrypted at rest using AES-256.</w:t>
      </w:r>
    </w:p>
    <w:p>
      <w:pPr>
        <w:spacing w:before="280" w:after="80"/>
      </w:pPr>
      <w:r>
        <w:rPr>
          <w:b/>
          <w:color w:val="1E4078"/>
          <w:sz w:val="28"/>
        </w:rPr>
        <w:t>Backup and Retention</w:t>
      </w:r>
    </w:p>
    <w:p>
      <w:pPr>
        <w:pStyle w:val="ListBullet"/>
        <w:spacing w:after="80" w:line="276" w:lineRule="auto"/>
      </w:pPr>
      <w:r>
        <w:rPr>
          <w:b/>
          <w:sz w:val="22"/>
        </w:rPr>
        <w:t xml:space="preserve">Database Backups: </w:t>
      </w:r>
      <w:r>
        <w:rPr>
          <w:sz w:val="22"/>
        </w:rPr>
        <w:t>Automated daily Firestore database snapshots are executed, encrypted, and stored in offsite multi-region storage. Backups are retained for 90 days.</w:t>
      </w:r>
    </w:p>
    <w:p>
      <w:pPr>
        <w:pStyle w:val="ListBullet"/>
        <w:spacing w:after="80" w:line="276" w:lineRule="auto"/>
      </w:pPr>
      <w:r>
        <w:rPr>
          <w:b/>
          <w:sz w:val="22"/>
        </w:rPr>
        <w:t xml:space="preserve">Data Retention &amp; GDPR: </w:t>
      </w:r>
      <w:r>
        <w:rPr>
          <w:sz w:val="22"/>
        </w:rPr>
        <w:t>Active project data is retained for the duration of the commercial relationship. Inactive projects are archived. Upon user request, personal data and project records are permanently purged in compliance with GDPR Right to Erasure.</w:t>
      </w:r>
    </w:p>
    <w:p>
      <w:pPr>
        <w:spacing w:before="360" w:after="120"/>
      </w:pPr>
      <w:r>
        <w:rPr>
          <w:b/>
          <w:color w:val="0F2043"/>
          <w:sz w:val="36"/>
        </w:rPr>
        <w:t>5. Infrastructure and System Security</w:t>
      </w:r>
    </w:p>
    <w:p>
      <w:pPr>
        <w:spacing w:before="280" w:after="80"/>
      </w:pPr>
      <w:r>
        <w:rPr>
          <w:b/>
          <w:color w:val="1E4078"/>
          <w:sz w:val="28"/>
        </w:rPr>
        <w:t>Patch Management &amp; Vulnerability Scanning</w:t>
      </w:r>
    </w:p>
    <w:p>
      <w:pPr>
        <w:pStyle w:val="ListBullet"/>
        <w:spacing w:after="80" w:line="276" w:lineRule="auto"/>
      </w:pPr>
      <w:r>
        <w:rPr>
          <w:b/>
          <w:sz w:val="22"/>
        </w:rPr>
        <w:t xml:space="preserve">Patch Lifecycle: </w:t>
      </w:r>
      <w:r>
        <w:rPr>
          <w:sz w:val="22"/>
        </w:rPr>
        <w:t>Critical container dependencies (Node.js runtime, Express, Firebase Admin) are audited continuously via automated vulnerability scanners. Critical vulnerability patches are deployed within 24 to 48 hours.</w:t>
      </w:r>
    </w:p>
    <w:p>
      <w:pPr>
        <w:spacing w:before="280" w:after="80"/>
      </w:pPr>
      <w:r>
        <w:rPr>
          <w:b/>
          <w:color w:val="1E4078"/>
          <w:sz w:val="28"/>
        </w:rPr>
        <w:t>Network &amp; Container Security</w:t>
      </w:r>
    </w:p>
    <w:p>
      <w:pPr>
        <w:pStyle w:val="ListBullet"/>
        <w:spacing w:after="80" w:line="276" w:lineRule="auto"/>
      </w:pPr>
      <w:r>
        <w:rPr>
          <w:b/>
          <w:sz w:val="22"/>
        </w:rPr>
        <w:t xml:space="preserve">Firewall &amp; Middleware: </w:t>
      </w:r>
      <w:r>
        <w:rPr>
          <w:sz w:val="22"/>
        </w:rPr>
        <w:t>Cloud Run container instances are shielded behind Google Cloud Armor network firewalls, enforcing CORS policies, rate limiting, and HTTP security headers (HSTS, CSP, X-Content-Type-Options).</w:t>
      </w:r>
    </w:p>
    <w:p>
      <w:pPr>
        <w:spacing w:before="360" w:after="120"/>
      </w:pPr>
      <w:r>
        <w:rPr>
          <w:b/>
          <w:color w:val="0F2043"/>
          <w:sz w:val="36"/>
        </w:rPr>
        <w:t>6. Monitoring, Logging and Security Audits</w:t>
      </w:r>
    </w:p>
    <w:p>
      <w:pPr>
        <w:spacing w:before="280" w:after="80"/>
      </w:pPr>
      <w:r>
        <w:rPr>
          <w:b/>
          <w:color w:val="1E4078"/>
          <w:sz w:val="28"/>
        </w:rPr>
        <w:t>Activity Logging &amp; Monitoring</w:t>
      </w:r>
    </w:p>
    <w:p>
      <w:pPr>
        <w:pStyle w:val="ListBullet"/>
        <w:spacing w:after="80" w:line="276" w:lineRule="auto"/>
      </w:pPr>
      <w:r>
        <w:rPr>
          <w:b/>
          <w:sz w:val="22"/>
        </w:rPr>
        <w:t xml:space="preserve">Audit Trails: </w:t>
      </w:r>
      <w:r>
        <w:rPr>
          <w:sz w:val="22"/>
        </w:rPr>
        <w:t>All HTTP requests, token verification attempts, AI invocation calls, and access configuration updates are logged centrally via Cloud Logging. Log entries include timestamp, UID, user email, IP address, and outcome.</w:t>
      </w:r>
    </w:p>
    <w:p>
      <w:pPr>
        <w:pStyle w:val="ListBullet"/>
        <w:spacing w:after="80" w:line="276" w:lineRule="auto"/>
      </w:pPr>
      <w:r>
        <w:rPr>
          <w:b/>
          <w:sz w:val="22"/>
        </w:rPr>
        <w:t xml:space="preserve">Log Retention: </w:t>
      </w:r>
      <w:r>
        <w:rPr>
          <w:sz w:val="22"/>
        </w:rPr>
        <w:t>Log archives are retained for 180 days for audit compliance.</w:t>
      </w:r>
    </w:p>
    <w:p>
      <w:pPr>
        <w:spacing w:before="280" w:after="80"/>
      </w:pPr>
      <w:r>
        <w:rPr>
          <w:b/>
          <w:color w:val="1E4078"/>
          <w:sz w:val="28"/>
        </w:rPr>
        <w:t>Audit Procedures</w:t>
      </w:r>
    </w:p>
    <w:p>
      <w:pPr>
        <w:pStyle w:val="ListBullet"/>
        <w:spacing w:after="80" w:line="276" w:lineRule="auto"/>
      </w:pPr>
      <w:r>
        <w:rPr>
          <w:b/>
          <w:sz w:val="22"/>
        </w:rPr>
        <w:t xml:space="preserve">Security Audits: </w:t>
      </w:r>
      <w:r>
        <w:rPr>
          <w:sz w:val="22"/>
        </w:rPr>
        <w:t>A formal security audit of codebase dependencies, Firestore rules, and Cloud Run security posture is conducted annually or following major feature releases.</w:t>
      </w:r>
    </w:p>
    <w:p>
      <w:pPr>
        <w:spacing w:before="360" w:after="120"/>
      </w:pPr>
      <w:r>
        <w:rPr>
          <w:b/>
          <w:color w:val="0F2043"/>
          <w:sz w:val="36"/>
        </w:rPr>
        <w:t>7. Incident Response and Breach Notification</w:t>
      </w:r>
    </w:p>
    <w:p>
      <w:pPr>
        <w:spacing w:before="280" w:after="80"/>
      </w:pPr>
      <w:r>
        <w:rPr>
          <w:b/>
          <w:color w:val="1E4078"/>
          <w:sz w:val="28"/>
        </w:rPr>
        <w:t>Incident Response Workflow</w:t>
      </w:r>
    </w:p>
    <w:p>
      <w:pPr>
        <w:pStyle w:val="ListBullet"/>
        <w:spacing w:after="80" w:line="276" w:lineRule="auto"/>
      </w:pPr>
      <w:r>
        <w:rPr>
          <w:b/>
          <w:sz w:val="22"/>
        </w:rPr>
        <w:t xml:space="preserve">Response Workflow: </w:t>
      </w:r>
      <w:r>
        <w:rPr>
          <w:sz w:val="22"/>
        </w:rPr>
        <w:t>In the event of suspected compromise or AI key leakage, the Security Team will immediately rotate GEMINI_API_KEY in Cloud Secret Manager, suspend compromised user UIDs, isolate affected Cloud Run revisions, and initiate log forensics.</w:t>
      </w:r>
    </w:p>
    <w:p>
      <w:pPr>
        <w:pStyle w:val="ListBullet"/>
        <w:spacing w:after="80" w:line="276" w:lineRule="auto"/>
      </w:pPr>
      <w:r>
        <w:rPr>
          <w:b/>
          <w:sz w:val="22"/>
        </w:rPr>
        <w:t xml:space="preserve">Reporting Window: </w:t>
      </w:r>
      <w:r>
        <w:rPr>
          <w:sz w:val="22"/>
        </w:rPr>
        <w:t>All security incidents must be reported to security@scapesolutions.eu within 24 hours of discovery.</w:t>
      </w:r>
    </w:p>
    <w:p>
      <w:pPr>
        <w:spacing w:before="280" w:after="80"/>
      </w:pPr>
      <w:r>
        <w:rPr>
          <w:b/>
          <w:color w:val="1E4078"/>
          <w:sz w:val="28"/>
        </w:rPr>
        <w:t>Data Breach Notification</w:t>
      </w:r>
    </w:p>
    <w:p>
      <w:pPr>
        <w:pStyle w:val="ListBullet"/>
        <w:spacing w:after="80" w:line="276" w:lineRule="auto"/>
      </w:pPr>
      <w:r>
        <w:rPr>
          <w:b/>
          <w:sz w:val="22"/>
        </w:rPr>
        <w:t xml:space="preserve">Breach Notification: </w:t>
      </w:r>
      <w:r>
        <w:rPr>
          <w:sz w:val="22"/>
        </w:rPr>
        <w:t>If Sensitive Industrial Data or user credentials are breached, affected customers and relevant regulatory bodies will be notified within 72 hours in full compliance with GDPR Art. 33/34.</w:t>
      </w:r>
    </w:p>
    <w:p>
      <w:pPr>
        <w:spacing w:before="360" w:after="120"/>
      </w:pPr>
      <w:r>
        <w:rPr>
          <w:b/>
          <w:color w:val="0F2043"/>
          <w:sz w:val="36"/>
        </w:rPr>
        <w:t>8. Disaster Recovery and Business Continuity</w:t>
      </w:r>
    </w:p>
    <w:p>
      <w:pPr>
        <w:pStyle w:val="ListBullet"/>
        <w:spacing w:after="80" w:line="276" w:lineRule="auto"/>
      </w:pPr>
      <w:r>
        <w:rPr>
          <w:b/>
          <w:sz w:val="22"/>
        </w:rPr>
        <w:t xml:space="preserve">Recovery Time Objective (RTO): </w:t>
      </w:r>
      <w:r>
        <w:rPr>
          <w:sz w:val="22"/>
        </w:rPr>
        <w:t>The system targets a Recovery Time Objective (RTO) of less than 24 hours in the event of major cloud service outage.</w:t>
      </w:r>
    </w:p>
    <w:p>
      <w:pPr>
        <w:pStyle w:val="ListBullet"/>
        <w:spacing w:after="80" w:line="276" w:lineRule="auto"/>
      </w:pPr>
      <w:r>
        <w:rPr>
          <w:b/>
          <w:sz w:val="22"/>
        </w:rPr>
        <w:t xml:space="preserve">Recovery Point Objective (RPO): </w:t>
      </w:r>
      <w:r>
        <w:rPr>
          <w:sz w:val="22"/>
        </w:rPr>
        <w:t>Multi-region Firestore replication ensures a Recovery Point Objective (RPO) of less than 1 hour.</w:t>
      </w:r>
    </w:p>
    <w:p>
      <w:pPr>
        <w:spacing w:before="360" w:after="120"/>
      </w:pPr>
      <w:r>
        <w:rPr>
          <w:b/>
          <w:color w:val="0F2043"/>
          <w:sz w:val="36"/>
        </w:rPr>
        <w:t>9. Compliance and Governance Sign-Off</w:t>
      </w:r>
    </w:p>
    <w:p>
      <w:pPr>
        <w:spacing w:after="120" w:line="276" w:lineRule="auto"/>
      </w:pPr>
      <w:r>
        <w:rPr>
          <w:sz w:val="22"/>
        </w:rPr>
        <w:t>This policy has been prepared and approved by Scape Solutions Executive Management and Technical Lead as of September 2026. Review and re-certification is mandatory on an annual basis.</w:t>
      </w:r>
    </w:p>
    <w:p>
      <w:pPr>
        <w:spacing w:before="480"/>
      </w:pPr>
      <w:r>
        <w:rPr>
          <w:b/>
        </w:rPr>
        <w:t xml:space="preserve">Approved by: </w:t>
      </w:r>
      <w:r>
        <w:t>Scape Solutions Engineering &amp; Security Steering Committee</w:t>
        <w:br/>
      </w:r>
      <w:r>
        <w:rPr>
          <w:b/>
        </w:rPr>
        <w:t xml:space="preserve">Effective Date: </w:t>
      </w:r>
      <w:r>
        <w:t>September 17, 2026</w:t>
        <w:br/>
      </w:r>
      <w:r>
        <w:rPr>
          <w:b/>
        </w:rPr>
        <w:t xml:space="preserve">Status: </w:t>
      </w:r>
      <w:r>
        <w:t>ACTIVE - High-Security Policy Standard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