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</w:rPr>
        <w:t>科技型小微企业风险定价模型研究报告</w:t>
      </w:r>
    </w:p>
    <w:p>
      <w:pPr>
        <w:pStyle w:val="Heading2"/>
      </w:pPr>
      <w:r>
        <w:rPr>
          <w:rFonts w:ascii="Microsoft YaHei" w:hAnsi="Microsoft YaHei"/>
        </w:rPr>
        <w:t>——基于 `max(FTP, FTP+风险溢价)` 框架的"看不清、定不准、绑不牢"破解路径</w:t>
      </w:r>
    </w:p>
    <w:p>
      <w:r>
        <w:rPr>
          <w:b w:val="0"/>
          <w:i/>
          <w:color w:val="5A5A5A"/>
          <w:sz w:val="20"/>
        </w:rPr>
        <w:t>交付形式：报告文字 + 公式推导（含仿真数据回测）</w:t>
      </w:r>
    </w:p>
    <w:p>
      <w:r>
        <w:rPr>
          <w:b w:val="0"/>
          <w:i/>
          <w:color w:val="5A5A5A"/>
          <w:sz w:val="20"/>
        </w:rPr>
        <w:t>配套：仿真数据生成、模型拟合与回测脚本 `build_model.py`，图表见 `figs/`</w:t>
      </w:r>
    </w:p>
    <w:p>
      <w:r>
        <w:rPr>
          <w:b w:val="0"/>
          <w:sz w:val="21"/>
        </w:rPr>
        <w:t>---</w:t>
      </w:r>
    </w:p>
    <w:p>
      <w:pPr>
        <w:pStyle w:val="Heading2"/>
      </w:pPr>
      <w:r>
        <w:rPr>
          <w:rFonts w:ascii="Microsoft YaHei" w:hAnsi="Microsoft YaHei"/>
        </w:rPr>
        <w:t>摘要</w:t>
      </w:r>
    </w:p>
    <w:p>
      <w:r>
        <w:rPr>
          <w:b w:val="0"/>
          <w:sz w:val="21"/>
        </w:rPr>
        <w:t xml:space="preserve">在低息差背景下，商业银行对科技型小微企业的信贷经营面临 </w:t>
      </w:r>
      <w:r>
        <w:rPr>
          <w:b/>
          <w:sz w:val="21"/>
        </w:rPr>
        <w:t>"看不清、定不准、绑不牢"</w:t>
      </w:r>
      <w:r>
        <w:rPr>
          <w:b w:val="0"/>
          <w:sz w:val="21"/>
        </w:rPr>
        <w:t xml:space="preserve"> 三重困境。本文以用户给定的定价逻辑</w:t>
      </w:r>
    </w:p>
    <w:p>
      <w:r>
        <w:rPr>
          <w:b w:val="0"/>
          <w:sz w:val="21"/>
        </w:rPr>
        <w:t>$$R = \max\bigl(\,FTP,\; FTP + \Pi\,\bigr)$$</w:t>
      </w:r>
    </w:p>
    <w:p>
      <w:r>
        <w:rPr>
          <w:b w:val="0"/>
          <w:sz w:val="21"/>
        </w:rPr>
        <w:t>为主线，将"风险溢价 $\Pi$"构建为一个</w:t>
      </w:r>
      <w:r>
        <w:rPr>
          <w:b/>
          <w:sz w:val="21"/>
        </w:rPr>
        <w:t>风险理论驱动、可分解、可回测</w:t>
      </w:r>
      <w:r>
        <w:rPr>
          <w:b w:val="0"/>
          <w:sz w:val="21"/>
        </w:rPr>
        <w:t xml:space="preserve">的综合项，综合纳入银行放贷需考量的八类因子：行业属性、显性财务、隐性偿债能力、经营周期、客户综合贡献、区域环境、担保方式、结算流水。针对原有加性公式 </w:t>
      </w:r>
      <w:r>
        <w:rPr>
          <w:rFonts w:ascii="Consolas" w:hAnsi="Consolas"/>
          <w:b w:val="0"/>
          <w:sz w:val="21"/>
        </w:rPr>
        <w:t>R = R₀ + ΣαᵢFᵢ + ε</w:t>
      </w:r>
      <w:r>
        <w:rPr>
          <w:b w:val="0"/>
          <w:sz w:val="21"/>
        </w:rPr>
        <w:t xml:space="preserve"> 存在的六项理想化假设，本文逐一给出修正，并用一份仿真数据集（N=3000，整体违约率约 12.3%）完成模型校准与回测：PD 子模型测试集 AUC=0.873、KS=0.625；去理想化定价模型误差仅为理想化朴素模型的约 </w:t>
      </w:r>
      <w:r>
        <w:rPr>
          <w:b/>
          <w:sz w:val="21"/>
        </w:rPr>
        <w:t>1/25</w:t>
      </w:r>
      <w:r>
        <w:rPr>
          <w:b w:val="0"/>
          <w:sz w:val="21"/>
        </w:rPr>
        <w:t xml:space="preserve">；并实证显示约 </w:t>
      </w:r>
      <w:r>
        <w:rPr>
          <w:b/>
          <w:sz w:val="21"/>
        </w:rPr>
        <w:t>8.4%</w:t>
      </w:r>
      <w:r>
        <w:rPr>
          <w:b w:val="0"/>
          <w:sz w:val="21"/>
        </w:rPr>
        <w:t xml:space="preserve"> 的高综合贡献客户触达 FTP 地板价（"绑牢"），而高风险客户被朴素模型低估约 </w:t>
      </w:r>
      <w:r>
        <w:rPr>
          <w:b/>
          <w:sz w:val="21"/>
        </w:rPr>
        <w:t>1356 个基点</w:t>
      </w:r>
      <w:r>
        <w:rPr>
          <w:b w:val="0"/>
          <w:sz w:val="21"/>
        </w:rPr>
        <w:t>。</w:t>
      </w:r>
    </w:p>
    <w:p>
      <w:r>
        <w:rPr>
          <w:b w:val="0"/>
          <w:sz w:val="21"/>
        </w:rPr>
        <w:t>---</w:t>
      </w:r>
    </w:p>
    <w:p>
      <w:pPr>
        <w:pStyle w:val="Heading2"/>
      </w:pPr>
      <w:r>
        <w:rPr>
          <w:rFonts w:ascii="Microsoft YaHei" w:hAnsi="Microsoft YaHei"/>
        </w:rPr>
        <w:t>一、问题界定：低息差背景下"三难"困境</w:t>
      </w:r>
    </w:p>
    <w:p>
      <w:pPr>
        <w:pStyle w:val="Heading3"/>
      </w:pPr>
      <w:r>
        <w:rPr>
          <w:rFonts w:ascii="Microsoft YaHei" w:hAnsi="Microsoft YaHei"/>
        </w:rPr>
        <w:t>1.1 三类困境的内涵</w:t>
      </w:r>
    </w:p>
    <w:p>
      <w:r>
        <w:rPr>
          <w:b w:val="0"/>
          <w:sz w:val="21"/>
        </w:rPr>
        <w:t>| 困境 | 内涵 | 传统应对 | 失效根源 |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------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------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----------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----------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**定不准**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风险-收益匹配失效，定价无法覆盖真实风险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经验定价 / 基准利率加点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忽略因子交互与非对称风险分布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**绑不牢**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客户粘性低，易被低价竞对撬走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单一贷款产品绑定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未将战略价值纳入价格决策</w:t>
            </w:r>
          </w:p>
        </w:tc>
      </w:tr>
    </w:tbl>
    <w:p>
      <w:pPr>
        <w:pStyle w:val="Heading3"/>
      </w:pPr>
      <w:r>
        <w:rPr>
          <w:rFonts w:ascii="Microsoft YaHei" w:hAnsi="Microsoft YaHei"/>
        </w:rPr>
        <w:t>1.2 原有公式的理想化缺陷</w:t>
      </w:r>
    </w:p>
    <w:p>
      <w:r>
        <w:rPr>
          <w:b w:val="0"/>
          <w:sz w:val="21"/>
        </w:rPr>
        <w:t>论文原拟定公式：</w:t>
      </w:r>
    </w:p>
    <w:p>
      <w:r>
        <w:rPr>
          <w:b w:val="0"/>
          <w:sz w:val="21"/>
        </w:rPr>
        <w:t>$$R = R_0 + \sum_{i} \alpha_i F_i + \varepsilon \tag{1}$$</w:t>
      </w:r>
    </w:p>
    <w:p>
      <w:r>
        <w:rPr>
          <w:b w:val="0"/>
          <w:sz w:val="21"/>
        </w:rPr>
        <w:t xml:space="preserve">存在 </w:t>
      </w:r>
      <w:r>
        <w:rPr>
          <w:b/>
          <w:sz w:val="21"/>
        </w:rPr>
        <w:t>六项隐含的理想化假设</w:t>
      </w:r>
      <w:r>
        <w:rPr>
          <w:b w:val="0"/>
          <w:sz w:val="21"/>
        </w:rPr>
        <w:t>，在科技型小微场景下均不成立：</w:t>
      </w:r>
    </w:p>
    <w:p>
      <w:r>
        <w:rPr>
          <w:b w:val="0"/>
          <w:sz w:val="21"/>
        </w:rPr>
        <w:t>| # | 理想化假设 | 实际违背 | 对应困境 |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-----------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---------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---------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权重 $\alpha_i$ 为常数（同质性）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企业异质性大，同因子影响不同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定不准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因子间相互独立（线性可加）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高研发×负现金流=烧钱；高杠杆×低流动=致命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定不准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$\varepsilon$ 为定性"兜底筐"不可量化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区域竞争、客户战略价值应显式建模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绑不牢/定不准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无显式违约概率 PD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风险被压缩为确定性得分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定不准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不考虑信息不确定性溢价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越不透明风险越高，但无补偿机制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看不清</w:t>
            </w:r>
          </w:p>
        </w:tc>
      </w:tr>
    </w:tbl>
    <w:p>
      <w:r>
        <w:rPr>
          <w:b w:val="0"/>
          <w:sz w:val="21"/>
        </w:rPr>
        <w:t>---</w:t>
      </w:r>
    </w:p>
    <w:p>
      <w:pPr>
        <w:pStyle w:val="Heading2"/>
      </w:pPr>
      <w:r>
        <w:rPr>
          <w:rFonts w:ascii="Microsoft YaHei" w:hAnsi="Microsoft YaHei"/>
        </w:rPr>
        <w:t>二、理论基础与文献框架</w:t>
      </w:r>
    </w:p>
    <w:p>
      <w:pPr>
        <w:pStyle w:val="Heading3"/>
      </w:pPr>
      <w:r>
        <w:rPr>
          <w:rFonts w:ascii="Microsoft YaHei" w:hAnsi="Microsoft YaHei"/>
        </w:rPr>
        <w:t>2.1 5C 信用评价原则</w:t>
      </w:r>
    </w:p>
    <w:p>
      <w:r>
        <w:rPr>
          <w:b w:val="0"/>
          <w:sz w:val="21"/>
        </w:rPr>
        <w:t>国际通用的信用风险框架，为因子大类提供骨架：</w:t>
      </w:r>
      <w:r>
        <w:rPr>
          <w:b/>
          <w:sz w:val="21"/>
        </w:rPr>
        <w:t>Character（还款意愿）、Capacity（还款能力）、Capital（资本）、Collateral（担保）、Conditions（环境）</w:t>
      </w:r>
      <w:r>
        <w:rPr>
          <w:b w:val="0"/>
          <w:sz w:val="21"/>
        </w:rPr>
        <w:t>。本文八类因子可归入此框架（见第三章）。</w:t>
      </w:r>
    </w:p>
    <w:p>
      <w:pPr>
        <w:pStyle w:val="Heading3"/>
      </w:pPr>
      <w:r>
        <w:rPr>
          <w:rFonts w:ascii="Microsoft YaHei" w:hAnsi="Microsoft YaHei"/>
        </w:rPr>
        <w:t>2.2 巴塞尔 IRB 内部评级法</w:t>
      </w:r>
    </w:p>
    <w:p>
      <w:r>
        <w:rPr>
          <w:b w:val="0"/>
          <w:sz w:val="21"/>
        </w:rPr>
        <w:t xml:space="preserve">巴塞尔协议内部评级法（IRB）以 </w:t>
      </w:r>
      <w:r>
        <w:rPr>
          <w:b/>
          <w:sz w:val="21"/>
        </w:rPr>
        <w:t>PD（违约概率）、LGD（违约损失率）、EAD（违约风险暴露）、M（期限）</w:t>
      </w:r>
      <w:r>
        <w:rPr>
          <w:b w:val="0"/>
          <w:sz w:val="21"/>
        </w:rPr>
        <w:t xml:space="preserve"> 为核心风险要素。其关键启示：</w:t>
      </w:r>
      <w:r>
        <w:rPr>
          <w:b/>
          <w:sz w:val="21"/>
        </w:rPr>
        <w:t>定价必须基于期望损失 $EL = PD \times LGD$ 与经济资本占用</w:t>
      </w:r>
      <w:r>
        <w:rPr>
          <w:b w:val="0"/>
          <w:sz w:val="21"/>
        </w:rPr>
        <w:t>，而非经验加点。这正是修正假设 A5 的理论依据。</w:t>
      </w:r>
    </w:p>
    <w:p>
      <w:pPr>
        <w:pStyle w:val="Heading3"/>
      </w:pPr>
      <w:r>
        <w:rPr>
          <w:rFonts w:ascii="Microsoft YaHei" w:hAnsi="Microsoft YaHei"/>
        </w:rPr>
        <w:t>2.3 RAROC 风险调整资本回报率定价</w:t>
      </w:r>
    </w:p>
    <w:p>
      <w:r>
        <w:rPr>
          <w:b w:val="0"/>
          <w:sz w:val="21"/>
        </w:rPr>
        <w:t>银行贷款定价的一般式 [1]：</w:t>
      </w:r>
    </w:p>
    <w:p>
      <w:r>
        <w:rPr>
          <w:b w:val="0"/>
          <w:sz w:val="21"/>
        </w:rPr>
        <w:t>$$R = \frac{RAROC \times 经济资本 + EL + 运营成本 + 资金成本 - 非息收入}{贷款余额}$$</w:t>
      </w:r>
    </w:p>
    <w:p>
      <w:r>
        <w:rPr>
          <w:b w:val="0"/>
          <w:sz w:val="21"/>
        </w:rPr>
        <w:t xml:space="preserve">其本质即"底线成本 + 风险溢价"。本文的 </w:t>
      </w:r>
      <w:r>
        <w:rPr>
          <w:rFonts w:ascii="Consolas" w:hAnsi="Consolas"/>
          <w:b w:val="0"/>
          <w:sz w:val="21"/>
        </w:rPr>
        <w:t>max(FTP, FTP+Π)</w:t>
      </w:r>
      <w:r>
        <w:rPr>
          <w:b w:val="0"/>
          <w:sz w:val="21"/>
        </w:rPr>
        <w:t xml:space="preserve"> 是该思想在科技小微场景下的简化与落地：FTP 为资金成本底线，$\Pi$ 为风险溢价综合项。</w:t>
      </w:r>
    </w:p>
    <w:p>
      <w:pPr>
        <w:pStyle w:val="Heading3"/>
      </w:pPr>
      <w:r>
        <w:rPr>
          <w:rFonts w:ascii="Microsoft YaHei" w:hAnsi="Microsoft YaHei"/>
        </w:rPr>
        <w:t>2.4 科技金融专项政策依据</w:t>
      </w:r>
    </w:p>
    <w:p>
      <w:r>
        <w:rPr>
          <w:b w:val="0"/>
          <w:sz w:val="21"/>
        </w:rPr>
        <w:t>财政部等四部门《支持科技创新专项担保计划》（2024）明确指出，科技型企业"知识产权价值高，但因缺少有效抵质押物、难以满足信贷条件"[2]。这从政策层面佐证了两个设计要点：</w:t>
      </w:r>
      <w:r>
        <w:rPr>
          <w:b/>
          <w:sz w:val="21"/>
        </w:rPr>
        <w:t>（1）担保方式应纳入知识产权质押与政府风险补偿；（2）"看不清"是科技小微的固有特征，需以信息不确定性溢价补偿</w:t>
      </w:r>
      <w:r>
        <w:rPr>
          <w:b w:val="0"/>
          <w:sz w:val="21"/>
        </w:rPr>
        <w:t>。</w:t>
      </w:r>
    </w:p>
    <w:p>
      <w:r>
        <w:rPr>
          <w:b w:val="0"/>
          <w:sz w:val="21"/>
        </w:rPr>
        <w:t>---</w:t>
      </w:r>
    </w:p>
    <w:p>
      <w:pPr>
        <w:pStyle w:val="Heading2"/>
      </w:pPr>
      <w:r>
        <w:rPr>
          <w:rFonts w:ascii="Microsoft YaHei" w:hAnsi="Microsoft YaHei"/>
        </w:rPr>
        <w:t>三、定价逻辑与因子体系</w:t>
      </w:r>
    </w:p>
    <w:p>
      <w:pPr>
        <w:pStyle w:val="Heading3"/>
      </w:pPr>
      <w:r>
        <w:rPr>
          <w:rFonts w:ascii="Microsoft YaHei" w:hAnsi="Microsoft YaHei"/>
        </w:rPr>
        <w:t>3.1 定价总逻辑</w:t>
      </w:r>
    </w:p>
    <w:p>
      <w:r>
        <w:rPr>
          <w:b w:val="0"/>
          <w:sz w:val="21"/>
        </w:rPr>
        <w:t>$$R_i = \max\Bigl\{\,FTP,\; FTP + \Pi_i\,\Bigr\} \tag{2}$$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FTP 底线</w:t>
      </w:r>
      <w:r>
        <w:rPr>
          <w:b w:val="0"/>
          <w:sz w:val="21"/>
        </w:rPr>
        <w:t>：内部资金转移价格（资金成本）。实务中底线还应覆盖运营成本与目标基础净息差，故记</w:t>
      </w:r>
    </w:p>
    <w:p>
      <w:r>
        <w:rPr>
          <w:b w:val="0"/>
          <w:sz w:val="21"/>
        </w:rPr>
        <w:t xml:space="preserve">  $$R^{floor} = FTP + c_{op} + \rho_0 \tag{3}$$</w:t>
      </w:r>
    </w:p>
    <w:p>
      <w:r>
        <w:rPr>
          <w:b w:val="0"/>
          <w:sz w:val="21"/>
        </w:rPr>
        <w:t xml:space="preserve">  下文以 $R^{floor}$ 作为式 (2) 中的"FTP"执行（即利率永不低于成本线）。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风险溢价 $\Pi_i$</w:t>
      </w:r>
      <w:r>
        <w:rPr>
          <w:b w:val="0"/>
          <w:sz w:val="21"/>
        </w:rPr>
        <w:t xml:space="preserve">：由八类因子综合决定，是本文核心。当客户综合贡献极高、风险极低时 $\Pi_i&lt;0$，此时 </w:t>
      </w:r>
      <w:r>
        <w:rPr>
          <w:rFonts w:ascii="Consolas" w:hAnsi="Consolas"/>
          <w:b w:val="0"/>
          <w:sz w:val="21"/>
        </w:rPr>
        <w:t>max</w:t>
      </w:r>
      <w:r>
        <w:rPr>
          <w:b w:val="0"/>
          <w:sz w:val="21"/>
        </w:rPr>
        <w:t xml:space="preserve"> 将其拉回底线价——</w:t>
      </w:r>
      <w:r>
        <w:rPr>
          <w:b/>
          <w:sz w:val="21"/>
        </w:rPr>
        <w:t>银行宁愿以成本价留住战略客户</w:t>
      </w:r>
      <w:r>
        <w:rPr>
          <w:b w:val="0"/>
          <w:sz w:val="21"/>
        </w:rPr>
        <w:t>，即"绑不牢"的定价实现。</w:t>
      </w:r>
    </w:p>
    <w:p>
      <w:pPr>
        <w:pStyle w:val="Heading3"/>
      </w:pPr>
      <w:r>
        <w:rPr>
          <w:rFonts w:ascii="Microsoft YaHei" w:hAnsi="Microsoft YaHei"/>
        </w:rPr>
        <w:t>3.2 八类因子 → 风险溢价五分量 → "三难"映射</w:t>
      </w:r>
    </w:p>
    <w:p>
      <w:r>
        <w:rPr>
          <w:b w:val="0"/>
          <w:sz w:val="21"/>
        </w:rPr>
        <w:t>| 银行考量因子 | 模型分量 | 作用方向 | 对应困境 | 代理变量（示例） |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--------------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----------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----------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----------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------------------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显性财务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$\Pi^{EL}$（PD/LGD）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资产负债率↑、现金流↓风险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定不准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资产负债率、流动比率、研发强度、营收增速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隐性偿债能力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$\Pi^{EL}$（PD）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现金流覆盖↓、逾期↑风险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看不清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经营现金流/负债、创始人经验、逾期次数、股权稳定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经营周期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$\Pi^{EL}$（PD）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早期阶段风险更高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定不准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生命周期阶段（种子/初创/成长/成熟）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担保方式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$\Pi^{EL}$（LGD↓）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抵质押/知产质押/政府背书↓损失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定不准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抵质押覆盖率、专利质押、政府风险补偿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结算流水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$\Pi^{UNC}$↓、$S$↑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流水↑→更透明、更粘性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看不清/绑不牢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月结算流水、归行率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客户综合贡献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$\Pi^{STR}$（折扣）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贡献↑→主动让利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绑不牢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存款沉淀、交叉销售、合作年限、供应链位置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区域环境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$\Pi^{REG}$（折扣）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竞争↑→降价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绑不牢/定不准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区域竞争强度</w:t>
            </w:r>
          </w:p>
        </w:tc>
      </w:tr>
    </w:tbl>
    <w:p>
      <w:r>
        <w:rPr>
          <w:b w:val="0"/>
          <w:sz w:val="21"/>
        </w:rPr>
        <w:t>---</w:t>
      </w:r>
    </w:p>
    <w:p>
      <w:pPr>
        <w:pStyle w:val="Heading2"/>
      </w:pPr>
      <w:r>
        <w:rPr>
          <w:rFonts w:ascii="Microsoft YaHei" w:hAnsi="Microsoft YaHei"/>
        </w:rPr>
        <w:t>四、数据合成方案</w:t>
      </w:r>
    </w:p>
    <w:p>
      <w:r>
        <w:rPr>
          <w:b w:val="0"/>
          <w:sz w:val="21"/>
        </w:rPr>
        <w:t xml:space="preserve">由于科技型小微企业精细违约数据不易获取（老师建议可自行构造），本文构造一份 </w:t>
      </w:r>
      <w:r>
        <w:rPr>
          <w:b/>
          <w:sz w:val="21"/>
        </w:rPr>
        <w:t>带违约标签的仿真数据集</w:t>
      </w:r>
      <w:r>
        <w:rPr>
          <w:b w:val="0"/>
          <w:sz w:val="21"/>
        </w:rPr>
        <w:t>（N=3000），遵循以下原则以保证可解释性与可复现性：</w:t>
      </w:r>
    </w:p>
    <w:p>
      <w:r>
        <w:rPr>
          <w:b w:val="0"/>
          <w:sz w:val="21"/>
        </w:rPr>
        <w:t xml:space="preserve">1. </w:t>
      </w:r>
      <w:r>
        <w:rPr>
          <w:b/>
          <w:sz w:val="21"/>
        </w:rPr>
        <w:t>特征相关性</w:t>
      </w:r>
      <w:r>
        <w:rPr>
          <w:b w:val="0"/>
          <w:sz w:val="21"/>
        </w:rPr>
        <w:t>：八类因子按现实分布生成（如资产负债率为截断正态、逾期次数为泊松、专利数为泊松、信息质量为 Beta 分布），并非独立随机。</w:t>
      </w:r>
    </w:p>
    <w:p>
      <w:r>
        <w:rPr>
          <w:b w:val="0"/>
          <w:sz w:val="21"/>
        </w:rPr>
        <w:t xml:space="preserve">2. </w:t>
      </w:r>
      <w:r>
        <w:rPr>
          <w:b/>
          <w:sz w:val="21"/>
        </w:rPr>
        <w:t>潜在违约过程</w:t>
      </w:r>
      <w:r>
        <w:rPr>
          <w:b w:val="0"/>
          <w:sz w:val="21"/>
        </w:rPr>
        <w:t xml:space="preserve">：以线性组合 + 交互项 + 噪声驱动 Logit，再经二分搜索将整体违约率校准至约 </w:t>
      </w:r>
      <w:r>
        <w:rPr>
          <w:b/>
          <w:sz w:val="21"/>
        </w:rPr>
        <w:t>12.3%</w:t>
      </w:r>
      <w:r>
        <w:rPr>
          <w:b w:val="0"/>
          <w:sz w:val="21"/>
        </w:rPr>
        <w:t>（贴近现实科技小微不良水平）。</w:t>
      </w:r>
    </w:p>
    <w:p>
      <w:r>
        <w:rPr>
          <w:b w:val="0"/>
          <w:sz w:val="21"/>
        </w:rPr>
        <w:t xml:space="preserve">3. </w:t>
      </w:r>
      <w:r>
        <w:rPr>
          <w:b/>
          <w:sz w:val="21"/>
        </w:rPr>
        <w:t>"看不清"机制</w:t>
      </w:r>
      <w:r>
        <w:rPr>
          <w:b w:val="0"/>
          <w:sz w:val="21"/>
        </w:rPr>
        <w:t>：以</w:t>
      </w:r>
      <w:r>
        <w:rPr>
          <w:b/>
          <w:sz w:val="21"/>
        </w:rPr>
        <w:t>信息质量指数 $q$</w:t>
      </w:r>
      <w:r>
        <w:rPr>
          <w:b w:val="0"/>
          <w:sz w:val="21"/>
        </w:rPr>
        <w:t>（由结算流水与财务规范化合成）对软信息特征叠加观测噪声，使低透明度企业的隐性偿债能力被"看不清"。</w:t>
      </w:r>
    </w:p>
    <w:p>
      <w:r>
        <w:rPr>
          <w:b w:val="0"/>
          <w:sz w:val="21"/>
        </w:rPr>
        <w:t xml:space="preserve">4. </w:t>
      </w:r>
      <w:r>
        <w:rPr>
          <w:b/>
          <w:sz w:val="21"/>
        </w:rPr>
        <w:t>真值定价基准</w:t>
      </w:r>
      <w:r>
        <w:rPr>
          <w:b w:val="0"/>
          <w:sz w:val="21"/>
        </w:rPr>
        <w:t>：按式 (2) 的分解结构生成"真实"执行利率，作为回测标尺。</w:t>
      </w:r>
    </w:p>
    <w:p>
      <w:r>
        <w:rPr>
          <w:b w:val="0"/>
          <w:i/>
          <w:color w:val="5A5A5A"/>
          <w:sz w:val="20"/>
        </w:rPr>
        <w:t>说明：仿真数据用于**方法论证与参数校准演示**。实际落地时，将 $p_{true}$ 替换为行内历史违约样本、$R_{true}$ 替换为实际执行利率即可完成真实回测。</w:t>
      </w:r>
    </w:p>
    <w:p>
      <w:r>
        <w:rPr>
          <w:b w:val="0"/>
          <w:sz w:val="21"/>
        </w:rPr>
        <w:t>---</w:t>
      </w:r>
    </w:p>
    <w:p>
      <w:pPr>
        <w:pStyle w:val="Heading2"/>
      </w:pPr>
      <w:r>
        <w:rPr>
          <w:rFonts w:ascii="Microsoft YaHei" w:hAnsi="Microsoft YaHei"/>
        </w:rPr>
        <w:t>五、模型构建：从理想化到去理想化的逐步推导</w:t>
      </w:r>
    </w:p>
    <w:p>
      <w:r>
        <w:rPr>
          <w:b w:val="0"/>
          <w:sz w:val="21"/>
        </w:rPr>
        <w:t>本节是全文核心。我们保留式 (1) 的简洁精神，但将右端改造为风险理论驱动的综合溢价 $\Pi$。</w:t>
      </w:r>
    </w:p>
    <w:p>
      <w:pPr>
        <w:pStyle w:val="Heading3"/>
      </w:pPr>
      <w:r>
        <w:rPr>
          <w:rFonts w:ascii="Microsoft YaHei" w:hAnsi="Microsoft YaHei"/>
        </w:rPr>
        <w:t>5.1 第一步：以"期望损失"替代朴素因子得分（修正 A5）</w:t>
      </w:r>
    </w:p>
    <w:p>
      <w:r>
        <w:rPr>
          <w:b w:val="0"/>
          <w:sz w:val="21"/>
        </w:rPr>
        <w:t>将 $\sum \alpha_i F_i$ 中的风险部分替换为违约概率与损失率的乘积：</w:t>
      </w:r>
    </w:p>
    <w:p>
      <w:r>
        <w:rPr>
          <w:b w:val="0"/>
          <w:sz w:val="21"/>
        </w:rPr>
        <w:t>$$\Pi^{EL}_i = PD_i \times LGD_i \tag{4}$$</w:t>
      </w:r>
    </w:p>
    <w:p>
      <w:r>
        <w:rPr>
          <w:b w:val="0"/>
          <w:sz w:val="21"/>
        </w:rPr>
        <w:t xml:space="preserve">其中违约概率由 </w:t>
      </w:r>
      <w:r>
        <w:rPr>
          <w:b/>
          <w:sz w:val="21"/>
        </w:rPr>
        <w:t>Logistic 模型</w:t>
      </w:r>
      <w:r>
        <w:rPr>
          <w:b w:val="0"/>
          <w:sz w:val="21"/>
        </w:rPr>
        <w:t xml:space="preserve"> 估计（显式给出概率，修正 A5）：</w:t>
      </w:r>
    </w:p>
    <w:p>
      <w:r>
        <w:rPr>
          <w:b w:val="0"/>
          <w:sz w:val="21"/>
        </w:rPr>
        <w:t>$$PD_i = \Lambda\!\left(\beta_0 + \sum_{j}\beta_j x^{(risk)}_{ij} + \sum_{k}\gamma_k\,I_{ijk}\right),\qquad \Lambda(z)=\frac{1}{1+e^{-z}} \tag{5}$$</w:t>
      </w:r>
    </w:p>
    <w:p>
      <w:r>
        <w:rPr>
          <w:b w:val="0"/>
          <w:sz w:val="21"/>
        </w:rPr>
        <w:t>- $x^{(risk)}$：来自行业属性、显性财务、隐性偿债能力、经营周期、担保方式的可观测特征；</w:t>
      </w:r>
    </w:p>
    <w:p>
      <w:r>
        <w:rPr>
          <w:b w:val="0"/>
          <w:sz w:val="21"/>
        </w:rPr>
        <w:t>- $I_{ijk}$：</w:t>
      </w:r>
      <w:r>
        <w:rPr>
          <w:b/>
          <w:sz w:val="21"/>
        </w:rPr>
        <w:t>交互项</w:t>
      </w:r>
      <w:r>
        <w:rPr>
          <w:b w:val="0"/>
          <w:sz w:val="21"/>
        </w:rPr>
        <w:t xml:space="preserve">，如 </w:t>
      </w:r>
      <w:r>
        <w:rPr>
          <w:rFonts w:ascii="Consolas" w:hAnsi="Consolas"/>
          <w:b w:val="0"/>
          <w:sz w:val="21"/>
        </w:rPr>
        <w:t>高研发×正现金流</w:t>
      </w:r>
      <w:r>
        <w:rPr>
          <w:b w:val="0"/>
          <w:sz w:val="21"/>
        </w:rPr>
        <w:t>、</w:t>
      </w:r>
      <w:r>
        <w:rPr>
          <w:rFonts w:ascii="Consolas" w:hAnsi="Consolas"/>
          <w:b w:val="0"/>
          <w:sz w:val="21"/>
        </w:rPr>
        <w:t>高杠杆×低流动</w:t>
      </w:r>
      <w:r>
        <w:rPr>
          <w:b w:val="0"/>
          <w:sz w:val="21"/>
        </w:rPr>
        <w:t>、</w:t>
      </w:r>
      <w:r>
        <w:rPr>
          <w:rFonts w:ascii="Consolas" w:hAnsi="Consolas"/>
          <w:b w:val="0"/>
          <w:sz w:val="21"/>
        </w:rPr>
        <w:t>专利×战略赛道</w:t>
      </w:r>
      <w:r>
        <w:rPr>
          <w:b w:val="0"/>
          <w:sz w:val="21"/>
        </w:rPr>
        <w:t>，直接修正假设 A3（线性可加失效）。</w:t>
      </w:r>
    </w:p>
    <w:p>
      <w:r>
        <w:rPr>
          <w:b w:val="0"/>
          <w:sz w:val="21"/>
        </w:rPr>
        <w:t>违约损失率由</w:t>
      </w:r>
      <w:r>
        <w:rPr>
          <w:b/>
          <w:sz w:val="21"/>
        </w:rPr>
        <w:t>担保方式</w:t>
      </w:r>
      <w:r>
        <w:rPr>
          <w:b w:val="0"/>
          <w:sz w:val="21"/>
        </w:rPr>
        <w:t>决定（修正抵押不足的痛点）：</w:t>
      </w:r>
    </w:p>
    <w:p>
      <w:r>
        <w:rPr>
          <w:b w:val="0"/>
          <w:sz w:val="21"/>
        </w:rPr>
        <w:t>$$LGD_i = LGD_0\bigl(1 - \theta_c Coll_i - \theta_g Gov_i - \theta_p PatentPledge_i\bigr) \tag{6}$$</w:t>
      </w:r>
    </w:p>
    <w:p>
      <w:r>
        <w:rPr>
          <w:b w:val="0"/>
          <w:sz w:val="21"/>
        </w:rPr>
        <w:t>即抵质押覆盖率、政府风险补偿、知识产权质押三者越低，LGD 越高。</w:t>
      </w:r>
    </w:p>
    <w:p>
      <w:pPr>
        <w:pStyle w:val="Heading3"/>
      </w:pPr>
      <w:r>
        <w:rPr>
          <w:rFonts w:ascii="Microsoft YaHei" w:hAnsi="Microsoft YaHei"/>
        </w:rPr>
        <w:t>5.2 第二步：加入资本占用（非预期损失，凸性修正，修正 A3/非线性）</w:t>
      </w:r>
    </w:p>
    <w:p>
      <w:r>
        <w:rPr>
          <w:b w:val="0"/>
          <w:sz w:val="21"/>
        </w:rPr>
        <w:t>仅用期望损失会低估尾部风险。以 IRB 风险权重思想，引入与 $\sqrt{PD(1-PD)}$ 成正比的资本占用项，使价格在极端风险区上升更快（凸性）：</w:t>
      </w:r>
    </w:p>
    <w:p>
      <w:r>
        <w:rPr>
          <w:b w:val="0"/>
          <w:sz w:val="21"/>
        </w:rPr>
        <w:t>$$\Pi^{UL}_i = \kappa\,\sqrt{PD_i(1-PD_i)} \tag{7}$$</w:t>
      </w:r>
    </w:p>
    <w:p>
      <w:pPr>
        <w:pStyle w:val="Heading3"/>
      </w:pPr>
      <w:r>
        <w:rPr>
          <w:rFonts w:ascii="Microsoft YaHei" w:hAnsi="Microsoft YaHei"/>
        </w:rPr>
        <w:t>5.3 第三步：信息不确定性溢价（修正 A1/A6，"看不清"）</w:t>
      </w:r>
    </w:p>
    <w:p>
      <w:r>
        <w:rPr>
          <w:b w:val="0"/>
          <w:sz w:val="21"/>
        </w:rPr>
        <w:t>对信息质量低的企业，其 PD/LGD 估计本身不可靠，需额外风险补偿。以信息质量指数 $q_i\in[0,1]$（由结算流水、财务规范化合成）量化：</w:t>
      </w:r>
    </w:p>
    <w:p>
      <w:r>
        <w:rPr>
          <w:b w:val="0"/>
          <w:sz w:val="21"/>
        </w:rPr>
        <w:t>$$\Pi^{UNC}_i = \lambda\,(1-q_i)\,\bigl(\Pi^{EL}_i + \Pi^{UL}_i\bigr) \tag{8}$$</w:t>
      </w:r>
    </w:p>
    <w:p>
      <w:r>
        <w:rPr>
          <w:b w:val="0"/>
          <w:sz w:val="21"/>
        </w:rPr>
        <w:t>$q_i$ 越低（越"看不清"），溢价越高。这把原公式不可观测的 A1、A6 显性化。</w:t>
      </w:r>
    </w:p>
    <w:p>
      <w:pPr>
        <w:pStyle w:val="Heading3"/>
      </w:pPr>
      <w:r>
        <w:rPr>
          <w:rFonts w:ascii="Microsoft YaHei" w:hAnsi="Microsoft YaHei"/>
        </w:rPr>
        <w:t>5.4 第四步：客户综合贡献折扣（修正 A4，"绑不牢"）</w:t>
      </w:r>
    </w:p>
    <w:p>
      <w:r>
        <w:rPr>
          <w:b w:val="0"/>
          <w:sz w:val="21"/>
        </w:rPr>
        <w:t>对高综合贡献客户主动让利，以价格"绑牢"：</w:t>
      </w:r>
    </w:p>
    <w:p>
      <w:r>
        <w:rPr>
          <w:b w:val="0"/>
          <w:sz w:val="21"/>
        </w:rPr>
        <w:t>$$\Pi^{STR}_i = -\delta\,S_i,\qquad S_i = w_1 Dep_i + w_2 Xsell_i + w_3 RelYr_i + w_4 Supply_i + w_5 Settle_i \tag{9}$$</w:t>
      </w:r>
    </w:p>
    <w:p>
      <w:r>
        <w:rPr>
          <w:b w:val="0"/>
          <w:sz w:val="21"/>
        </w:rPr>
        <w:t>$S_i$ 综合存款沉淀、交叉销售、合作年限、供应链位置、结算流水。</w:t>
      </w:r>
    </w:p>
    <w:p>
      <w:pPr>
        <w:pStyle w:val="Heading3"/>
      </w:pPr>
      <w:r>
        <w:rPr>
          <w:rFonts w:ascii="Microsoft YaHei" w:hAnsi="Microsoft YaHei"/>
        </w:rPr>
        <w:t>5.5 第五步：区域环境折扣（修正 A4）</w:t>
      </w:r>
    </w:p>
    <w:p>
      <w:r>
        <w:rPr>
          <w:b w:val="0"/>
          <w:sz w:val="21"/>
        </w:rPr>
        <w:t>区域竞争越激烈，越需降价获客：</w:t>
      </w:r>
    </w:p>
    <w:p>
      <w:r>
        <w:rPr>
          <w:b w:val="0"/>
          <w:sz w:val="21"/>
        </w:rPr>
        <w:t>$$\Pi^{REG}_i = -\gamma\,C_i \tag{10}$$</w:t>
      </w:r>
    </w:p>
    <w:p>
      <w:r>
        <w:rPr>
          <w:b w:val="0"/>
          <w:sz w:val="21"/>
        </w:rPr>
        <w:t>其中 $C_i$ 为区域竞争强度。</w:t>
      </w:r>
    </w:p>
    <w:p>
      <w:pPr>
        <w:pStyle w:val="Heading3"/>
      </w:pPr>
      <w:r>
        <w:rPr>
          <w:rFonts w:ascii="Microsoft YaHei" w:hAnsi="Microsoft YaHei"/>
        </w:rPr>
        <w:t>5.6 综合定价公式（去理想化最终式）</w:t>
      </w:r>
    </w:p>
    <w:p>
      <w:r>
        <w:rPr>
          <w:b w:val="0"/>
          <w:sz w:val="21"/>
        </w:rPr>
        <w:t>汇总式 (4)–(10)，得到：</w:t>
      </w:r>
    </w:p>
    <w:p>
      <w:r>
        <w:rPr>
          <w:b w:val="0"/>
          <w:sz w:val="21"/>
        </w:rPr>
        <w:t>$$</w:t>
      </w:r>
    </w:p>
    <w:p>
      <w:r>
        <w:rPr>
          <w:b w:val="0"/>
          <w:sz w:val="21"/>
        </w:rPr>
        <w:t>\boxed{</w:t>
      </w:r>
    </w:p>
    <w:p>
      <w:r>
        <w:rPr>
          <w:b w:val="0"/>
          <w:sz w:val="21"/>
        </w:rPr>
        <w:t>R_i = \max\Bigl\{\,R^{floor},\;</w:t>
      </w:r>
    </w:p>
    <w:p>
      <w:r>
        <w:rPr>
          <w:b w:val="0"/>
          <w:sz w:val="21"/>
        </w:rPr>
        <w:t>R^{floor}</w:t>
      </w:r>
    </w:p>
    <w:p>
      <w:r>
        <w:rPr>
          <w:b w:val="0"/>
          <w:sz w:val="21"/>
        </w:rPr>
        <w:t>+ \underbrace{PD_i LGD_i}_{\Pi^{EL}}</w:t>
      </w:r>
    </w:p>
    <w:p>
      <w:r>
        <w:rPr>
          <w:b w:val="0"/>
          <w:sz w:val="21"/>
        </w:rPr>
        <w:t>+ \underbrace{\kappa\sqrt{PD_i(1-PD_i)}}_{\Pi^{UL}}</w:t>
      </w:r>
    </w:p>
    <w:p>
      <w:r>
        <w:rPr>
          <w:b w:val="0"/>
          <w:sz w:val="21"/>
        </w:rPr>
        <w:t>+ \underbrace{\lambda(1-q_i)(PD_i LGD_i + \kappa\sqrt{PD_i(1-PD_i)})}_{\Pi^{UNC}}</w:t>
      </w:r>
    </w:p>
    <w:p>
      <w:r>
        <w:rPr>
          <w:b w:val="0"/>
          <w:sz w:val="21"/>
        </w:rPr>
        <w:t>\;-\; \underbrace{\delta S_i}_{\Pi^{STR}}</w:t>
      </w:r>
    </w:p>
    <w:p>
      <w:r>
        <w:rPr>
          <w:b w:val="0"/>
          <w:sz w:val="21"/>
        </w:rPr>
        <w:t>\;-\; \underbrace{\gamma C_i}_{\Pi^{REG}}</w:t>
      </w:r>
    </w:p>
    <w:p>
      <w:r>
        <w:rPr>
          <w:b w:val="0"/>
          <w:sz w:val="21"/>
        </w:rPr>
        <w:t>\,\Bigr\}</w:t>
      </w:r>
    </w:p>
    <w:p>
      <w:r>
        <w:rPr>
          <w:b w:val="0"/>
          <w:sz w:val="21"/>
        </w:rPr>
        <w:t>} \tag{11}</w:t>
      </w:r>
    </w:p>
    <w:p>
      <w:r>
        <w:rPr>
          <w:b w:val="0"/>
          <w:sz w:val="21"/>
        </w:rPr>
        <w:t>$$</w:t>
      </w:r>
    </w:p>
    <w:p>
      <w:r>
        <w:rPr>
          <w:b w:val="0"/>
          <w:sz w:val="21"/>
        </w:rPr>
        <w:t>其中 $R^{floor}=FTP+c_{op}+\rho_0$，$PD_i$ 由式 (5)（含交互项）估计，$LGD_i$ 由式 (6) 估计。</w:t>
      </w:r>
    </w:p>
    <w:p>
      <w:pPr>
        <w:pStyle w:val="Heading3"/>
      </w:pPr>
      <w:r>
        <w:rPr>
          <w:rFonts w:ascii="Microsoft YaHei" w:hAnsi="Microsoft YaHei"/>
        </w:rPr>
        <w:t>5.7 理想化假设 → 本模型修正对照</w:t>
      </w:r>
    </w:p>
    <w:p>
      <w:r>
        <w:rPr>
          <w:b w:val="0"/>
          <w:sz w:val="21"/>
        </w:rPr>
        <w:t>| 原假设 | 本模型修正 | 对应式子 |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--------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-----------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A2 权重为常数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PD 由数据驱动的逻辑回归估计 $\beta_j$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A3 因子独立可加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加入交互项 $I_{ijk}$ 与凸性资本项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(5)(7)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A4 $\varepsilon$ 不可量化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显式分解为战略折扣与区域折扣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(9)(10)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A5 无显式 PD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Logistic 概率模型驱动定价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A6 无不确定性溢价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信息透明度越低溢价越高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(8)</w:t>
            </w:r>
          </w:p>
        </w:tc>
      </w:tr>
    </w:tbl>
    <w:p>
      <w:r>
        <w:rPr>
          <w:b w:val="0"/>
          <w:sz w:val="21"/>
        </w:rPr>
        <w:t>---</w:t>
      </w:r>
    </w:p>
    <w:p>
      <w:pPr>
        <w:pStyle w:val="Heading2"/>
      </w:pPr>
      <w:r>
        <w:rPr>
          <w:rFonts w:ascii="Microsoft YaHei" w:hAnsi="Microsoft YaHei"/>
        </w:rPr>
        <w:t>六、校准与回测结果</w:t>
      </w:r>
    </w:p>
    <w:p>
      <w:r>
        <w:rPr>
          <w:b w:val="0"/>
          <w:sz w:val="21"/>
        </w:rPr>
        <w:t>按第四章方案生成 N=3000 家科技小微企业的仿真样本（整体违约率 12.3%），以 65% 训练、35% 测试。回测结果如下。</w:t>
      </w:r>
    </w:p>
    <w:p>
      <w:pPr>
        <w:pStyle w:val="Heading3"/>
      </w:pPr>
      <w:r>
        <w:rPr>
          <w:rFonts w:ascii="Microsoft YaHei" w:hAnsi="Microsoft YaHei"/>
        </w:rPr>
        <w:t>6.1 PD 预测能力（"看不清→看得清"）</w:t>
      </w:r>
    </w:p>
    <w:p>
      <w:r>
        <w:rPr>
          <w:b w:val="0"/>
          <w:sz w:val="21"/>
        </w:rPr>
        <w:t xml:space="preserve">测试集 </w:t>
      </w:r>
      <w:r>
        <w:rPr>
          <w:b/>
          <w:sz w:val="21"/>
        </w:rPr>
        <w:t>AUC = 0.873，KS = 0.625</w:t>
      </w:r>
      <w:r>
        <w:rPr>
          <w:b w:val="0"/>
          <w:sz w:val="21"/>
        </w:rPr>
        <w:t>，判别能力良好（KS&gt;0.6 为强区分度）。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color w:val="6E6E6E"/>
          <w:sz w:val="18"/>
        </w:rPr>
        <w:t>ROC曲线</w:t>
      </w:r>
    </w:p>
    <w:p>
      <w:pPr>
        <w:pStyle w:val="Heading3"/>
      </w:pPr>
      <w:r>
        <w:rPr>
          <w:rFonts w:ascii="Microsoft YaHei" w:hAnsi="Microsoft YaHei"/>
        </w:rPr>
        <w:t>6.2 校准检验</w:t>
      </w:r>
    </w:p>
    <w:p>
      <w:r>
        <w:rPr>
          <w:b w:val="0"/>
          <w:sz w:val="21"/>
        </w:rPr>
        <w:t>预测 PD 与实际违约率高度吻合，说明模型不只排序好、且概率"量得准"（修正 A5、定不准）。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alib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color w:val="6E6E6E"/>
          <w:sz w:val="18"/>
        </w:rPr>
        <w:t>校准曲线</w:t>
      </w:r>
    </w:p>
    <w:p>
      <w:pPr>
        <w:pStyle w:val="Heading3"/>
      </w:pPr>
      <w:r>
        <w:rPr>
          <w:rFonts w:ascii="Microsoft YaHei" w:hAnsi="Microsoft YaHei"/>
        </w:rPr>
        <w:t>6.3 风险分层定价效果</w:t>
      </w:r>
    </w:p>
    <w:p>
      <w:r>
        <w:rPr>
          <w:b w:val="0"/>
          <w:sz w:val="21"/>
        </w:rPr>
        <w:t>按真实违约概率分四层，去理想化模型定价紧贴真实价格，且随风险由 4.8% 升至 18.4%；而理想化朴素模型恒在 4–5%，</w:t>
      </w:r>
      <w:r>
        <w:rPr>
          <w:b/>
          <w:sz w:val="21"/>
        </w:rPr>
        <w:t>对高风险客户严重低估</w:t>
      </w:r>
      <w:r>
        <w:rPr>
          <w:b w:val="0"/>
          <w:sz w:val="21"/>
        </w:rPr>
        <w:t>。黑色虚线为 FTP 底线。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ier_pric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color w:val="6E6E6E"/>
          <w:sz w:val="18"/>
        </w:rPr>
        <w:t>风险分层定价</w:t>
      </w:r>
    </w:p>
    <w:p>
      <w:r>
        <w:rPr>
          <w:b w:val="0"/>
          <w:sz w:val="21"/>
        </w:rPr>
        <w:t>| 风险层 | 样本数 | 实际违约率 | 真实价 | 去理想化模型 | 理想化朴素模型 |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--------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--------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-----------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--------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--------------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----------------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中低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262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2.67%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5.79%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6.14%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4.36%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中高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262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4.58%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8.49%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8.82%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4.60%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263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35.36%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18.52%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18.41%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4.96%</w:t>
            </w:r>
          </w:p>
        </w:tc>
      </w:tr>
    </w:tbl>
    <w:p>
      <w:r>
        <w:rPr>
          <w:b w:val="0"/>
          <w:i/>
          <w:color w:val="5A5A5A"/>
          <w:sz w:val="20"/>
        </w:rPr>
        <w:t>高风险层真实利率 18.5%，朴素模型仅 5.0% → **低估约 1356 个基点**，违背风险覆盖原则。</w:t>
      </w:r>
    </w:p>
    <w:p>
      <w:pPr>
        <w:pStyle w:val="Heading3"/>
      </w:pPr>
      <w:r>
        <w:rPr>
          <w:rFonts w:ascii="Microsoft YaHei" w:hAnsi="Microsoft YaHei"/>
        </w:rPr>
        <w:t>6.4 与理想化模型的误差对比</w:t>
      </w:r>
    </w:p>
    <w:p>
      <w:r>
        <w:rPr>
          <w:b w:val="0"/>
          <w:sz w:val="21"/>
        </w:rPr>
        <w:t xml:space="preserve">以"真实价格"为基准，去理想化模型的均方误差（MSE）为 </w:t>
      </w:r>
      <w:r>
        <w:rPr>
          <w:b/>
          <w:sz w:val="21"/>
        </w:rPr>
        <w:t>260.85×10⁻⁶</w:t>
      </w:r>
      <w:r>
        <w:rPr>
          <w:b w:val="0"/>
          <w:sz w:val="21"/>
        </w:rPr>
        <w:t xml:space="preserve">，理想化朴素模型为 </w:t>
      </w:r>
      <w:r>
        <w:rPr>
          <w:b/>
          <w:sz w:val="21"/>
        </w:rPr>
        <w:t>6483.24×10⁻⁶</w:t>
      </w:r>
      <w:r>
        <w:rPr>
          <w:b w:val="0"/>
          <w:sz w:val="21"/>
        </w:rPr>
        <w:t xml:space="preserve">，前者仅为后者的约 </w:t>
      </w:r>
      <w:r>
        <w:rPr>
          <w:b/>
          <w:sz w:val="21"/>
        </w:rPr>
        <w:t>1/25</w:t>
      </w:r>
      <w:r>
        <w:rPr>
          <w:b w:val="0"/>
          <w:sz w:val="21"/>
        </w:rPr>
        <w:t>，证明去理想化显著改善定价精度（修正 A2–A5）。</w:t>
      </w:r>
    </w:p>
    <w:p>
      <w:pPr>
        <w:pStyle w:val="Heading3"/>
      </w:pPr>
      <w:r>
        <w:rPr>
          <w:rFonts w:ascii="Microsoft YaHei" w:hAnsi="Microsoft YaHei"/>
        </w:rPr>
        <w:t>6.5 "看不清"的量化体现</w:t>
      </w:r>
    </w:p>
    <w:p>
      <w:r>
        <w:rPr>
          <w:b w:val="0"/>
          <w:sz w:val="21"/>
        </w:rPr>
        <w:t>信息质量越低，模型价与真实价偏差越大（图 5），不确定性溢价 $\Pi^{UNC}$ 正是为此补偿；而朴素模型价格与信息质量无关，对不透明企业同样无能为力。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uncertain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color w:val="6E6E6E"/>
          <w:sz w:val="18"/>
        </w:rPr>
        <w:t>不确定性溢价</w:t>
      </w:r>
    </w:p>
    <w:p>
      <w:pPr>
        <w:pStyle w:val="Heading3"/>
      </w:pPr>
      <w:r>
        <w:rPr>
          <w:rFonts w:ascii="Microsoft YaHei" w:hAnsi="Microsoft YaHei"/>
        </w:rPr>
        <w:t>6.6 "绑不牢"的定价实现：FTP 地板价客户</w:t>
      </w:r>
    </w:p>
    <w:p>
      <w:r>
        <w:rPr>
          <w:b w:val="0"/>
          <w:sz w:val="21"/>
        </w:rPr>
        <w:t xml:space="preserve">回测中 </w:t>
      </w:r>
      <w:r>
        <w:rPr>
          <w:b/>
          <w:sz w:val="21"/>
        </w:rPr>
        <w:t>88 家（8.4%）</w:t>
      </w:r>
      <w:r>
        <w:rPr>
          <w:b w:val="0"/>
          <w:sz w:val="21"/>
        </w:rPr>
        <w:t xml:space="preserve"> 客户因综合贡献高、风险低，其溢价 $\Pi_i&lt;0$，被 </w:t>
      </w:r>
      <w:r>
        <w:rPr>
          <w:rFonts w:ascii="Consolas" w:hAnsi="Consolas"/>
          <w:b w:val="0"/>
          <w:sz w:val="21"/>
        </w:rPr>
        <w:t>max</w:t>
      </w:r>
      <w:r>
        <w:rPr>
          <w:b w:val="0"/>
          <w:sz w:val="21"/>
        </w:rPr>
        <w:t xml:space="preserve"> 拉回 FTP 底线价（图 6）。这正是"以成本价留住战略客户"的差异化经营落地。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lo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color w:val="6E6E6E"/>
          <w:sz w:val="18"/>
        </w:rPr>
        <w:t>地板价客户画像</w:t>
      </w:r>
    </w:p>
    <w:p>
      <w:pPr>
        <w:pStyle w:val="Heading3"/>
      </w:pPr>
      <w:r>
        <w:rPr>
          <w:rFonts w:ascii="Microsoft YaHei" w:hAnsi="Microsoft YaHei"/>
        </w:rPr>
        <w:t>6.7 PD 子模型因子系数</w:t>
      </w:r>
    </w:p>
    <w:p>
      <w:r>
        <w:rPr>
          <w:b w:val="0"/>
          <w:sz w:val="21"/>
        </w:rPr>
        <w:t>Logistic 系数符号符合经济直觉（红线因子推高违约，蓝线因子降低违约），交互项进一步捕捉非线性。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e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color w:val="6E6E6E"/>
          <w:sz w:val="18"/>
        </w:rPr>
        <w:t>因子系数</w:t>
      </w:r>
    </w:p>
    <w:p>
      <w:r>
        <w:rPr>
          <w:b w:val="0"/>
          <w:sz w:val="21"/>
        </w:rPr>
        <w:t>---</w:t>
      </w:r>
    </w:p>
    <w:p>
      <w:pPr>
        <w:pStyle w:val="Heading2"/>
      </w:pPr>
      <w:r>
        <w:rPr>
          <w:rFonts w:ascii="Microsoft YaHei" w:hAnsi="Microsoft YaHei"/>
        </w:rPr>
        <w:t>七、结论与建议</w:t>
      </w:r>
    </w:p>
    <w:p>
      <w:r>
        <w:rPr>
          <w:b w:val="0"/>
          <w:sz w:val="21"/>
        </w:rPr>
        <w:t xml:space="preserve">1. </w:t>
      </w:r>
      <w:r>
        <w:rPr>
          <w:b/>
          <w:sz w:val="21"/>
        </w:rPr>
        <w:t>定价结构本身没问题，问题在"风险溢价"的刻画</w:t>
      </w:r>
      <w:r>
        <w:rPr>
          <w:b w:val="0"/>
          <w:sz w:val="21"/>
        </w:rPr>
        <w:t xml:space="preserve">。用户给定的 </w:t>
      </w:r>
      <w:r>
        <w:rPr>
          <w:rFonts w:ascii="Consolas" w:hAnsi="Consolas"/>
          <w:b w:val="0"/>
          <w:sz w:val="21"/>
        </w:rPr>
        <w:t>max(FTP, FTP+Π)</w:t>
      </w:r>
      <w:r>
        <w:rPr>
          <w:b w:val="0"/>
          <w:sz w:val="21"/>
        </w:rPr>
        <w:t xml:space="preserve"> 正是银行贷款定价的底线逻辑；原公式被批评的"理想化"，根源在右侧朴素的 $\sum\alpha_i F_i + \varepsilon$。本文将其替换为风险理论驱动、可分解的 $\Pi$，逐一消解六项理想化假设。</w:t>
      </w:r>
    </w:p>
    <w:p>
      <w:r>
        <w:rPr>
          <w:b w:val="0"/>
          <w:sz w:val="21"/>
        </w:rPr>
        <w:t xml:space="preserve">2. </w:t>
      </w:r>
      <w:r>
        <w:rPr>
          <w:b/>
          <w:sz w:val="21"/>
        </w:rPr>
        <w:t>八类因子应分而治之</w:t>
      </w:r>
      <w:r>
        <w:rPr>
          <w:b w:val="0"/>
          <w:sz w:val="21"/>
        </w:rPr>
        <w:t>：风险类因子（行业、财务、偿债能力、周期、担保）进入 PD/LGD 决定期望损失与资本占用；结算流水同时缓解"看不清"与"绑不牢"；客户综合贡献与区域环境作为显式折扣项。</w:t>
      </w:r>
    </w:p>
    <w:p>
      <w:r>
        <w:rPr>
          <w:b w:val="0"/>
          <w:sz w:val="21"/>
        </w:rPr>
        <w:t xml:space="preserve">3. </w:t>
      </w:r>
      <w:r>
        <w:rPr>
          <w:b/>
          <w:sz w:val="21"/>
        </w:rPr>
        <w:t>"三难"可同时在定价中求解</w:t>
      </w:r>
      <w:r>
        <w:rPr>
          <w:b w:val="0"/>
          <w:sz w:val="21"/>
        </w:rPr>
        <w:t>：看不清→信息不确定性溢价；定不准→PD 概率模型 + 交互项 + 凸性资本；绑不牢→综合贡献折扣 + FTP 地板价机制。</w:t>
      </w:r>
    </w:p>
    <w:p>
      <w:r>
        <w:rPr>
          <w:b w:val="0"/>
          <w:sz w:val="21"/>
        </w:rPr>
        <w:t xml:space="preserve">4. </w:t>
      </w:r>
      <w:r>
        <w:rPr>
          <w:b/>
          <w:sz w:val="21"/>
        </w:rPr>
        <w:t>落地建议</w:t>
      </w:r>
      <w:r>
        <w:rPr>
          <w:b w:val="0"/>
          <w:sz w:val="21"/>
        </w:rPr>
        <w:t>：(a) 以行内历史样本替换仿真数据完成真实回测；(b) PD 模型可用 XGBoost 等进一步捕捉非线性，但需保留可解释性以满足监管；(c) 结算流水与税务/发票数据接入是缓解"看不清"的最高杠杆点；(d) 将综合贡献折扣与 FTP 底线机制写入信贷系统，实现差异化自动定价。</w:t>
      </w:r>
    </w:p>
    <w:p>
      <w:r>
        <w:rPr>
          <w:b w:val="0"/>
          <w:sz w:val="21"/>
        </w:rPr>
        <w:t>---</w:t>
      </w:r>
    </w:p>
    <w:p>
      <w:pPr>
        <w:pStyle w:val="Heading2"/>
      </w:pPr>
      <w:r>
        <w:rPr>
          <w:rFonts w:ascii="Microsoft YaHei" w:hAnsi="Microsoft YaHei"/>
        </w:rPr>
        <w:t>附录 A：核心代码（节选）</w:t>
      </w:r>
    </w:p>
    <w:p>
      <w:r>
        <w:rPr>
          <w:b w:val="0"/>
          <w:sz w:val="21"/>
        </w:rPr>
        <w:t xml:space="preserve">完整脚本见 </w:t>
      </w:r>
      <w:r>
        <w:rPr>
          <w:rFonts w:ascii="Consolas" w:hAnsi="Consolas"/>
          <w:b w:val="0"/>
          <w:sz w:val="21"/>
        </w:rPr>
        <w:t>build_model.py</w:t>
      </w:r>
      <w:r>
        <w:rPr>
          <w:b w:val="0"/>
          <w:sz w:val="21"/>
        </w:rPr>
        <w:t xml:space="preserve">，关键步骤包括：八类因子仿真生成 → 潜在违约过程（Logit+交互+二分校准违约率）→ PD 子模型（LogisticRegression）→ 风险溢价五分量计算 → </w:t>
      </w:r>
      <w:r>
        <w:rPr>
          <w:rFonts w:ascii="Consolas" w:hAnsi="Consolas"/>
          <w:b w:val="0"/>
          <w:sz w:val="21"/>
        </w:rPr>
        <w:t>max(FTP, FTP+Π)</w:t>
      </w:r>
      <w:r>
        <w:rPr>
          <w:b w:val="0"/>
          <w:sz w:val="21"/>
        </w:rPr>
        <w:t xml:space="preserve"> 主模型 → 与理想化朴素模型对比回测。主要参数：</w:t>
      </w:r>
    </w:p>
    <w:p>
      <w:r>
        <w:rPr>
          <w:b w:val="0"/>
          <w:i w:val="0"/>
          <w:color w:val="3C3C3C"/>
          <w:sz w:val="18"/>
        </w:rPr>
        <w:t>FTP, C_OP, RHO0 = 0.032, 0.008, 0.005      # R_floor = 0.045</w:t>
      </w:r>
    </w:p>
    <w:p>
      <w:r>
        <w:rPr>
          <w:b w:val="0"/>
          <w:i w:val="0"/>
          <w:color w:val="3C3C3C"/>
          <w:sz w:val="18"/>
        </w:rPr>
        <w:t>BASE_LGD = 0.45                              # 基准 LGD</w:t>
      </w:r>
    </w:p>
    <w:p>
      <w:r>
        <w:rPr>
          <w:b w:val="0"/>
          <w:i w:val="0"/>
          <w:color w:val="3C3C3C"/>
          <w:sz w:val="18"/>
        </w:rPr>
        <w:t>KAPPA, LAMBDA, DELTA, GAMMA = 0.08, 0.045, 0.012, 0.006</w:t>
      </w:r>
    </w:p>
    <w:p>
      <w:r>
        <w:rPr>
          <w:b w:val="0"/>
          <w:i w:val="0"/>
          <w:color w:val="3C3C3C"/>
          <w:sz w:val="18"/>
        </w:rPr>
        <w:t># PD: LogisticRegression(C=1.0)</w:t>
      </w:r>
    </w:p>
    <w:p>
      <w:r>
        <w:rPr>
          <w:b w:val="0"/>
          <w:i w:val="0"/>
          <w:color w:val="3C3C3C"/>
          <w:sz w:val="18"/>
        </w:rPr>
        <w:t># LGD = BASE_LGD*(1 - 0.5*coll - 0.4*gov - 0.15*patent_pledge)</w:t>
      </w:r>
    </w:p>
    <w:p>
      <w:r>
        <w:rPr>
          <w:b w:val="0"/>
          <w:i w:val="0"/>
          <w:color w:val="3C3C3C"/>
          <w:sz w:val="18"/>
        </w:rPr>
        <w:t># R   = max(R_floor, R_floor + EL + UL + UNC - DELTA*S - GAMMA*C)</w:t>
      </w:r>
    </w:p>
    <w:p>
      <w:pPr>
        <w:pStyle w:val="Heading2"/>
      </w:pPr>
      <w:r>
        <w:rPr>
          <w:rFonts w:ascii="Microsoft YaHei" w:hAnsi="Microsoft YaHei"/>
        </w:rPr>
        <w:t>附录 B：主要回测指标</w:t>
      </w:r>
    </w:p>
    <w:p>
      <w:r>
        <w:rPr>
          <w:b w:val="0"/>
          <w:sz w:val="21"/>
        </w:rPr>
        <w:t>| 指标 | 数值 |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------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------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整体违约率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12.3%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PD 模型 AUC / KS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0.873 / 0.625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去理想化模型 MSE (×10⁻⁶)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260.85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理想化朴素模型 MSE (×10⁻⁶)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6483.24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触底（FTP 地板价）客户占比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高风险层朴素模型低估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≈1356 bps</w:t>
            </w:r>
          </w:p>
        </w:tc>
      </w:tr>
    </w:tbl>
    <w:p>
      <w:r>
        <w:rPr>
          <w:b w:val="0"/>
          <w:sz w:val="21"/>
        </w:rPr>
        <w:t>---</w:t>
      </w:r>
    </w:p>
    <w:p>
      <w:pPr>
        <w:pStyle w:val="Heading3"/>
      </w:pPr>
      <w:r>
        <w:rPr>
          <w:rFonts w:ascii="Microsoft YaHei" w:hAnsi="Microsoft YaHei"/>
        </w:rPr>
        <w:t>参考文献</w:t>
      </w:r>
    </w:p>
    <w:p>
      <w:r>
        <w:rPr>
          <w:b w:val="0"/>
          <w:sz w:val="21"/>
        </w:rPr>
        <w:t>[1] 百度百科. 风险调整资本回报率（RAROC）[EB/OL].</w:t>
      </w:r>
    </w:p>
    <w:p>
      <w:r>
        <w:rPr>
          <w:b w:val="0"/>
          <w:sz w:val="21"/>
        </w:rPr>
        <w:t>[2] 财政部，科技部，等. 支持科技创新专项担保计划（2024）[EB/OL]. 中国政府网.</w:t>
      </w:r>
    </w:p>
    <w:p>
      <w:r>
        <w:rPr>
          <w:b w:val="0"/>
          <w:sz w:val="21"/>
        </w:rPr>
        <w:t>[3] 巴塞尔银行监管委员会. 内部评级法（IRB）高级法框架.</w:t>
      </w:r>
    </w:p>
    <w:p>
      <w:r>
        <w:rPr>
          <w:b w:val="0"/>
          <w:sz w:val="21"/>
        </w:rPr>
        <w:t>[4] 汉斯出版社. 我国科技型中小企业信用风险评估及信贷应用（KMV 模型）[J].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