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Report: Why Partial Plaster Removal Is Inadequate After Full Flooding</w:t>
      </w:r>
    </w:p>
    <w:p>
      <w:pPr>
        <w:pStyle w:val="Heading2"/>
      </w:pPr>
      <w:r>
        <w:t>1. Incomplete Moisture Removal</w:t>
      </w:r>
    </w:p>
    <w:p>
      <w:r>
        <w:t>Floodwater saturates not only the visible lower sections but can rise through capillary action. Retaining parts of the plaster risks trapping moisture behind walls, leading to hidden damp. Even if surface readings appear dry over time, internal moisture can remain, compromising the wall's integrity.</w:t>
      </w:r>
    </w:p>
    <w:p>
      <w:pPr>
        <w:pStyle w:val="Heading2"/>
      </w:pPr>
      <w:r>
        <w:t>2. Hygienic Risk: Mold and Contamination</w:t>
      </w:r>
    </w:p>
    <w:p>
      <w:r>
        <w:t>Gypsum-based plaster is highly absorbent and, once flooded, cannot be guaranteed to be free from contaminants such as bacteria, sewage residues, or mold spores. Partial removal leaves the risk of ongoing contamination, posing a potential health hazard.</w:t>
      </w:r>
    </w:p>
    <w:p>
      <w:pPr>
        <w:pStyle w:val="Heading2"/>
      </w:pPr>
      <w:r>
        <w:t>3. Drying Process Compromised</w:t>
      </w:r>
    </w:p>
    <w:p>
      <w:r>
        <w:t>Effective structural drying requires full exposure of affected surfaces. Retaining plaster, pipe boxings, or skirtings obstructs airflow and evaporation, undermining the efficiency of the drying process and prolonging the drying time.</w:t>
      </w:r>
    </w:p>
    <w:p>
      <w:pPr>
        <w:pStyle w:val="Heading2"/>
      </w:pPr>
      <w:r>
        <w:t>4. Risk of Future Claims and Secondary Damage</w:t>
      </w:r>
    </w:p>
    <w:p>
      <w:r>
        <w:t>Leaving damp or contaminated materials behind greatly increases the likelihood of future claims for mold, plaster deterioration, and secondary structural damage. The costs of addressing these issues later will almost certainly exceed the cost of proper strip-out now.</w:t>
      </w:r>
    </w:p>
    <w:p>
      <w:pPr>
        <w:pStyle w:val="Heading2"/>
      </w:pPr>
      <w:r>
        <w:t>5. Failure to Comply with Best Practice Standards</w:t>
      </w:r>
    </w:p>
    <w:p>
      <w:r>
        <w:t>Industry standards, including BS 12999 (Damage Management Code of Practice), recommend full removal of wall linings where flooding has occurred, especially for gypsum-based materials. Partial removal does not align with best practice and exposes the property to unacceptable risks.</w:t>
      </w:r>
    </w:p>
    <w:p>
      <w:pPr>
        <w:pStyle w:val="Heading2"/>
      </w:pPr>
      <w:r>
        <w:t>6. Visual and Structural Integrity on Reinstatement</w:t>
      </w:r>
    </w:p>
    <w:p>
      <w:r>
        <w:t>Partial removal often leads to inconsistencies in wall levels and finishes, resulting in poor quality reinstatement. There may also be hidden weaknesses in the retained materials that could fail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