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t xml:space="preserve"/>
      </w:r>
    </w:p>
    <w:p>
      <w:pPr>
        <w:spacing w:before="30" w:after="30"/>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20" w:after="80"/>
        <w:jc w:val="center"/>
      </w:pPr>
      <w:r>
        <w:rPr>
          <w:rFonts w:ascii="Arial" w:cs="Arial" w:eastAsia="Arial" w:hAnsi="Arial"/>
          <w:b w:val="false"/>
          <w:bCs w:val="false"/>
          <w:color w:val="2E75B6"/>
          <w:sz w:val="26"/>
          <w:szCs w:val="26"/>
        </w:rPr>
        <w:t xml:space="preserve">16 Proveedores Globales — Informe de Due Diligence</w:t>
      </w:r>
    </w:p>
    <w:p>
      <w:pPr>
        <w:pBdr>
          <w:bottom w:val="single" w:color="C6A619" w:sz="8"/>
        </w:pBdr>
        <w:spacing w:before="0" w:after="240"/>
        <w:jc w:val="center"/>
      </w:pPr>
      <w:r>
        <w:t xml:space="preserve"/>
      </w:r>
    </w:p>
    <w:p>
      <w:pPr>
        <w:spacing w:before="30" w:after="30"/>
      </w:pPr>
      <w:r>
        <w:t xml:space="preserve"/>
      </w:r>
    </w:p>
    <w:p>
      <w:pPr>
        <w:spacing w:before="30" w:after="30"/>
      </w:pPr>
      <w:r>
        <w:t xml:space="preserve"/>
      </w:r>
    </w:p>
    <w:p>
      <w:pPr>
        <w:spacing w:before="0" w:after="40"/>
        <w:jc w:val="center"/>
      </w:pPr>
      <w:r>
        <w:rPr>
          <w:rFonts w:ascii="Arial" w:cs="Arial" w:eastAsia="Arial" w:hAnsi="Arial"/>
          <w:b/>
          <w:bCs/>
          <w:color w:val="C6A619"/>
          <w:sz w:val="38"/>
          <w:szCs w:val="38"/>
        </w:rPr>
        <w:t xml:space="preserve">FASE 10</w:t>
      </w:r>
    </w:p>
    <w:p>
      <w:pPr>
        <w:spacing w:before="0" w:after="60"/>
        <w:jc w:val="center"/>
      </w:pPr>
      <w:r>
        <w:rPr>
          <w:rFonts w:ascii="Arial" w:cs="Arial" w:eastAsia="Arial" w:hAnsi="Arial"/>
          <w:b/>
          <w:bCs/>
          <w:color w:val="2E75B6"/>
          <w:sz w:val="28"/>
          <w:szCs w:val="28"/>
        </w:rPr>
        <w:t xml:space="preserve">El CISO como Arquitecto de Defensa Aumentada por IA</w:t>
      </w:r>
    </w:p>
    <w:p>
      <w:pPr>
        <w:spacing w:before="0" w:after="140"/>
        <w:jc w:val="center"/>
      </w:pPr>
      <w:r>
        <w:rPr>
          <w:rFonts w:ascii="Arial" w:cs="Arial" w:eastAsia="Arial" w:hAnsi="Arial"/>
          <w:b w:val="false"/>
          <w:bCs w:val="false"/>
          <w:color w:val="1A1A2E"/>
          <w:sz w:val="20"/>
          <w:szCs w:val="20"/>
        </w:rPr>
        <w:t xml:space="preserve">Amenazas AI-Powered · Microsoft Security Copilot + Defender XDR · SOC Agéntico · Deepfakes · Defender for AI · Hoja de Ruta</w:t>
      </w:r>
    </w:p>
    <w:p>
      <w:pPr>
        <w:spacing w:before="30" w:after="30"/>
      </w:pPr>
      <w:r>
        <w:t xml:space="preserve"/>
      </w:r>
    </w:p>
    <w:p>
      <w:pPr>
        <w:spacing w:before="18" w:after="18"/>
        <w:jc w:val="center"/>
      </w:pPr>
      <w:r>
        <w:rPr>
          <w:rFonts w:ascii="Arial" w:cs="Arial" w:eastAsia="Arial" w:hAnsi="Arial"/>
          <w:b w:val="false"/>
          <w:bCs w:val="false"/>
          <w:color w:val="1A1A2E"/>
          <w:sz w:val="18"/>
          <w:szCs w:val="18"/>
        </w:rPr>
        <w:t xml:space="preserve">10.0  El Doble Mandato del CISO: Defender y Ser Defendido por IA</w:t>
      </w:r>
    </w:p>
    <w:p>
      <w:pPr>
        <w:spacing w:before="18" w:after="18"/>
        <w:jc w:val="center"/>
      </w:pPr>
      <w:r>
        <w:rPr>
          <w:rFonts w:ascii="Arial" w:cs="Arial" w:eastAsia="Arial" w:hAnsi="Arial"/>
          <w:b w:val="false"/>
          <w:bCs w:val="false"/>
          <w:color w:val="1A1A2E"/>
          <w:sz w:val="18"/>
          <w:szCs w:val="18"/>
        </w:rPr>
        <w:t xml:space="preserve">10.1  El Paisaje de Amenazas AI-Powered 2026: Taxonomía y Datos</w:t>
      </w:r>
    </w:p>
    <w:p>
      <w:pPr>
        <w:spacing w:before="18" w:after="18"/>
        <w:jc w:val="center"/>
      </w:pPr>
      <w:r>
        <w:rPr>
          <w:rFonts w:ascii="Arial" w:cs="Arial" w:eastAsia="Arial" w:hAnsi="Arial"/>
          <w:b w:val="false"/>
          <w:bCs w:val="false"/>
          <w:color w:val="1A1A2E"/>
          <w:sz w:val="18"/>
          <w:szCs w:val="18"/>
        </w:rPr>
        <w:t xml:space="preserve">10.2  Microsoft Security Copilot + Defender XDR: Guía Operacional</w:t>
      </w:r>
    </w:p>
    <w:p>
      <w:pPr>
        <w:spacing w:before="18" w:after="18"/>
        <w:jc w:val="center"/>
      </w:pPr>
      <w:r>
        <w:rPr>
          <w:rFonts w:ascii="Arial" w:cs="Arial" w:eastAsia="Arial" w:hAnsi="Arial"/>
          <w:b w:val="false"/>
          <w:bCs w:val="false"/>
          <w:color w:val="1A1A2E"/>
          <w:sz w:val="18"/>
          <w:szCs w:val="18"/>
        </w:rPr>
        <w:t xml:space="preserve">10.3  El SOC Agéntico: De la Alerta al Cierre Autónomo</w:t>
      </w:r>
    </w:p>
    <w:p>
      <w:pPr>
        <w:spacing w:before="18" w:after="18"/>
        <w:jc w:val="center"/>
      </w:pPr>
      <w:r>
        <w:rPr>
          <w:rFonts w:ascii="Arial" w:cs="Arial" w:eastAsia="Arial" w:hAnsi="Arial"/>
          <w:b w:val="false"/>
          <w:bCs w:val="false"/>
          <w:color w:val="1A1A2E"/>
          <w:sz w:val="18"/>
          <w:szCs w:val="18"/>
        </w:rPr>
        <w:t xml:space="preserve">10.4  Deepfakes, Phishing AI y Fraude Sintético: Playbook de Respuesta</w:t>
      </w:r>
    </w:p>
    <w:p>
      <w:pPr>
        <w:spacing w:before="18" w:after="18"/>
        <w:jc w:val="center"/>
      </w:pPr>
      <w:r>
        <w:rPr>
          <w:rFonts w:ascii="Arial" w:cs="Arial" w:eastAsia="Arial" w:hAnsi="Arial"/>
          <w:b w:val="false"/>
          <w:bCs w:val="false"/>
          <w:color w:val="1A1A2E"/>
          <w:sz w:val="18"/>
          <w:szCs w:val="18"/>
        </w:rPr>
        <w:t xml:space="preserve">10.5  Defender for AI: Asegurar los Sistemas de IA Propios</w:t>
      </w:r>
    </w:p>
    <w:p>
      <w:pPr>
        <w:spacing w:before="18" w:after="18"/>
        <w:jc w:val="center"/>
      </w:pPr>
      <w:r>
        <w:rPr>
          <w:rFonts w:ascii="Arial" w:cs="Arial" w:eastAsia="Arial" w:hAnsi="Arial"/>
          <w:b w:val="false"/>
          <w:bCs w:val="false"/>
          <w:color w:val="1A1A2E"/>
          <w:sz w:val="18"/>
          <w:szCs w:val="18"/>
        </w:rPr>
        <w:t xml:space="preserve">10.6  Hoja de Ruta del CISO: 90 Días para el SOC Aumentado por IA</w:t>
      </w:r>
    </w:p>
    <w:p>
      <w:pPr>
        <w:spacing w:before="18" w:after="18"/>
        <w:jc w:val="center"/>
      </w:pPr>
      <w:r>
        <w:rPr>
          <w:rFonts w:ascii="Arial" w:cs="Arial" w:eastAsia="Arial" w:hAnsi="Arial"/>
          <w:b w:val="false"/>
          <w:bCs w:val="false"/>
          <w:color w:val="1A1A2E"/>
          <w:sz w:val="18"/>
          <w:szCs w:val="18"/>
        </w:rPr>
        <w:t xml:space="preserve">10.7  Referencias (R241–R270)</w:t>
      </w:r>
    </w:p>
    <w:p>
      <w:pPr>
        <w:spacing w:before="30" w:after="30"/>
      </w:pPr>
      <w:r>
        <w:t xml:space="preserve"/>
      </w:r>
    </w:p>
    <w:p>
      <w:pPr>
        <w:spacing w:before="30" w:after="30"/>
      </w:pPr>
      <w:r>
        <w:t xml:space="preserve"/>
      </w:r>
    </w:p>
    <w:p>
      <w:pPr>
        <w:jc w:val="center"/>
      </w:pPr>
      <w:r>
        <w:rPr>
          <w:rFonts w:ascii="Arial" w:cs="Arial" w:eastAsia="Arial" w:hAnsi="Arial"/>
          <w:b/>
          <w:bCs/>
          <w:color w:val="2E75B6"/>
          <w:sz w:val="18"/>
          <w:szCs w:val="18"/>
        </w:rPr>
        <w:t xml:space="preserve">Fase final del análisis — Cierre del proyecto de 10 fases</w:t>
      </w:r>
    </w:p>
    <w:p>
      <w:pPr>
        <w:spacing w:before="30" w:after="30"/>
      </w:pPr>
      <w:r>
        <w:t xml:space="preserve"/>
      </w:r>
    </w:p>
    <w:p>
      <w:pPr>
        <w:jc w:val="center"/>
      </w:pPr>
      <w:r>
        <w:rPr>
          <w:rFonts w:ascii="Arial" w:cs="Arial" w:eastAsia="Arial" w:hAnsi="Arial"/>
          <w:b/>
          <w:bCs/>
          <w:color w:val="666666"/>
          <w:sz w:val="18"/>
          <w:szCs w:val="18"/>
        </w:rPr>
        <w:t xml:space="preserve">Fecha de corte informativo: 20 de febrero de 2026</w:t>
      </w:r>
    </w:p>
    <w:p>
      <w:r>
        <w:br w:type="page"/>
      </w:r>
    </w:p>
    <w:p>
      <w:pPr>
        <w:pStyle w:val="Heading1"/>
        <w:spacing w:before="360" w:after="120"/>
      </w:pPr>
      <w:r>
        <w:rPr>
          <w:rFonts w:ascii="Arial" w:cs="Arial" w:eastAsia="Arial" w:hAnsi="Arial"/>
          <w:b/>
          <w:bCs/>
          <w:color w:val="1F3864"/>
          <w:sz w:val="34"/>
          <w:szCs w:val="34"/>
        </w:rPr>
        <w:t xml:space="preserve">10.0 EL DOBLE MANDATO DEL CISO: DEFENDER Y SER DEFENDIDO POR IA</w:t>
      </w:r>
    </w:p>
    <w:p>
      <w:pPr>
        <w:pBdr>
          <w:bottom w:val="single" w:color="BDD7EE" w:sz="4"/>
        </w:pBdr>
        <w:spacing w:before="80" w:after="80"/>
      </w:pPr>
    </w:p>
    <w:p>
      <w:pPr>
        <w:spacing w:before="60" w:after="100"/>
      </w:pPr>
      <w:r>
        <w:rPr>
          <w:rFonts w:ascii="Arial" w:cs="Arial" w:eastAsia="Arial" w:hAnsi="Arial"/>
          <w:color w:val="1A1A2E"/>
          <w:sz w:val="20"/>
          <w:szCs w:val="20"/>
        </w:rPr>
        <w:t xml:space="preserve">Las Fases 1-9 de este informe construyeron el marco completo de due diligence, gobernanza y valor de negocio para la IA enterprise. La Fase 10 cierra el ciclo desde la perspectiva que más directamente define el rol del CISO en 2026: la </w:t>
      </w:r>
      <w:r>
        <w:rPr>
          <w:rFonts w:ascii="Arial" w:cs="Arial" w:eastAsia="Arial" w:hAnsi="Arial"/>
          <w:b/>
          <w:bCs/>
          <w:color w:val="1A1A2E"/>
          <w:sz w:val="20"/>
          <w:szCs w:val="20"/>
        </w:rPr>
        <w:t xml:space="preserve">IA como el mayor vector de ataque activo</w:t>
      </w:r>
      <w:r>
        <w:rPr>
          <w:rFonts w:ascii="Arial" w:cs="Arial" w:eastAsia="Arial" w:hAnsi="Arial"/>
          <w:color w:val="1A1A2E"/>
          <w:sz w:val="20"/>
          <w:szCs w:val="20"/>
        </w:rPr>
        <w:t xml:space="preserve"> y simultáneamente como el </w:t>
      </w:r>
      <w:r>
        <w:rPr>
          <w:rFonts w:ascii="Arial" w:cs="Arial" w:eastAsia="Arial" w:hAnsi="Arial"/>
          <w:b/>
          <w:bCs/>
          <w:color w:val="1A1A2E"/>
          <w:sz w:val="20"/>
          <w:szCs w:val="20"/>
        </w:rPr>
        <w:t xml:space="preserve">multiplicador de defensa más poderoso disponible</w:t>
      </w:r>
      <w:r>
        <w:rPr>
          <w:rFonts w:ascii="Arial" w:cs="Arial" w:eastAsia="Arial" w:hAnsi="Arial"/>
          <w:color w:val="1A1A2E"/>
          <w:sz w:val="20"/>
          <w:szCs w:val="20"/>
        </w:rPr>
        <w:t xml:space="preserve">. Estas dos realidades no son contradictorias — son las dos caras del mismo mandato expandido.</w:t>
      </w:r>
    </w:p>
    <w:p>
      <w:pPr>
        <w:spacing w:before="60" w:after="100"/>
      </w:pPr>
      <w:r>
        <w:rPr>
          <w:rFonts w:ascii="Arial" w:cs="Arial" w:eastAsia="Arial" w:hAnsi="Arial"/>
          <w:color w:val="1A1A2E"/>
          <w:sz w:val="20"/>
          <w:szCs w:val="20"/>
        </w:rPr>
        <w:t xml:space="preserve">El CISO de 2026 opera en un entorno donde los atacantes ya usan IA agéntica para automatizar el kill chain completo — desde el reconocimiento hasta la exfiltración — mientras que los defensores tienen acceso, por primera vez, a herramientas que operan a la velocidad y escala del ataque. El gap ya no es tecnológico: </w:t>
      </w:r>
      <w:r>
        <w:rPr>
          <w:rFonts w:ascii="Arial" w:cs="Arial" w:eastAsia="Arial" w:hAnsi="Arial"/>
          <w:b/>
          <w:bCs/>
          <w:color w:val="1A1A2E"/>
          <w:sz w:val="20"/>
          <w:szCs w:val="20"/>
        </w:rPr>
        <w:t xml:space="preserve">es de adopción, arquitectura y gobernanza.</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408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IA COMO AMENAZA</w:t>
            </w:r>
          </w:p>
        </w:tc>
        <w:tc>
          <w:tcPr>
            <w:tcW w:type="dxa" w:w="408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IA COMO DEFENSA</w:t>
            </w:r>
          </w:p>
        </w:tc>
      </w:tr>
      <w:tr>
        <w:tc>
          <w:tcPr>
            <w:tcW w:type="dxa" w:w="1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center"/>
          </w:tcPr>
          <w:p>
            <w:pPr>
              <w:jc w:val="center"/>
            </w:pPr>
            <w:r>
              <w:rPr>
                <w:rFonts w:ascii="Arial" w:cs="Arial" w:eastAsia="Arial" w:hAnsi="Arial"/>
                <w:b/>
                <w:bCs/>
                <w:color w:val="1A1A2E"/>
                <w:sz w:val="15"/>
                <w:szCs w:val="15"/>
              </w:rPr>
              <w:t xml:space="preserve">Velocidad</w:t>
            </w:r>
          </w:p>
        </w:tc>
        <w:tc>
          <w:tcPr>
            <w:tcW w:type="dxa" w:w="40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Los ataques AI-powered ejecutan el kill chain en minutos. Polimorfismo en tiempo real elude detección por firmas. Phishing hiperespersonalizado a escala masiva.</w:t>
            </w:r>
          </w:p>
        </w:tc>
        <w:tc>
          <w:tcPr>
            <w:tcW w:type="dxa" w:w="40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Los agentes defensivos operan 24/7 sin fatiga. Correlación de señales en milisegundos. MTTR reducido 40-60% con AI SOC.</w:t>
            </w:r>
          </w:p>
        </w:tc>
      </w:tr>
      <w:tr>
        <w:tc>
          <w:tcPr>
            <w:tcW w:type="dxa" w:w="1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center"/>
          </w:tcPr>
          <w:p>
            <w:pPr>
              <w:jc w:val="center"/>
            </w:pPr>
            <w:r>
              <w:rPr>
                <w:rFonts w:ascii="Arial" w:cs="Arial" w:eastAsia="Arial" w:hAnsi="Arial"/>
                <w:b/>
                <w:bCs/>
                <w:color w:val="1A1A2E"/>
                <w:sz w:val="15"/>
                <w:szCs w:val="15"/>
              </w:rPr>
              <w:t xml:space="preserve">Escala</w:t>
            </w:r>
          </w:p>
        </w:tc>
        <w:tc>
          <w:tcPr>
            <w:tcW w:type="dxa" w:w="40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Un actor con un agente comprometido puede ejecutar 1,000 conversaciones simultáneas de ingeniería social. Botnets amplificadas con GenAI para operaciones a escala.</w:t>
            </w:r>
          </w:p>
        </w:tc>
        <w:tc>
          <w:tcPr>
            <w:tcW w:type="dxa" w:w="40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Security Copilot analiza millones de señales de Defender XDR, Sentinel, Entra, Intune y Purview en tiempo real. Cobertura sin headcount adicional.</w:t>
            </w:r>
          </w:p>
        </w:tc>
      </w:tr>
      <w:tr>
        <w:tc>
          <w:tcPr>
            <w:tcW w:type="dxa" w:w="1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center"/>
          </w:tcPr>
          <w:p>
            <w:pPr>
              <w:jc w:val="center"/>
            </w:pPr>
            <w:r>
              <w:rPr>
                <w:rFonts w:ascii="Arial" w:cs="Arial" w:eastAsia="Arial" w:hAnsi="Arial"/>
                <w:b/>
                <w:bCs/>
                <w:color w:val="1A1A2E"/>
                <w:sz w:val="15"/>
                <w:szCs w:val="15"/>
              </w:rPr>
              <w:t xml:space="preserve">Sofisticación</w:t>
            </w:r>
          </w:p>
        </w:tc>
        <w:tc>
          <w:tcPr>
            <w:tcW w:type="dxa" w:w="40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Deepfakes indistinguibles de video y audio en tiempo real. Data poisoning en modelos de IA propios. LLM poisoning via RAG comprometido.</w:t>
            </w:r>
          </w:p>
        </w:tc>
        <w:tc>
          <w:tcPr>
            <w:tcW w:type="dxa" w:w="40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KQL generado en lenguaje natural. Threat hunting continuo sin skills de scripting. AI red teaming para detectar vulnerabilidades propias antes que el atacante.</w:t>
            </w:r>
          </w:p>
        </w:tc>
      </w:tr>
      <w:tr>
        <w:tc>
          <w:tcPr>
            <w:tcW w:type="dxa" w:w="1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center"/>
          </w:tcPr>
          <w:p>
            <w:pPr>
              <w:jc w:val="center"/>
            </w:pPr>
            <w:r>
              <w:rPr>
                <w:rFonts w:ascii="Arial" w:cs="Arial" w:eastAsia="Arial" w:hAnsi="Arial"/>
                <w:b/>
                <w:bCs/>
                <w:color w:val="1A1A2E"/>
                <w:sz w:val="15"/>
                <w:szCs w:val="15"/>
              </w:rPr>
              <w:t xml:space="preserve">Autonomía</w:t>
            </w:r>
          </w:p>
        </w:tc>
        <w:tc>
          <w:tcPr>
            <w:tcW w:type="dxa" w:w="40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Agentes atacantes que se auto-coordinan en swarms de reconocimiento y explotación sin supervisión humana. APTs con capacidad de adaptación en tiempo real.</w:t>
            </w:r>
          </w:p>
        </w:tc>
        <w:tc>
          <w:tcPr>
            <w:tcW w:type="dxa" w:w="40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Agentes de triage autónomos. Automatic attack disruption en Defender XDR. Respuesta a incidentes sin fricción humana en las primeras fases de contención.</w:t>
            </w:r>
          </w:p>
        </w:tc>
      </w:tr>
      <w:tr>
        <w:tc>
          <w:tcPr>
            <w:tcW w:type="dxa" w:w="12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center"/>
          </w:tcPr>
          <w:p>
            <w:pPr>
              <w:jc w:val="center"/>
            </w:pPr>
            <w:r>
              <w:rPr>
                <w:rFonts w:ascii="Arial" w:cs="Arial" w:eastAsia="Arial" w:hAnsi="Arial"/>
                <w:b/>
                <w:bCs/>
                <w:color w:val="1A1A2E"/>
                <w:sz w:val="15"/>
                <w:szCs w:val="15"/>
              </w:rPr>
              <w:t xml:space="preserve">Asimetría</w:t>
            </w:r>
          </w:p>
        </w:tc>
        <w:tc>
          <w:tcPr>
            <w:tcW w:type="dxa" w:w="40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El costo de un ataque AI-powered colapsa hacia cero (modelos open source + agentic frameworks). Deepfakes en tiempo real por &lt;$10. Phishing masivo personalizado por &lt;$0.01/mensaje.</w:t>
            </w:r>
          </w:p>
        </w:tc>
        <w:tc>
          <w:tcPr>
            <w:tcW w:type="dxa" w:w="40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spacing w:before="0" w:after="0"/>
            </w:pPr>
            <w:r>
              <w:rPr>
                <w:rFonts w:ascii="Arial" w:cs="Arial" w:eastAsia="Arial" w:hAnsi="Arial"/>
                <w:color w:val="1A1A2E"/>
                <w:sz w:val="15"/>
                <w:szCs w:val="15"/>
              </w:rPr>
              <w:t xml:space="preserve">La defensa AI-powered democratiza capacidades de SOC enterprise para organizaciones sin presupuesto de analistas. Security Copilot incluido en M365 E5 (400 SCUs/1,000 usuarios).</w:t>
            </w:r>
          </w:p>
        </w:tc>
      </w:tr>
    </w:tbl>
    <w:p>
      <w:pPr>
        <w:spacing w:before="30" w:after="30"/>
      </w:pPr>
      <w:r>
        <w:t xml:space="preserve"/>
      </w:r>
    </w:p>
    <w:p>
      <w:pPr>
        <w:shd w:fill="FFF2CC" w:val="clear"/>
        <w:spacing w:before="100" w:after="100"/>
        <w:ind w:left="280" w:right="280"/>
      </w:pPr>
      <w:r>
        <w:rPr>
          <w:rFonts w:ascii="Arial" w:cs="Arial" w:eastAsia="Arial" w:hAnsi="Arial"/>
          <w:b/>
          <w:bCs/>
          <w:color w:val="7F4F00"/>
          <w:sz w:val="18"/>
          <w:szCs w:val="18"/>
        </w:rPr>
        <w:t xml:space="preserve">📊 Dato crítico 2026: </w:t>
      </w:r>
      <w:r>
        <w:rPr>
          <w:rFonts w:ascii="Arial" w:cs="Arial" w:eastAsia="Arial" w:hAnsi="Arial"/>
          <w:color w:val="7F4F00"/>
          <w:sz w:val="18"/>
          <w:szCs w:val="18"/>
        </w:rPr>
        <w:t xml:space="preserve">ENISA Threat Landscape 2025: los ataques AI-driven ya representan más del 40% de las Amenazas Persistentes Avanzadas (APT). Gartner predice que para 2026, el 30% de las empresas enfrentarán ataques específicos contra sus sistemas de IA, frente a dígitos simples en 2024. Dark Reading: 48% de los profesionales de ciberseguridad identifican la IA agéntica como el vector de ataque #1 para 2026, superando ransomware tradicional.</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10.1 EL PAISAJE DE AMENAZAS AI-POWERED 2026: TAXONOMÍA Y DATOS</w:t>
      </w:r>
    </w:p>
    <w:p>
      <w:pPr>
        <w:pBdr>
          <w:bottom w:val="single" w:color="BDD7EE" w:sz="4"/>
        </w:pBdr>
        <w:spacing w:before="80" w:after="80"/>
      </w:pPr>
    </w:p>
    <w:p>
      <w:pPr>
        <w:spacing w:before="60" w:after="100"/>
      </w:pPr>
      <w:r>
        <w:rPr>
          <w:rFonts w:ascii="Arial" w:cs="Arial" w:eastAsia="Arial" w:hAnsi="Arial"/>
          <w:color w:val="1A1A2E"/>
          <w:sz w:val="20"/>
          <w:szCs w:val="20"/>
        </w:rPr>
        <w:t xml:space="preserve">La taxonomía de amenazas AI-powered 2026 agrupa los vectores en cinco categorías. Cada categoría tiene evidencia de incidentes reales, datos de prevalencia, y controles de mitigación específicos para el ecosistema Microsoft que opera el CISO de sectores regulados en LATAM.</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10.1.1 Phishing e Ingeniería Social AI-Powered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DIMENSIÓN</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ESTADO ACTUAL</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CONTROL MICROSOFT M365</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Escala y velocidad</w:t>
            </w:r>
          </w:p>
        </w:tc>
        <w:tc>
          <w:tcPr>
            <w:tcW w:type="dxa" w:w="34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AI genera phishing hiperespersonalizado usando OSINT (LinkedIn, redes sociales, filtraciones previas) a menos de $0.01/mensaje. Campaña de 10,000 objetivos personalizados en &lt;1 hora.</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Defender for Office 365 Safe Links + Safe Attachments con detonación en sandbox en tiempo real. Inline protection para Teams (disponible Q2 2025).</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Calidad del engaño</w:t>
            </w:r>
          </w:p>
        </w:tc>
        <w:tc>
          <w:tcPr>
            <w:tcW w:type="dxa" w:w="34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Eliminación total de los indicadores clásicos de phishing: sin errores gramaticales, con contexto real de la organización, referenciando conversaciones previas reales del objetivo.</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AI-powered anomaly detection en Defender for O365 que analiza metadata de envío, no solo contenido. Correlación de señales cross-producto en Defender XDR.</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Prevalencia 2026</w:t>
            </w:r>
          </w:p>
        </w:tc>
        <w:tc>
          <w:tcPr>
            <w:tcW w:type="dxa" w:w="34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AI-generated impersonation scams: +148% en 2025-2026. Deepfakes en 20% de intentos de fraude (ENISA 2026 proyección).</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Security Copilot Phishing Triage Agent: distingue amenazas reales de falsos positivos de forma autónoma. Reduce carga de analistas Tier 1.</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BEC (Business Email Compromise) AI</w:t>
            </w:r>
          </w:p>
        </w:tc>
        <w:tc>
          <w:tcPr>
            <w:tcW w:type="dxa" w:w="34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BEC con voz clonada de CFO o CEO para autorizar transferencias. Arup (2025): $25M perdidos en videollamada deepfake con CEO y CFO sintéticos.</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Entra ID Conditional Access + MFA resistente a phishing (FIDO2). Políticas de zero-trust para acceso a sistemas de transferencia financiera.</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10.1.2 Ransomware y Malware AI-Powered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VECTOR</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CAPACIDAD ADVERSARIAL</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CONTROL MICROSOFT M365</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Polimorfismo en tiempo real</w:t>
            </w:r>
          </w:p>
        </w:tc>
        <w:tc>
          <w:tcPr>
            <w:tcW w:type="dxa" w:w="34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El malware AI-powered muta su código durante la ejecución, generando variantes que eluden detección basada en firmas. Cada instancia es única — las soluciones de AV tradicionales son ineficaces.</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Defender for Endpoint con behavioral analysis (no firma): detecta comportamiento malicioso independientemente del código. Machine learning integrado en el sensor del endpoint.</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Living-off-the-land AI</w:t>
            </w:r>
          </w:p>
        </w:tc>
        <w:tc>
          <w:tcPr>
            <w:tcW w:type="dxa" w:w="34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LLMs generan comandos PowerShell, WMI o LOLBins que imitan actividad legítima del sistema. Evasión de EDR mediante técnicas que no dejan artefactos en disco.</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Defender XDR correlaciona señales cross-producto. Automatic Attack Disruption que interrumpe la cadena de ataque sin esperar acción humana. Hunting de LOLBins en Advanced Hunting (KQL).</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Double extortion evolucionada</w:t>
            </w:r>
          </w:p>
        </w:tc>
        <w:tc>
          <w:tcPr>
            <w:tcW w:type="dxa" w:w="34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Ransomware AI optimiza la selección de archivos a cifrar priorizando los de mayor valor y sensibilidad. Exfiltración previa usando análisis semántico del contenido.</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Microsoft Purview Data Security Investigations: identifica exposición de datos sensibles. Immutable backup en Azure. Defender for Cloud con detección de exfiltración multi-cloud.</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10.1.3 Ataques contra Sistemas de IA Propios</w:t>
      </w:r>
    </w:p>
    <w:p>
      <w:pPr>
        <w:spacing w:before="60" w:after="100"/>
      </w:pPr>
      <w:r>
        <w:rPr>
          <w:rFonts w:ascii="Arial" w:cs="Arial" w:eastAsia="Arial" w:hAnsi="Arial"/>
          <w:color w:val="1A1A2E"/>
          <w:sz w:val="20"/>
          <w:szCs w:val="20"/>
        </w:rPr>
        <w:t xml:space="preserve">Esta es la categoría de más rápido crecimiento y la más subestimada. El vector de ataque no es el endpoint o el correo — es el modelo de IA de la organización, sus datos de entrenamiento, su pipeline de RAG o sus agentes desplegados.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80"/>
        <w:gridCol w:w="3480"/>
      </w:tblGrid>
      <w:tr>
        <w:tc>
          <w:tcPr>
            <w:tcW w:type="dxa" w:w="1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TÉCNICA</w:t>
            </w:r>
          </w:p>
        </w:tc>
        <w:tc>
          <w:tcPr>
            <w:tcW w:type="dxa" w:w="2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 DEL ATAQUE</w:t>
            </w:r>
          </w:p>
        </w:tc>
        <w:tc>
          <w:tcPr>
            <w:tcW w:type="dxa" w:w="16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IMPACTO</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CONTROL DISPONIBLE</w:t>
            </w:r>
          </w:p>
        </w:tc>
      </w:tr>
      <w:tr>
        <w:tc>
          <w:tcPr>
            <w:tcW w:type="dxa" w:w="1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Prompt Injection Indirecta</w:t>
            </w:r>
          </w:p>
        </w:tc>
        <w:tc>
          <w:tcPr>
            <w:tcW w:type="dxa" w:w="260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atacante embebe instrucciones maliciosas en contenido que el agente procesa: emails, PDFs, páginas web, resultados de búsqueda. El agente ejecuta las instrucciones del atacante creyendo que son del usuario.</w:t>
            </w:r>
          </w:p>
        </w:tc>
        <w:tc>
          <w:tcPr>
            <w:tcW w:type="dxa" w:w="168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CRÍTICO</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Defender runtime protection para Copilot Studio agents (webhooks de inspección antes de cada acción). Microsoft Defender OWASP detections para indirect prompt injection (GA mayo 2025).</w:t>
            </w:r>
          </w:p>
        </w:tc>
      </w:tr>
      <w:tr>
        <w:tc>
          <w:tcPr>
            <w:tcW w:type="dxa" w:w="1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Data Poisoning</w:t>
            </w:r>
          </w:p>
        </w:tc>
        <w:tc>
          <w:tcPr>
            <w:tcW w:type="dxa" w:w="260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Corrupción de los datos de entrenamiento o del store RAG para crear comportamientos maliciosos o backdoors en el modelo. Palo Alto (2025): 'La próxima frontera de ataques'.</w:t>
            </w:r>
          </w:p>
        </w:tc>
        <w:tc>
          <w:tcPr>
            <w:tcW w:type="dxa" w:w="1680"/>
            <w:tcBorders>
              <w:top w:val="single" w:color="AEC9E0" w:sz="1"/>
              <w:left w:val="single" w:color="AEC9E0" w:sz="1"/>
              <w:bottom w:val="single" w:color="AEC9E0" w:sz="1"/>
              <w:right w:val="single" w:color="AEC9E0" w:sz="1"/>
            </w:tcBorders>
            <w:shd w:fill="8B0000"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CRÍTICO</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AI Security Posture Management en Defender for Cloud: visibilidad sobre modelos en Azure AI Foundry, Google Vertex AI, y modelos del catálogo (Gemma, Llama, Mistral). Validación de integridad de datos RAG.</w:t>
            </w:r>
          </w:p>
        </w:tc>
      </w:tr>
      <w:tr>
        <w:tc>
          <w:tcPr>
            <w:tcW w:type="dxa" w:w="1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Model Evasion</w:t>
            </w:r>
          </w:p>
        </w:tc>
        <w:tc>
          <w:tcPr>
            <w:tcW w:type="dxa" w:w="260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Adversarial inputs diseñados para hacer que el modelo clasifique incorrectamente (ej: malware que evade el clasificador de Defender, fraude que evade el modelo de scoring).</w:t>
            </w:r>
          </w:p>
        </w:tc>
        <w:tc>
          <w:tcPr>
            <w:tcW w:type="dxa" w:w="168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ALTO</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Red teaming continuo del modelo. Adversarial robustness testing. Microsoft AI Red Team (AIRT) como referencia de metodología.</w:t>
            </w:r>
          </w:p>
        </w:tc>
      </w:tr>
      <w:tr>
        <w:tc>
          <w:tcPr>
            <w:tcW w:type="dxa" w:w="1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MCP Server Compromise</w:t>
            </w:r>
          </w:p>
        </w:tc>
        <w:tc>
          <w:tcPr>
            <w:tcW w:type="dxa" w:w="260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Supply chain de herramientas agénticas: un MCP server malicioso publicado en npm puede comprometer todos los agentes que lo usan. Primer MCP server malicioso: septiembre 2025. Wallarm: +270% en vulnerabilidades MCP de Q2 a Q3 2025.</w:t>
            </w:r>
          </w:p>
        </w:tc>
        <w:tc>
          <w:tcPr>
            <w:tcW w:type="dxa" w:w="168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ALTO</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SBOM/AIBOM de todos los componentes agénticos. Defender for Cloud Devops Security con escaneo de dependencias. Kill switches que revoquen acceso ante compromiso de supply chain.</w:t>
            </w:r>
          </w:p>
        </w:tc>
      </w:tr>
      <w:tr>
        <w:tc>
          <w:tcPr>
            <w:tcW w:type="dxa" w:w="16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Session Hijacking Agéntico</w:t>
            </w:r>
          </w:p>
        </w:tc>
        <w:tc>
          <w:tcPr>
            <w:tcW w:type="dxa" w:w="260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Robo de cookies de sesión de agentes con capacidades agentic (infostealer AI-powered). Los atacantes se autentican como el agente y ejecutan acciones en su nombre.</w:t>
            </w:r>
          </w:p>
        </w:tc>
        <w:tc>
          <w:tcPr>
            <w:tcW w:type="dxa" w:w="1680"/>
            <w:tcBorders>
              <w:top w:val="single" w:color="AEC9E0" w:sz="1"/>
              <w:left w:val="single" w:color="AEC9E0" w:sz="1"/>
              <w:bottom w:val="single" w:color="AEC9E0" w:sz="1"/>
              <w:right w:val="single" w:color="AEC9E0" w:sz="1"/>
            </w:tcBorders>
            <w:shd w:fill="C55A11"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ALTO</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Entra ID Workload Identity (identidades específicas para non-human identities). Credenciales de corta duración para agentes. Conditional Access para identidades de agentes.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10.1.4 Deepfakes e Identidad Sintética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VECTOR</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DATO DE MERCADO 2026</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MITIGACIÓN</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Voice cloning ejecutivo</w:t>
            </w:r>
          </w:p>
        </w:tc>
        <w:tc>
          <w:tcPr>
            <w:tcW w:type="dxa" w:w="34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Deepfakes de voz clonada de CEO/CFO para autorizar transferencias. Arup sept. 2025: $25M transferidos por deepfake video de ejecutivos en videollamada. Finance worker tricked into $25M transfer. Cada 5 minutos ocurre un deepfake attack (Axios 2024).</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Protocolos out-of-band de verificación de transferencias financieras (NO basados en audio o video). Entra ID MFA resistente a phishing. Entrenamiento específico para equipos de finanzas.</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Synthetic identity fraud</w:t>
            </w:r>
          </w:p>
        </w:tc>
        <w:tc>
          <w:tcPr>
            <w:tcW w:type="dxa" w:w="34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Identidades completamente sintéticas creadas con AI para infiltrarse en organizaciones como empleados o contratistas. Nation-state actors usan AI para forjar personas sintéticas con LinkedIn, GitHub, y referencias laborales falsas pero coherentes.</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Verificación de identidad biométrica con liveness detection (ISO/IEC 30107-3). Entra ID External Identities con verificación de identidad reforzada para contratistas. C2PA content authenticity standards.</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Deepfake en evidencia legal</w:t>
            </w:r>
          </w:p>
        </w:tc>
        <w:tc>
          <w:tcPr>
            <w:tcW w:type="dxa" w:w="34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Mendones v. Cushman &amp; Wakefield (sept. 2025): sanciones terminantes por deepfake videos como evidencia. El 29% de profesionales de ciberseguridad creen que deepfakes son el método principal de ataque a Fortune 500 (Dark Reading).</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Registrar y preservar evidencia digital con hash criptográfico y timestamping desde el momento del incidente. Herramientas de detección de deepfake integradas en el flujo de análisis forense.</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Deepfake-as-a-Service</w:t>
            </w:r>
          </w:p>
        </w:tc>
        <w:tc>
          <w:tcPr>
            <w:tcW w:type="dxa" w:w="3480"/>
            <w:tcBorders>
              <w:top w:val="single" w:color="AEC9E0" w:sz="1"/>
              <w:left w:val="single" w:color="AEC9E0" w:sz="1"/>
              <w:bottom w:val="single" w:color="AEC9E0" w:sz="1"/>
              <w:right w:val="single" w:color="AEC9E0" w:sz="1"/>
            </w:tcBorders>
            <w:shd w:fill="FFF0F0"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La creación de deepfakes convincentes en tiempo real es accesible por &lt;$10 en plataformas de DaaS especializadas. ENISA: deepfakes en 20% de intentos de fraude para 2026.</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Content authenticity (C2PA) en comunicaciones corporativas. Políticas: nunca actuar en solicitudes materiales basadas solo en audio o video. Biometric liveness detection en procesos de autenticación de alto valor.</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10.2 MICROSOFT SECURITY COPILOT + DEFENDER XDR: GUÍA OPERACIONAL</w:t>
      </w:r>
    </w:p>
    <w:p>
      <w:pPr>
        <w:pBdr>
          <w:bottom w:val="single" w:color="BDD7EE" w:sz="4"/>
        </w:pBdr>
        <w:spacing w:before="80" w:after="80"/>
      </w:pPr>
    </w:p>
    <w:p>
      <w:pPr>
        <w:spacing w:before="60" w:after="100"/>
      </w:pPr>
      <w:r>
        <w:rPr>
          <w:rFonts w:ascii="Arial" w:cs="Arial" w:eastAsia="Arial" w:hAnsi="Arial"/>
          <w:color w:val="1A1A2E"/>
          <w:sz w:val="20"/>
          <w:szCs w:val="20"/>
        </w:rPr>
        <w:t xml:space="preserve">Para el CISO con 20,000+ licencias M365 E5, Security Copilot no es una herramienta adicional — es la capa de inteligencia que transforma las señales del ecosistema Defender en insights accionables a velocidad de máquina. Desde Ignite 2025, Security Copilot está incluido en M365 E5 con 400 SCUs/mes por cada 1,000 licencias — sin costo adicional de licencia.</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10.2.1 Arquitectura del Ecosistema de Seguridad Microsoft con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AEC9E0" w:sz="1"/>
              <w:left w:val="single" w:color="AEC9E0" w:sz="1"/>
              <w:bottom w:val="single" w:color="AEC9E0" w:sz="1"/>
              <w:right w:val="single" w:color="AEC9E0" w:sz="1"/>
            </w:tcBorders>
            <w:shd w:fill="0078D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PRODUCTO</w:t>
            </w:r>
          </w:p>
        </w:tc>
        <w:tc>
          <w:tcPr>
            <w:tcW w:type="dxa" w:w="4000"/>
            <w:tcBorders>
              <w:top w:val="single" w:color="AEC9E0" w:sz="1"/>
              <w:left w:val="single" w:color="AEC9E0" w:sz="1"/>
              <w:bottom w:val="single" w:color="AEC9E0" w:sz="1"/>
              <w:right w:val="single" w:color="AEC9E0" w:sz="1"/>
            </w:tcBorders>
            <w:shd w:fill="0078D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ROL EN EL ECOSISTEMA</w:t>
            </w:r>
          </w:p>
        </w:tc>
        <w:tc>
          <w:tcPr>
            <w:tcW w:type="dxa" w:w="3360"/>
            <w:tcBorders>
              <w:top w:val="single" w:color="AEC9E0" w:sz="1"/>
              <w:left w:val="single" w:color="AEC9E0" w:sz="1"/>
              <w:bottom w:val="single" w:color="AEC9E0" w:sz="1"/>
              <w:right w:val="single" w:color="AEC9E0" w:sz="1"/>
            </w:tcBorders>
            <w:shd w:fill="0078D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AGENTE SECURITY COPILOT</w:t>
            </w:r>
          </w:p>
        </w:tc>
      </w:tr>
      <w:tr>
        <w:tc>
          <w:tcPr>
            <w:tcW w:type="dxa" w:w="20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Microsoft Security Copilot (central)</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Capa de orquestación AI que consume señales de todos los productos del stack. Acceso mediante SCUs (standalone) o M365 E5 (incluido). Opera en lenguaje natural → acciones técnicas (KQL, políticas, remediación).</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Threat Intelligence Briefing Agent: curación automatizada de threat intel según el perfil de la organización. Promptbooks predefinidos para workflows repetitivos.</w:t>
            </w:r>
          </w:p>
        </w:tc>
      </w:tr>
      <w:tr>
        <w:tc>
          <w:tcPr>
            <w:tcW w:type="dxa" w:w="20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Defender XDR (Defender 365)</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Correlación cross-producto de señales: endpoint, email, identidad, apps SaaS, cloud. Automatic Attack Disruption interrumpe ataques activos sin intervención humana. Leader en Forrester Wave XDR Q2 2024.</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Phishing Triage Agent (disponible desde Q1 2025, ampliado a identity y cloud alerts). Incident summarization. KQL generation para threat hunting avanzado.</w:t>
            </w:r>
          </w:p>
        </w:tc>
      </w:tr>
      <w:tr>
        <w:tc>
          <w:tcPr>
            <w:tcW w:type="dxa" w:w="20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Microsoft Sentinel (SIEM)</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Data lake de seguridad con retención configurable. Analytics rules + AI-powered UEBA. Workbooks para visualización. Integración nativa con Defender XDR en la Unified SecOps Platform.</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Security Copilot razona sobre el data lake de Sentinel para workflows más ricos y resolución más rápida de incidentes.</w:t>
            </w:r>
          </w:p>
        </w:tc>
      </w:tr>
      <w:tr>
        <w:tc>
          <w:tcPr>
            <w:tcW w:type="dxa" w:w="20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Microsoft Entra ID</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Identity platform con Conditional Access, PIM, Identity Protection (detección de sign-ins de riesgo), Workload Identities para NHIs.</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Conditional Access Optimization Agent: identifica usuarios y apps sin cobertura de políticas, recomienda correcciones. Entra Identity Risk summarization.</w:t>
            </w:r>
          </w:p>
        </w:tc>
      </w:tr>
      <w:tr>
        <w:tc>
          <w:tcPr>
            <w:tcW w:type="dxa" w:w="20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Microsoft Intune</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Device management y configuración. Compliance policies. Endpoint security baselines.</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Vulnerability Remediation Agent: monitorea y prioriza defectos de seguridad y parches en dispositivos administrados.</w:t>
            </w:r>
          </w:p>
        </w:tc>
      </w:tr>
      <w:tr>
        <w:tc>
          <w:tcPr>
            <w:tcW w:type="dxa" w:w="20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Microsoft Purview</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Data governance, clasificación, DLP, Insider Risk Management. Compliance Manager para GDPR, HIPAA, NIST, EU AI Act.</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Alert Triage Agent para riesgo de datos e insider risk. Purview Data Security Investigations para exposición de datos sensibles vinculada a incidentes Defender.</w:t>
            </w:r>
          </w:p>
        </w:tc>
      </w:tr>
      <w:tr>
        <w:tc>
          <w:tcPr>
            <w:tcW w:type="dxa" w:w="20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Defender for Cloud</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CSPM y CWPP para Azure, AWS y GCP. AI Security Posture Management para modelos en Azure AI Foundry y catálogo de modelos externos.</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AI Security Posture Management: visibilidad sobre riesgos en modelos de IA desplegados (Gemini, Llama, Mistral, Gemma, custom). GitHub Advanced Security integrado.</w:t>
            </w:r>
          </w:p>
        </w:tc>
      </w:tr>
      <w:tr>
        <w:tc>
          <w:tcPr>
            <w:tcW w:type="dxa" w:w="20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Defender for Cloud Apps (CASB)</w:t>
            </w:r>
          </w:p>
        </w:tc>
        <w:tc>
          <w:tcPr>
            <w:tcW w:type="dxa" w:w="40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Shadow IT discovery, control de acceso a SaaS, protección de datos en aplicaciones cloud. AI web category filter en Entra Internet Access para gestión de Shadow AI.</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Shadow AI management: detecta y categoriza herramientas de IA no aprobadas usadas en la red corporativa.</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10.2.2 Casos de Uso Operacionales de Security Copilot para el CISO M365 E5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CASO DE USO</w:t>
            </w:r>
          </w:p>
        </w:tc>
        <w:tc>
          <w:tcPr>
            <w:tcW w:type="dxa" w:w="3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 Y PROMPT EJEMPLO</w:t>
            </w:r>
          </w:p>
        </w:tc>
        <w:tc>
          <w:tcPr>
            <w:tcW w:type="dxa" w:w="2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REDUCCIÓN DE TIEMPO</w:t>
            </w:r>
          </w:p>
        </w:tc>
        <w:tc>
          <w:tcPr>
            <w:tcW w:type="dxa" w:w="21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DATO DE REFERENCIA</w:t>
            </w:r>
          </w:p>
        </w:tc>
      </w:tr>
      <w:tr>
        <w:tc>
          <w:tcPr>
            <w:tcW w:type="dxa" w:w="18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Triage y resumen de incidente</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analista abre un incidente en Defender XDR y Security Copilot genera automáticamente: resumen ejecutivo, línea de tiempo, entidades involucradas (usuarios, dispositivos, IPs), acciones de contención recomendadas.
Prompt: 'Resume this incident and tell me what the attacker likely did and what I should do first.'</w:t>
            </w:r>
          </w:p>
        </w:tc>
        <w:tc>
          <w:tcPr>
            <w:tcW w:type="dxa" w:w="22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De 60-90 min a 5-10 min por incidente</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666666"/>
                <w:sz w:val="14"/>
                <w:szCs w:val="14"/>
              </w:rPr>
              <w:t xml:space="preserve">Elanco: reducción de MTTR de ~50% usando Security Copilot + Defender Experts for XDR.</w:t>
            </w:r>
          </w:p>
        </w:tc>
      </w:tr>
      <w:tr>
        <w:tc>
          <w:tcPr>
            <w:tcW w:type="dxa" w:w="18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Generación de KQL para threat hunting</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El analista describe en lenguaje natural la hipótesis de threat hunting — Security Copilot genera la query KQL, la valida y la ejecuta contra el data lake de Sentinel o el Advanced Hunting de Defender XDR.
Prompt: 'Show me all users who logged in from a new country in the last 7 days AND accessed SharePoint within 1 hour.'</w:t>
            </w:r>
          </w:p>
        </w:tc>
        <w:tc>
          <w:tcPr>
            <w:tcW w:type="dxa" w:w="22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De 30-60 min (analista con skills de KQL) a 2-5 min</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666666"/>
                <w:sz w:val="14"/>
                <w:szCs w:val="14"/>
              </w:rPr>
              <w:t xml:space="preserve">Citado por clientes como uso #1 de Security Copilot. Democratiza el threat hunting para analistas sin expertise de scripting.</w:t>
            </w:r>
          </w:p>
        </w:tc>
      </w:tr>
      <w:tr>
        <w:tc>
          <w:tcPr>
            <w:tcW w:type="dxa" w:w="18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Análisis de phishing</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Security Copilot Phishing Triage Agent analiza el email sospechoso, verifica URLs, detonación de adjuntos, comportamiento del remitente, y produce un veredicto con confianza.
Prompt: 'Is this email malicious? Summarize the evidence.'</w:t>
            </w:r>
          </w:p>
        </w:tc>
        <w:tc>
          <w:tcPr>
            <w:tcW w:type="dxa" w:w="22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De 20-40 min por email a proceso autónomo sin analista para el 80% de casos</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666666"/>
                <w:sz w:val="14"/>
                <w:szCs w:val="14"/>
              </w:rPr>
              <w:t xml:space="preserve">Phishing Triage Agent disponible en Defender desde Q1 2025; extendido a identity y cloud alerts.</w:t>
            </w:r>
          </w:p>
        </w:tc>
      </w:tr>
      <w:tr>
        <w:tc>
          <w:tcPr>
            <w:tcW w:type="dxa" w:w="18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Análisis de vulnerabilidades y parches</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Vulnerability Remediation Agent en Intune monitorea el estado de parches, prioriza CVEs por criticidad y exposición real de la organización, y recomienda remediación.
Prompt: 'What are the top 5 unpatched vulnerabilities in my environment that could lead to ransomware?'</w:t>
            </w:r>
          </w:p>
        </w:tc>
        <w:tc>
          <w:tcPr>
            <w:tcW w:type="dxa" w:w="22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De revisión semanal manual a monitoreo continuo automatizado</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666666"/>
                <w:sz w:val="14"/>
                <w:szCs w:val="14"/>
              </w:rPr>
              <w:t xml:space="preserve">Intune Vulnerability Remediation Agent: GA desde Ignite 2025.</w:t>
            </w:r>
          </w:p>
        </w:tc>
      </w:tr>
      <w:tr>
        <w:tc>
          <w:tcPr>
            <w:tcW w:type="dxa" w:w="18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Análisis forense post-incidente</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Después de contener un incidente, Security Copilot analiza los artefactos, reconstruye la cadena de ataque, identifica el vector de entrada inicial, y genera el reporte post-mortem en lenguaje natural.
Prompt: 'Reconstruct the full attack timeline from these incidents and generate a draft post-mortem report.'</w:t>
            </w:r>
          </w:p>
        </w:tc>
        <w:tc>
          <w:tcPr>
            <w:tcW w:type="dxa" w:w="22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De 4-8 horas de análisis forense a 30-60 min con supervisión humana</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666666"/>
                <w:sz w:val="14"/>
                <w:szCs w:val="14"/>
              </w:rPr>
              <w:t xml:space="preserve">Microsoft: 'usar agentes para automatizar procesos y responder a incidentes en minutos en lugar de horas o días.'</w:t>
            </w:r>
          </w:p>
        </w:tc>
      </w:tr>
      <w:tr>
        <w:tc>
          <w:tcPr>
            <w:tcW w:type="dxa" w:w="18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Gestión de políticas de Conditional Access</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Conditional Access Optimization Agent en Entra identifica usuarios y apps sin cobertura de políticas, detecta configuraciones débiles (ej: MFA no requerida para admin roles), y recomienda correcciones.
Prompt: 'Which admin accounts don't have phishing-resistant MFA enforced?'</w:t>
            </w:r>
          </w:p>
        </w:tc>
        <w:tc>
          <w:tcPr>
            <w:tcW w:type="dxa" w:w="22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Revisión manual trimestral → análisis continuo automatizado</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666666"/>
                <w:sz w:val="14"/>
                <w:szCs w:val="14"/>
              </w:rPr>
              <w:t xml:space="preserve">Conditional Access Optimization Agent: disponible en Entra desde Ignite 2025.</w:t>
            </w:r>
          </w:p>
        </w:tc>
      </w:tr>
      <w:tr>
        <w:tc>
          <w:tcPr>
            <w:tcW w:type="dxa" w:w="18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Briefing ejecutivo de threat intelligence</w:t>
            </w:r>
          </w:p>
        </w:tc>
        <w:tc>
          <w:tcPr>
            <w:tcW w:type="dxa" w:w="32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Threat Intelligence Briefing Agent curada diariamente el threat intel relevante para la industria y la organización específica, generando un briefing ejecutivo accionable para el CISO.
Prompt: 'What are the top 3 threats targeting Latin American financial institutions this week?'</w:t>
            </w:r>
          </w:p>
        </w:tc>
        <w:tc>
          <w:tcPr>
            <w:tcW w:type="dxa" w:w="22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bCs/>
                <w:color w:val="1A6E23"/>
                <w:sz w:val="15"/>
                <w:szCs w:val="15"/>
              </w:rPr>
              <w:t xml:space="preserve">De 2-3 horas de análisis manual a briefing automático diario</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666666"/>
                <w:sz w:val="14"/>
                <w:szCs w:val="14"/>
              </w:rPr>
              <w:t xml:space="preserve">Integración con Microsoft Defender Threat Intelligence articles, intel profiles, y vulnerability disclosures.</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10.3 EL SOC AGÉNTICO: DE LA ALERTA AL CIERRE AUTÓNOMO</w:t>
      </w:r>
    </w:p>
    <w:p>
      <w:pPr>
        <w:pBdr>
          <w:bottom w:val="single" w:color="BDD7EE" w:sz="4"/>
        </w:pBdr>
        <w:spacing w:before="80" w:after="80"/>
      </w:pPr>
    </w:p>
    <w:p>
      <w:pPr>
        <w:spacing w:before="60" w:after="100"/>
      </w:pPr>
      <w:r>
        <w:rPr>
          <w:rFonts w:ascii="Arial" w:cs="Arial" w:eastAsia="Arial" w:hAnsi="Arial"/>
          <w:color w:val="1A1A2E"/>
          <w:sz w:val="20"/>
          <w:szCs w:val="20"/>
        </w:rPr>
        <w:t xml:space="preserve">El concepto de SOC Agéntico — descrito por Microsoft como 'agentic SOC' en Ignite 2025 y lanzado comercialmente como Defender Experts Suite el 1 de enero de 2026 — representa el mayor cambio en operaciones de seguridad desde la aparición del SIEM. No es un SOC más automatizado: es un SOC donde los agentes de IA tienen roles, responsabilidades y capacidades de decisión definidos, con los analistas humanos concentrados en supervisión estratégica y casos de alta complejidad.</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10.3.1 Modelo de Responsabilidad en el SOC Agéntico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2160"/>
      </w:tblGrid>
      <w:tr>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NIVEL</w:t>
            </w:r>
          </w:p>
        </w:tc>
        <w:tc>
          <w:tcPr>
            <w:tcW w:type="dxa" w:w="3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AGENTE / ROL</w:t>
            </w:r>
          </w:p>
        </w:tc>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RESPONSABILIDADES</w:t>
            </w:r>
          </w:p>
        </w:tc>
        <w:tc>
          <w:tcPr>
            <w:tcW w:type="dxa" w:w="21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SUPERVISIÓN HUMANA</w:t>
            </w:r>
          </w:p>
        </w:tc>
      </w:tr>
      <w:tr>
        <w:tc>
          <w:tcPr>
            <w:tcW w:type="dxa" w:w="1200"/>
            <w:tcBorders>
              <w:top w:val="single" w:color="AEC9E0" w:sz="1"/>
              <w:left w:val="single" w:color="AEC9E0" w:sz="1"/>
              <w:bottom w:val="single" w:color="AEC9E0" w:sz="1"/>
              <w:right w:val="single" w:color="AEC9E0" w:sz="1"/>
            </w:tcBorders>
            <w:shd w:fill="1A6E23"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NIVEL 0
AUTÓNOMO</w:t>
            </w:r>
          </w:p>
        </w:tc>
        <w:tc>
          <w:tcPr>
            <w:tcW w:type="dxa" w:w="32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spacing w:before="60" w:after="100"/>
            </w:pPr>
            <w:r>
              <w:rPr>
                <w:rFonts w:ascii="Arial" w:cs="Arial" w:eastAsia="Arial" w:hAnsi="Arial"/>
                <w:b/>
                <w:bCs/>
                <w:color w:val="0078D4"/>
                <w:sz w:val="15"/>
                <w:szCs w:val="15"/>
              </w:rPr>
              <w:t xml:space="preserve">Phishing Triage Agent</w:t>
            </w:r>
          </w:p>
          <w:p>
            <w:pPr>
              <w:spacing w:before="60" w:after="100"/>
            </w:pPr>
            <w:r>
              <w:rPr>
                <w:rFonts w:ascii="Arial" w:cs="Arial" w:eastAsia="Arial" w:hAnsi="Arial"/>
                <w:b/>
                <w:bCs/>
                <w:color w:val="0078D4"/>
                <w:sz w:val="15"/>
                <w:szCs w:val="15"/>
              </w:rPr>
              <w:t xml:space="preserve">Alert Correlation (Defender XDR Automatic)</w:t>
            </w:r>
          </w:p>
          <w:p>
            <w:pPr>
              <w:spacing w:before="60" w:after="100"/>
            </w:pPr>
            <w:r>
              <w:rPr>
                <w:rFonts w:ascii="Arial" w:cs="Arial" w:eastAsia="Arial" w:hAnsi="Arial"/>
                <w:b/>
                <w:bCs/>
                <w:color w:val="0078D4"/>
                <w:sz w:val="15"/>
                <w:szCs w:val="15"/>
              </w:rPr>
              <w:t xml:space="preserve">Vulnerability Remediation Agent (Intune)</w:t>
            </w:r>
          </w:p>
        </w:tc>
        <w:tc>
          <w:tcPr>
            <w:tcW w:type="dxa" w:w="28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Clasificación de alertas de phishing (benigno/malicioso). Correlación automática de alertas en incidentes. Priorización de CVEs por riesgo real. Envío de notificaciones de parche.</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Revisión muestral semanal de decisiones del agente. Métricas de precisión mensuales. Ajuste de umbrales de confianza.</w:t>
            </w:r>
          </w:p>
        </w:tc>
      </w:tr>
      <w:tr>
        <w:tc>
          <w:tcPr>
            <w:tcW w:type="dxa" w:w="1200"/>
            <w:tcBorders>
              <w:top w:val="single" w:color="AEC9E0" w:sz="1"/>
              <w:left w:val="single" w:color="AEC9E0" w:sz="1"/>
              <w:bottom w:val="single" w:color="AEC9E0" w:sz="1"/>
              <w:right w:val="single" w:color="AEC9E0" w:sz="1"/>
            </w:tcBorders>
            <w:shd w:fill="2E75B6"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NIVEL 1
ASISTIDO</w:t>
            </w:r>
          </w:p>
        </w:tc>
        <w:tc>
          <w:tcPr>
            <w:tcW w:type="dxa" w:w="32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spacing w:before="60" w:after="100"/>
            </w:pPr>
            <w:r>
              <w:rPr>
                <w:rFonts w:ascii="Arial" w:cs="Arial" w:eastAsia="Arial" w:hAnsi="Arial"/>
                <w:b/>
                <w:bCs/>
                <w:color w:val="0078D4"/>
                <w:sz w:val="15"/>
                <w:szCs w:val="15"/>
              </w:rPr>
              <w:t xml:space="preserve">Security Copilot + Analista Tier 1</w:t>
            </w:r>
          </w:p>
          <w:p>
            <w:pPr>
              <w:spacing w:before="60" w:after="100"/>
            </w:pPr>
            <w:r>
              <w:rPr>
                <w:rFonts w:ascii="Arial" w:cs="Arial" w:eastAsia="Arial" w:hAnsi="Arial"/>
                <w:b/>
                <w:bCs/>
                <w:color w:val="0078D4"/>
                <w:sz w:val="15"/>
                <w:szCs w:val="15"/>
              </w:rPr>
              <w:t xml:space="preserve">Conditional Access Optimization Agent + IAM Admin</w:t>
            </w:r>
          </w:p>
          <w:p>
            <w:pPr>
              <w:spacing w:before="60" w:after="100"/>
            </w:pPr>
            <w:r>
              <w:rPr>
                <w:rFonts w:ascii="Arial" w:cs="Arial" w:eastAsia="Arial" w:hAnsi="Arial"/>
                <w:b/>
                <w:bCs/>
                <w:color w:val="0078D4"/>
                <w:sz w:val="15"/>
                <w:szCs w:val="15"/>
              </w:rPr>
              <w:t xml:space="preserve">Threat Intelligence Briefing Agent + Threat Analyst</w:t>
            </w:r>
          </w:p>
        </w:tc>
        <w:tc>
          <w:tcPr>
            <w:tcW w:type="dxa" w:w="28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Triage de incidentes con resumen y recomendaciones generadas por AI. Revisión y aplicación de recomendaciones de políticas de CA. Consumo y validación del briefing diario de TI.</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Analista revisa y aprueba cada decisión antes de ejecutar contención. IAM Admin valida cambios de política antes de aplicar. Threat analyst contextualiza el briefing con conocimiento de la organización.</w:t>
            </w:r>
          </w:p>
        </w:tc>
      </w:tr>
      <w:tr>
        <w:tc>
          <w:tcPr>
            <w:tcW w:type="dxa" w:w="1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NIVEL 2
ESTRATÉGICO</w:t>
            </w:r>
          </w:p>
        </w:tc>
        <w:tc>
          <w:tcPr>
            <w:tcW w:type="dxa" w:w="32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spacing w:before="60" w:after="100"/>
            </w:pPr>
            <w:r>
              <w:rPr>
                <w:rFonts w:ascii="Arial" w:cs="Arial" w:eastAsia="Arial" w:hAnsi="Arial"/>
                <w:b/>
                <w:bCs/>
                <w:color w:val="0078D4"/>
                <w:sz w:val="15"/>
                <w:szCs w:val="15"/>
              </w:rPr>
              <w:t xml:space="preserve">Analista Senior + Security Copilot</w:t>
            </w:r>
          </w:p>
          <w:p>
            <w:pPr>
              <w:spacing w:before="60" w:after="100"/>
            </w:pPr>
            <w:r>
              <w:rPr>
                <w:rFonts w:ascii="Arial" w:cs="Arial" w:eastAsia="Arial" w:hAnsi="Arial"/>
                <w:b/>
                <w:bCs/>
                <w:color w:val="0078D4"/>
                <w:sz w:val="15"/>
                <w:szCs w:val="15"/>
              </w:rPr>
              <w:t xml:space="preserve">Incident Responder + Copilot Forensics</w:t>
            </w:r>
          </w:p>
        </w:tc>
        <w:tc>
          <w:tcPr>
            <w:tcW w:type="dxa" w:w="28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Investigación de incidentes de alta complejidad. Threat hunting hipótesis-driven con KQL generado. Análisis forense post-incidente. Definición de nuevas analytics rules.</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Decisiones de escalación, contención y comunicación ejecutiva siempre humanas. Security Copilot como asistente, no como decisor.</w:t>
            </w:r>
          </w:p>
        </w:tc>
      </w:tr>
      <w:tr>
        <w:tc>
          <w:tcPr>
            <w:tcW w:type="dxa" w:w="1200"/>
            <w:tcBorders>
              <w:top w:val="single" w:color="AEC9E0" w:sz="1"/>
              <w:left w:val="single" w:color="AEC9E0" w:sz="1"/>
              <w:bottom w:val="single" w:color="AEC9E0" w:sz="1"/>
              <w:right w:val="single" w:color="AEC9E0" w:sz="1"/>
            </w:tcBorders>
            <w:shd w:fill="C6A619" w:val="clear"/>
            <w:tcMar>
              <w:top w:type="dxa" w:w="70"/>
              <w:left w:type="dxa" w:w="120"/>
              <w:bottom w:type="dxa" w:w="70"/>
              <w:right w:type="dxa" w:w="120"/>
            </w:tcMar>
            <w:vAlign w:val="center"/>
          </w:tcPr>
          <w:p>
            <w:pPr>
              <w:jc w:val="center"/>
            </w:pPr>
            <w:r>
              <w:rPr>
                <w:rFonts w:ascii="Arial" w:cs="Arial" w:eastAsia="Arial" w:hAnsi="Arial"/>
                <w:b/>
                <w:bCs/>
                <w:color w:val="1A1A2E"/>
                <w:sz w:val="17"/>
                <w:szCs w:val="17"/>
              </w:rPr>
              <w:t xml:space="preserve">NIVEL 3
EJECUTIVO</w:t>
            </w:r>
          </w:p>
        </w:tc>
        <w:tc>
          <w:tcPr>
            <w:tcW w:type="dxa" w:w="32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spacing w:before="60" w:after="100"/>
            </w:pPr>
            <w:r>
              <w:rPr>
                <w:rFonts w:ascii="Arial" w:cs="Arial" w:eastAsia="Arial" w:hAnsi="Arial"/>
                <w:b/>
                <w:bCs/>
                <w:color w:val="1A1A2E"/>
                <w:sz w:val="15"/>
                <w:szCs w:val="15"/>
              </w:rPr>
              <w:t xml:space="preserve">CISO + AI Governance Committee</w:t>
            </w:r>
          </w:p>
        </w:tc>
        <w:tc>
          <w:tcPr>
            <w:tcW w:type="dxa" w:w="28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Supervisión del modelo de gobernanza del SOC agéntico. Definición de umbrales de autonomía por tipo de acción. Aprobación de playbooks de Automatic Attack Disruption. Reporte al Board.</w:t>
            </w:r>
          </w:p>
        </w:tc>
        <w:tc>
          <w:tcPr>
            <w:tcW w:type="dxa" w:w="21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Responsabilidad última en el CISO. Los agentes tienen mandato operativo definido — el CISO define los límites de ese mandato.</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10.3.2 Automatic Attack Disruption: El Activo Más Infrautilizado de Defender XDR</w:t>
      </w:r>
    </w:p>
    <w:p>
      <w:pPr>
        <w:spacing w:before="60" w:after="100"/>
      </w:pPr>
      <w:r>
        <w:rPr>
          <w:rFonts w:ascii="Arial" w:cs="Arial" w:eastAsia="Arial" w:hAnsi="Arial"/>
          <w:color w:val="1A1A2E"/>
          <w:sz w:val="20"/>
          <w:szCs w:val="20"/>
        </w:rPr>
        <w:t xml:space="preserve">Automatic Attack Disruption es la capacidad de Defender XDR de interrumpir un ataque activo en curso — containiendo dispositivos, suspendiendo cuentas comprometidas, bloqueando movimiento lateral — </w:t>
      </w:r>
      <w:r>
        <w:rPr>
          <w:rFonts w:ascii="Arial" w:cs="Arial" w:eastAsia="Arial" w:hAnsi="Arial"/>
          <w:b/>
          <w:bCs/>
          <w:color w:val="1A1A2E"/>
          <w:sz w:val="20"/>
          <w:szCs w:val="20"/>
        </w:rPr>
        <w:t xml:space="preserve">sin intervención humana previa</w:t>
      </w:r>
      <w:r>
        <w:rPr>
          <w:rFonts w:ascii="Arial" w:cs="Arial" w:eastAsia="Arial" w:hAnsi="Arial"/>
          <w:color w:val="1A1A2E"/>
          <w:sz w:val="20"/>
          <w:szCs w:val="20"/>
        </w:rPr>
        <w:t xml:space="preserve"> y basándose en la correlación de señales cross-producto. Es el control de seguridad agéntico más poderoso disponible en el ecosistema Microsoft, y uno de los menos configurados activamente.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ESCENARIO DE ATAQUE</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 AUTOMÁTICA DE DISRUPTION</w:t>
            </w:r>
          </w:p>
        </w:tc>
        <w:tc>
          <w:tcPr>
            <w:tcW w:type="dxa" w:w="348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REQUISITO PREVIO</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Human-Operated Ransomware (HumOR)</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Cuando Defender XDR detecta el patrón de un ataque de ransomware humano-operado en progreso: aísla automáticamente los dispositivos comprometidos del movimiento lateral mientras mantiene la conectividad con el SOC para el analista.</w:t>
            </w:r>
          </w:p>
        </w:tc>
        <w:tc>
          <w:tcPr>
            <w:tcW w:type="dxa" w:w="34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Defender for Endpoint P2 en todos los dispositivos en scope. Automatic Attack Disruption habilitado y configurado en Defender XDR.</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Adversary-in-the-Middle (AiTM) Phishing</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Cuando se detecta una sesión comprometida via AiTM (robo de token de sesión que bypasea MFA): revoca automáticamente la sesión y fuerza re-autenticación del usuario.</w:t>
            </w:r>
          </w:p>
        </w:tc>
        <w:tc>
          <w:tcPr>
            <w:tcW w:type="dxa" w:w="34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Entra ID Identity Protection integrado con Defender XDR. Conditional Access con Session Risk evaluación.</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Business Email Compromise (BEC)</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Cuando se detecta un patrón de BEC (regla de reenvío maliciosa + actividad inusual en buzón): suspende el usuario comprometido y bloquea las acciones de exfiltración de datos.</w:t>
            </w:r>
          </w:p>
        </w:tc>
        <w:tc>
          <w:tcPr>
            <w:tcW w:type="dxa" w:w="34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Defender for Office 365 P2 + integración con Entra ID para acción cross-producto.</w:t>
            </w:r>
          </w:p>
        </w:tc>
      </w:tr>
      <w:tr>
        <w:tc>
          <w:tcPr>
            <w:tcW w:type="dxa" w:w="2400"/>
            <w:tcBorders>
              <w:top w:val="single" w:color="AEC9E0" w:sz="1"/>
              <w:left w:val="single" w:color="AEC9E0" w:sz="1"/>
              <w:bottom w:val="single" w:color="AEC9E0" w:sz="1"/>
              <w:right w:val="single" w:color="AEC9E0" w:sz="1"/>
            </w:tcBorders>
            <w:shd w:fill="F2F2F2" w:val="clear"/>
            <w:tcMar>
              <w:top w:type="dxa" w:w="70"/>
              <w:left w:type="dxa" w:w="120"/>
              <w:bottom w:type="dxa" w:w="70"/>
              <w:right w:type="dxa" w:w="120"/>
            </w:tcMar>
            <w:vAlign w:val="top"/>
          </w:tcPr>
          <w:p>
            <w:pPr>
              <w:jc w:val="left"/>
            </w:pPr>
            <w:r>
              <w:rPr>
                <w:rFonts w:ascii="Arial" w:cs="Arial" w:eastAsia="Arial" w:hAnsi="Arial"/>
                <w:b/>
                <w:bCs/>
                <w:color w:val="1A1A2E"/>
                <w:sz w:val="15"/>
                <w:szCs w:val="15"/>
              </w:rPr>
              <w:t xml:space="preserve">Insider Threat / Cuenta Comprometida</w:t>
            </w:r>
          </w:p>
        </w:tc>
        <w:tc>
          <w:tcPr>
            <w:tcW w:type="dxa" w:w="348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5"/>
                <w:szCs w:val="15"/>
              </w:rPr>
              <w:t xml:space="preserve">Cuando un usuario interno muestra comportamiento anómalo consistente con una cuenta comprometida o amenaza interna: aplica acciones de remediación escalonadas (más MFA, restricción de acceso) antes de la intervención humana.</w:t>
            </w:r>
          </w:p>
        </w:tc>
        <w:tc>
          <w:tcPr>
            <w:tcW w:type="dxa" w:w="348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Microsoft Purview Insider Risk Management + Entra ID Identity Protection. Definición de umbrales de sensibilidad apropiados para el contexto.</w:t>
            </w:r>
          </w:p>
        </w:tc>
      </w:tr>
    </w:tbl>
    <w:p>
      <w:pPr>
        <w:spacing w:before="30" w:after="30"/>
      </w:pPr>
      <w:r>
        <w:t xml:space="preserve"/>
      </w:r>
    </w:p>
    <w:p>
      <w:pPr>
        <w:shd w:fill="EFF6FF" w:val="clear"/>
        <w:spacing w:before="100" w:after="100"/>
        <w:ind w:left="280" w:right="280"/>
      </w:pPr>
      <w:r>
        <w:rPr>
          <w:rFonts w:ascii="Arial" w:cs="Arial" w:eastAsia="Arial" w:hAnsi="Arial"/>
          <w:b/>
          <w:bCs/>
          <w:color w:val="0078D4"/>
          <w:sz w:val="18"/>
          <w:szCs w:val="18"/>
        </w:rPr>
        <w:t xml:space="preserve">🔑 Para el CISO con 20,000+ M365 E5: </w:t>
      </w:r>
      <w:r>
        <w:rPr>
          <w:rFonts w:ascii="Arial" w:cs="Arial" w:eastAsia="Arial" w:hAnsi="Arial"/>
          <w:color w:val="0078D4"/>
          <w:sz w:val="18"/>
          <w:szCs w:val="18"/>
        </w:rPr>
        <w:t xml:space="preserve">Con 20,000 usuarios, la asignación base de Security Copilot es de 8,000 SCUs/mes (400 SCUs × 20 de mil usuarios). Esto permite un uso operacional continuo de los agentes integrados sin costo adicional de licencia. La prioridad de activación recomendada: (1) Phishing Triage Agent en Defender, (2) Conditional Access Optimization en Entra, (3) Vulnerability Remediation en Intune, (4) Alert Triage en Purview. Luego, habilitar Automatic Attack Disruption en Defender XDR para los escenarios HumOR y AiTM como mínimo.</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10.4 DEEPFAKES, PHISHING AI Y FRAUDE SINTÉTICO: PLAYBOOK DE RESPUESTA</w:t>
      </w:r>
    </w:p>
    <w:p>
      <w:pPr>
        <w:pBdr>
          <w:bottom w:val="single" w:color="BDD7EE" w:sz="4"/>
        </w:pBdr>
        <w:spacing w:before="80" w:after="80"/>
      </w:pPr>
    </w:p>
    <w:p>
      <w:pPr>
        <w:spacing w:before="60" w:after="100"/>
      </w:pPr>
      <w:r>
        <w:rPr>
          <w:rFonts w:ascii="Arial" w:cs="Arial" w:eastAsia="Arial" w:hAnsi="Arial"/>
          <w:color w:val="1A1A2E"/>
          <w:sz w:val="20"/>
          <w:szCs w:val="20"/>
        </w:rPr>
        <w:t xml:space="preserve">La amenaza de deepfake más peligrosa para una organización en sector financiero en LATAM no es la del video viral — es la de la videollamada de autorización de transferencia, el mensaje de voz del CEO para un controller, o el empleado sintético en el proceso de onboarding. Este playbook provee controles específicos y protocolos de respuesta.</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10.4.1 Controles Preventivos (Antes del Incidente)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CONTROL</w:t>
            </w:r>
          </w:p>
        </w:tc>
        <w:tc>
          <w:tcPr>
            <w:tcW w:type="dxa" w:w="28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DESCRIPCIÓN</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IMPLEMENTACIÓN M365</w:t>
            </w:r>
          </w:p>
        </w:tc>
        <w:tc>
          <w:tcPr>
            <w:tcW w:type="dxa" w:w="25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POLÍTICA ORGANIZACIONAL</w:t>
            </w:r>
          </w:p>
        </w:tc>
      </w:tr>
      <w:tr>
        <w:tc>
          <w:tcPr>
            <w:tcW w:type="dxa" w:w="16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MFA Resistente a Phishing</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FIDO2 security keys o Windows Hello for Business. Impide el bypass de MFA via AiTM incluso si el atacante roba el token de sesión.</w:t>
            </w:r>
          </w:p>
        </w:tc>
        <w:tc>
          <w:tcPr>
            <w:tcW w:type="dxa" w:w="2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Entra ID Conditional Access con control 'Require authentication strength: Phishing-resistant MFA'. Aplicar a todos los admin roles como prioridad.</w:t>
            </w:r>
          </w:p>
        </w:tc>
        <w:tc>
          <w:tcPr>
            <w:tcW w:type="dxa" w:w="2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Política: Todos los accesos a sistemas financieros requieren MFA resistente a phishing. Sin excepción para ejecutivos.</w:t>
            </w:r>
          </w:p>
        </w:tc>
      </w:tr>
      <w:tr>
        <w:tc>
          <w:tcPr>
            <w:tcW w:type="dxa" w:w="16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Protocolo de Verificación Out-of-Band</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Para cualquier solicitud de autorización de transferencia financiera recibida por video, audio o email — verificar siempre por un canal previamente establecido y diferente (llamada a número de agenda, no al número del mensaje).</w:t>
            </w:r>
          </w:p>
        </w:tc>
        <w:tc>
          <w:tcPr>
            <w:tcW w:type="dxa" w:w="2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No es una solución tecnológica — es un protocolo humano. Reforzar con Microsoft Teams Verified Calls y políticas de comunicación segura.</w:t>
            </w:r>
          </w:p>
        </w:tc>
        <w:tc>
          <w:tcPr>
            <w:tcW w:type="dxa" w:w="2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Política formal: 'Ninguna transferencia &gt;$X se autoriza basada solo en comunicación digital sin verificación adicional.' Simulacros trimestrales.</w:t>
            </w:r>
          </w:p>
        </w:tc>
      </w:tr>
      <w:tr>
        <w:tc>
          <w:tcPr>
            <w:tcW w:type="dxa" w:w="16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Content Authenticity (C2PA)</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Coalition for Content Provenance and Authenticity (C2PA): estándar de autenticidad que embebe metadatos criptográficos en contenido multimedia, permitiendo verificar origen y modificaciones.</w:t>
            </w:r>
          </w:p>
        </w:tc>
        <w:tc>
          <w:tcPr>
            <w:tcW w:type="dxa" w:w="2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Microsoft implementa C2PA en Bing Image Creator y herramientas de generación de contenido. Verificadores de C2PA disponibles como browser extensions.</w:t>
            </w:r>
          </w:p>
        </w:tc>
        <w:tc>
          <w:tcPr>
            <w:tcW w:type="dxa" w:w="2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Política: Todos los materiales de comunicación oficial de la organización incluyen marcas de autenticidad C2PA cuando sea posible.</w:t>
            </w:r>
          </w:p>
        </w:tc>
      </w:tr>
      <w:tr>
        <w:tc>
          <w:tcPr>
            <w:tcW w:type="dxa" w:w="16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Biometric Liveness Detection</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Para procesos de onboarding de empleados y contratistas remotos: verificación biométrica con liveness detection (ISO/IEC 30107-3) que detecta presentación de imagen o video sintético.</w:t>
            </w:r>
          </w:p>
        </w:tc>
        <w:tc>
          <w:tcPr>
            <w:tcW w:type="dxa" w:w="2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Microsoft Entra Verified ID para credenciales verificables de identidad. Integración con proveedores de liveness detection (Idemia, iProov) via Entra External Identities.</w:t>
            </w:r>
          </w:p>
        </w:tc>
        <w:tc>
          <w:tcPr>
            <w:tcW w:type="dxa" w:w="2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Política: Todo onboarding remoto de empleados o contratistas con acceso a sistemas sensibles requiere liveness detection certificado.</w:t>
            </w:r>
          </w:p>
        </w:tc>
      </w:tr>
      <w:tr>
        <w:tc>
          <w:tcPr>
            <w:tcW w:type="dxa" w:w="16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AI Literacy y Simulacros</w:t>
            </w:r>
          </w:p>
        </w:tc>
        <w:tc>
          <w:tcPr>
            <w:tcW w:type="dxa" w:w="28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Entrenamiento específico de equipos de finanzas, RRHH y ejecutivos en reconocimiento de deepfakes, protocolos de verificación, y las tácticas de ingeniería social AI-powered más comunes.</w:t>
            </w:r>
          </w:p>
        </w:tc>
        <w:tc>
          <w:tcPr>
            <w:tcW w:type="dxa" w:w="2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Microsoft Defender for Office 365 Attack Simulator: simulacros de phishing personalizables incluyendo escenarios de vishing/deepfake.</w:t>
            </w:r>
          </w:p>
        </w:tc>
        <w:tc>
          <w:tcPr>
            <w:tcW w:type="dxa" w:w="256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7F4F00"/>
                <w:sz w:val="14"/>
                <w:szCs w:val="14"/>
              </w:rPr>
              <w:t xml:space="preserve">Tabletops trimestrales de escenario deepfake para el equipo de finanzas. Métricas: tasa de reporte de intentos sospechosos vs. tasa de compliance con protocolo.</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10.4.2 Protocolo de Respuesta ante Incidente de Deepfake / Fraude Sintético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top"/>
          </w:tcPr>
          <w:p>
            <w:pPr>
              <w:jc w:val="left"/>
            </w:pPr>
            <w:r>
              <w:rPr>
                <w:rFonts w:ascii="Arial" w:cs="Arial" w:eastAsia="Arial" w:hAnsi="Arial"/>
                <w:b/>
                <w:bCs/>
                <w:color w:val="FFFFFF"/>
                <w:sz w:val="17"/>
                <w:szCs w:val="17"/>
              </w:rPr>
              <w:t xml:space="preserve">FASE 1 (0-30 min): DETECCIÓN Y CONTENCIÓN INMEDIATA</w:t>
            </w:r>
          </w:p>
        </w:tc>
      </w:tr>
    </w:tbl>
    <w:p>
      <w:pPr>
        <w:spacing w:before="60" w:after="100"/>
        <w:ind w:left="400"/>
      </w:pPr>
      <w:r>
        <w:rPr>
          <w:rFonts w:ascii="Arial" w:cs="Arial" w:eastAsia="Arial" w:hAnsi="Arial"/>
          <w:color w:val="1A1A2E"/>
          <w:sz w:val="16"/>
          <w:szCs w:val="16"/>
        </w:rPr>
        <w:t xml:space="preserve">• Si se detecta una transferencia fraudulenta en proceso: contactar inmediatamente al banco para congelar la transacción. La ventana de reversión es de minutos.
• Si se detecta un empleado sintético infiltrado: suspender inmediatamente el acceso en Entra ID (Disable User + Revoke All Sessions) y aislar los sistemas a los que tuvo acceso.
• Preservar toda la evidencia digital con hash SHA-256 antes de cualquier modificación: logs de Entra, grabaciones de videoconferencia, emails, metadata.
• Activar el AI Incident Response Plan (AI IRP) — ver Fase 7.5 — con clasificación de tipo de incidente como 'deepfake/synthetic identity'.</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top"/>
          </w:tcPr>
          <w:p>
            <w:pPr>
              <w:jc w:val="left"/>
            </w:pPr>
            <w:r>
              <w:rPr>
                <w:rFonts w:ascii="Arial" w:cs="Arial" w:eastAsia="Arial" w:hAnsi="Arial"/>
                <w:b/>
                <w:bCs/>
                <w:color w:val="FFFFFF"/>
                <w:sz w:val="17"/>
                <w:szCs w:val="17"/>
              </w:rPr>
              <w:t xml:space="preserve">FASE 2 (30 min - 4h): INVESTIGACIÓN</w:t>
            </w:r>
          </w:p>
        </w:tc>
      </w:tr>
    </w:tbl>
    <w:p>
      <w:pPr>
        <w:spacing w:before="60" w:after="100"/>
        <w:ind w:left="400"/>
      </w:pPr>
      <w:r>
        <w:rPr>
          <w:rFonts w:ascii="Arial" w:cs="Arial" w:eastAsia="Arial" w:hAnsi="Arial"/>
          <w:color w:val="1A1A2E"/>
          <w:sz w:val="16"/>
          <w:szCs w:val="16"/>
        </w:rPr>
        <w:t xml:space="preserve">• Security Copilot: usar el prompt 'Reconstruct the timeline of [user/device] activities in the last 48 hours' para reconstruir la secuencia de acceso del actor sintético.
• KQL en Defender XDR Advanced Hunting: buscar todas las acciones realizadas por el usuario comprometido o el agente de acceso.
• Determinar: ¿fue un deepfake de comunicación (video/audio) o de identidad (empleado sintético)? La respuesta define el scope de la investigación.
• Analizar los logs de Entra Identity Protection para identificar sign-ins de riesgo asociados con el incidente.
• Si hay obligación de notificación regulatoria: DORA (4h para incidentes mayores en financiero EU), GDPR (72h si hay datos personales comprometidos).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top"/>
          </w:tcPr>
          <w:p>
            <w:pPr>
              <w:jc w:val="left"/>
            </w:pPr>
            <w:r>
              <w:rPr>
                <w:rFonts w:ascii="Arial" w:cs="Arial" w:eastAsia="Arial" w:hAnsi="Arial"/>
                <w:b/>
                <w:bCs/>
                <w:color w:val="FFFFFF"/>
                <w:sz w:val="17"/>
                <w:szCs w:val="17"/>
              </w:rPr>
              <w:t xml:space="preserve">FASE 3 (4h - 24h): REMEDIACIÓN Y COMUNICACIÓN</w:t>
            </w:r>
          </w:p>
        </w:tc>
      </w:tr>
    </w:tbl>
    <w:p>
      <w:pPr>
        <w:spacing w:before="60" w:after="100"/>
        <w:ind w:left="400"/>
      </w:pPr>
      <w:r>
        <w:rPr>
          <w:rFonts w:ascii="Arial" w:cs="Arial" w:eastAsia="Arial" w:hAnsi="Arial"/>
          <w:color w:val="1A1A2E"/>
          <w:sz w:val="16"/>
          <w:szCs w:val="16"/>
        </w:rPr>
        <w:t xml:space="preserve">• Implementar controles adicionales en la entidad afectada: revisar todas las solicitudes de transferencia recientes, auditar cambios de configuración, verificar integridad de datos sensibles.
• Comunicación interna: informar a los equipos afectados sobre el incidente y actualizar los protocolos de verificación. No esperar a la resolución completa para comunicar el riesgo.
• Si hubo fraude financiero confirmado: coordinar con el equipo legal para la denuncia y preservación de evidencia para proceso judicial.
• Actualizar el Attack Simulator de Defender for O365 con el escenario real para el próximo simulacro del equipo de finanzas.</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top"/>
          </w:tcPr>
          <w:p>
            <w:pPr>
              <w:jc w:val="left"/>
            </w:pPr>
            <w:r>
              <w:rPr>
                <w:rFonts w:ascii="Arial" w:cs="Arial" w:eastAsia="Arial" w:hAnsi="Arial"/>
                <w:b/>
                <w:bCs/>
                <w:color w:val="FFFFFF"/>
                <w:sz w:val="17"/>
                <w:szCs w:val="17"/>
              </w:rPr>
              <w:t xml:space="preserve">POST-INCIDENTE (72h): LECCIONES APRENDIDAS</w:t>
            </w:r>
          </w:p>
        </w:tc>
      </w:tr>
    </w:tbl>
    <w:p>
      <w:pPr>
        <w:spacing w:before="60" w:after="100"/>
        <w:ind w:left="400"/>
      </w:pPr>
      <w:r>
        <w:rPr>
          <w:rFonts w:ascii="Arial" w:cs="Arial" w:eastAsia="Arial" w:hAnsi="Arial"/>
          <w:color w:val="1A1A2E"/>
          <w:sz w:val="16"/>
          <w:szCs w:val="16"/>
        </w:rPr>
        <w:t xml:space="preserve">• Post-mortem con el modelo de las 5 fases del AI IRP (Fase 7.5): ¿qué control falló, por qué, qué se modificará?
• Actualizar el protocolo de verificación out-of-band si fue el vector de fallo.
• Si el incidente involucró un sistema de IA de la organización comprometido (data poisoning, prompt injection): aplicar el OWASP Agentic Top 10 como checklist de remediación.</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10.5 DEFENDER FOR AI: ASEGURAR LOS SISTEMAS DE IA PROPIOS</w:t>
      </w:r>
    </w:p>
    <w:p>
      <w:pPr>
        <w:pBdr>
          <w:bottom w:val="single" w:color="BDD7EE" w:sz="4"/>
        </w:pBdr>
        <w:spacing w:before="80" w:after="80"/>
      </w:pPr>
    </w:p>
    <w:p>
      <w:pPr>
        <w:spacing w:before="60" w:after="100"/>
      </w:pPr>
      <w:r>
        <w:rPr>
          <w:rFonts w:ascii="Arial" w:cs="Arial" w:eastAsia="Arial" w:hAnsi="Arial"/>
          <w:color w:val="1A1A2E"/>
          <w:sz w:val="20"/>
          <w:szCs w:val="20"/>
        </w:rPr>
        <w:t xml:space="preserve">La Fase 10 de este informe identifica un shift paradigmático en la responsabilidad del CISO: ya no es suficiente con asegurar la infraestructura tradicional. </w:t>
      </w:r>
      <w:r>
        <w:rPr>
          <w:rFonts w:ascii="Arial" w:cs="Arial" w:eastAsia="Arial" w:hAnsi="Arial"/>
          <w:b/>
          <w:bCs/>
          <w:color w:val="1A1A2E"/>
          <w:sz w:val="20"/>
          <w:szCs w:val="20"/>
        </w:rPr>
        <w:t xml:space="preserve">Los sistemas de IA propios — los agentes de Copilot Studio, los modelos en Azure AI Foundry, los pipelines de RAG — son superficies de ataque que requieren controles específicos.</w:t>
      </w:r>
      <w:r>
        <w:rPr>
          <w:rFonts w:ascii="Arial" w:cs="Arial" w:eastAsia="Arial" w:hAnsi="Arial"/>
          <w:color w:val="1A1A2E"/>
          <w:sz w:val="20"/>
          <w:szCs w:val="20"/>
        </w:rPr>
        <w:t xml:space="preserve"> Microsoft ha lanzado en 2025 un conjunto de capacidades bajo el paraguas de 'Defender for AI' que abordan exactamente este problema.</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10.5.1 Capacidades de AI Security en el Stack Microsoft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CAPACIDAD</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QUÉ HACE</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DÓNDE ESTÁ</w:t>
            </w:r>
          </w:p>
        </w:tc>
        <w:tc>
          <w:tcPr>
            <w:tcW w:type="dxa" w:w="21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ESTADO</w:t>
            </w:r>
          </w:p>
        </w:tc>
      </w:tr>
      <w:tr>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AI Security Posture Management</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Visibilidad sobre los riesgos de seguridad en modelos de IA desplegados: Azure AI Foundry, Google Vertex AI, y modelos del catálogo (Gemma, Gemini, Llama, Meta, Mistral, custom). Identifica configuraciones inseguras, exposición de datos, y riesgos de acceso.</w:t>
            </w:r>
          </w:p>
        </w:tc>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Defender for Cloud</w:t>
            </w:r>
          </w:p>
        </w:tc>
        <w:tc>
          <w:tcPr>
            <w:tcW w:type="dxa" w:w="21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val="false"/>
                <w:bCs w:val="false"/>
                <w:color w:val="1A6E23"/>
                <w:sz w:val="14"/>
                <w:szCs w:val="14"/>
              </w:rPr>
              <w:t xml:space="preserve">GA previsto: Q2 2025. Extensión a Google Vertex AI y modelos de catálogo: mayo 2025.</w:t>
            </w:r>
          </w:p>
        </w:tc>
      </w:tr>
      <w:tr>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OWASP LLM/Agentic Detections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Detecciones específicas para riesgos OWASP: indirect prompt injection, sensitive data exposure, wallet abuse (amplificación de costo). Alertas en Defender XDR.</w:t>
            </w:r>
          </w:p>
        </w:tc>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Microsoft Defender for Cloud + Defender XDR</w:t>
            </w:r>
          </w:p>
        </w:tc>
        <w:tc>
          <w:tcPr>
            <w:tcW w:type="dxa" w:w="21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val="false"/>
                <w:bCs w:val="false"/>
                <w:color w:val="1A6E23"/>
                <w:sz w:val="14"/>
                <w:szCs w:val="14"/>
              </w:rPr>
              <w:t xml:space="preserve">GA mayo 2025 para las detecciones OWASP-identified.</w:t>
            </w:r>
          </w:p>
        </w:tc>
      </w:tr>
      <w:tr>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Runtime Protection para Copilot Studio Agents</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Inspección de cada acción del agente antes de su ejecución. Webhook-based: Copilot Studio llama a Defender antes de cada tool invocation. Permite o bloquea basándose en análisis de intent y destino.</w:t>
            </w:r>
          </w:p>
        </w:tc>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Defender for Cloud + Copilot Studio</w:t>
            </w:r>
          </w:p>
        </w:tc>
        <w:tc>
          <w:tcPr>
            <w:tcW w:type="dxa" w:w="21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val="false"/>
                <w:bCs w:val="false"/>
                <w:color w:val="1A6E23"/>
                <w:sz w:val="14"/>
                <w:szCs w:val="14"/>
              </w:rPr>
              <w:t xml:space="preserve">Disponible Q1 2025. Artículo técnico Microsoft Security Blog enero 2026.</w:t>
            </w:r>
          </w:p>
        </w:tc>
      </w:tr>
      <w:tr>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Agent Telemetry en Defender XDR</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Los eventos de runtime de agentes (tool invocations, blocked actions, anomalous patterns) aparecen en el timeline de incidentes de Defender XDR y en Advanced Hunting (KQL).</w:t>
            </w:r>
          </w:p>
        </w:tc>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Microsoft Defender XDR</w:t>
            </w:r>
          </w:p>
        </w:tc>
        <w:tc>
          <w:tcPr>
            <w:tcW w:type="dxa" w:w="21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val="false"/>
                <w:bCs w:val="false"/>
                <w:color w:val="1A6E23"/>
                <w:sz w:val="14"/>
                <w:szCs w:val="14"/>
              </w:rPr>
              <w:t xml:space="preserve">Integrado con runtime protection de Copilot Studio.</w:t>
            </w:r>
          </w:p>
        </w:tc>
      </w:tr>
      <w:tr>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AI Web Category Filter (Shadow AI)</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Entra Internet Access: filtro de categorías web específico para servicios de IA, permitiendo bloquear herramientas de IA no aprobadas a nivel de red corporativa con granularidad por usuario/grupo.</w:t>
            </w:r>
          </w:p>
        </w:tc>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Microsoft Entra Internet Access</w:t>
            </w:r>
          </w:p>
        </w:tc>
        <w:tc>
          <w:tcPr>
            <w:tcW w:type="dxa" w:w="21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val="false"/>
                <w:bCs w:val="false"/>
                <w:color w:val="1A6E23"/>
                <w:sz w:val="14"/>
                <w:szCs w:val="14"/>
              </w:rPr>
              <w:t xml:space="preserve">GA: Q2 2025.</w:t>
            </w:r>
          </w:p>
        </w:tc>
      </w:tr>
      <w:tr>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Purview Browser Data Loss Prevention</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Microsoft Edge for Business: DLP de Purview embebido en el browser para prevenir que datos sensibles se compartan con herramientas de IA externas no aprobadas.</w:t>
            </w:r>
          </w:p>
        </w:tc>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Microsoft Purview + Microsoft Edge for Business</w:t>
            </w:r>
          </w:p>
        </w:tc>
        <w:tc>
          <w:tcPr>
            <w:tcW w:type="dxa" w:w="21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val="false"/>
                <w:bCs w:val="false"/>
                <w:color w:val="1A6E23"/>
                <w:sz w:val="14"/>
                <w:szCs w:val="14"/>
              </w:rPr>
              <w:t xml:space="preserve">GA: disponible en 2025.</w:t>
            </w:r>
          </w:p>
        </w:tc>
      </w:tr>
      <w:tr>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GitHub Advanced Security con AI</w:t>
            </w:r>
          </w:p>
        </w:tc>
        <w:tc>
          <w:tcPr>
            <w:tcW w:type="dxa" w:w="240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Análisis de código generado por AI coding assistants para detectar vulnerabilidades, secretos, y patrones inseguros introducidos por vibe coding o AI-generated code.</w:t>
            </w:r>
          </w:p>
        </w:tc>
        <w:tc>
          <w:tcPr>
            <w:tcW w:type="dxa" w:w="24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GitHub Advanced Security + Defender for DevOps</w:t>
            </w:r>
          </w:p>
        </w:tc>
        <w:tc>
          <w:tcPr>
            <w:tcW w:type="dxa" w:w="21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val="false"/>
                <w:bCs w:val="false"/>
                <w:color w:val="1A6E23"/>
                <w:sz w:val="14"/>
                <w:szCs w:val="14"/>
              </w:rPr>
              <w:t xml:space="preserve">Integración con runtime signals y Copilot-assisted fixes (Ignite 2025).</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10.5.2 Principios de Secure-by-Design para Agentes de Copilot Studio</w:t>
      </w:r>
    </w:p>
    <w:p>
      <w:pPr>
        <w:spacing w:before="60" w:after="100"/>
      </w:pPr>
      <w:r>
        <w:rPr>
          <w:rFonts w:ascii="Arial" w:cs="Arial" w:eastAsia="Arial" w:hAnsi="Arial"/>
          <w:i/>
          <w:iCs/>
          <w:color w:val="1A1A2E"/>
          <w:sz w:val="18"/>
          <w:szCs w:val="18"/>
        </w:rPr>
        <w:t xml:space="preserve">Los siguientes principios aplican directamente a la construcción y operación de agentes en el ecosistema Microsoft — la plataforma de facto para organizaciones M365 E5.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w:t>
            </w:r>
          </w:p>
        </w:tc>
        <w:tc>
          <w:tcPr>
            <w:tcW w:type="dxa" w:w="2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PRINCIPIO</w:t>
            </w:r>
          </w:p>
        </w:tc>
        <w:tc>
          <w:tcPr>
            <w:tcW w:type="dxa" w:w="64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IMPLEMENTACIÓN EN COPILOT STUDIO + DEFENDER</w:t>
            </w:r>
          </w:p>
        </w:tc>
      </w:tr>
      <w:tr>
        <w:tc>
          <w:tcPr>
            <w:tcW w:type="dxa" w:w="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1</w:t>
            </w:r>
          </w:p>
        </w:tc>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Least Agency (Mínima Agencia)</w:t>
            </w:r>
          </w:p>
        </w:tc>
        <w:tc>
          <w:tcPr>
            <w:tcW w:type="dxa" w:w="64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Definir el scope exacto de herramientas y acciones que cada agente puede invocar. Copilot Studio permite configurar el catálogo de herramientas disponibles por agente. Principio: si el agente no necesita la herramienta para su tarea, no la tiene disponible. Revisar y restringir en cada ciclo de desarrollo.</w:t>
            </w:r>
          </w:p>
        </w:tc>
      </w:tr>
      <w:tr>
        <w:tc>
          <w:tcPr>
            <w:tcW w:type="dxa" w:w="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2</w:t>
            </w:r>
          </w:p>
        </w:tc>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Runtime Inspection</w:t>
            </w:r>
          </w:p>
        </w:tc>
        <w:tc>
          <w:tcPr>
            <w:tcW w:type="dxa" w:w="64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Habilitar la integración Defender + Copilot Studio para inspección de tool invocations. Cada vez que un agente intenta invocar una herramienta, Defender analiza el intent y el destino. Las acciones sospechosas se bloquean antes de ejecutarse — no después.</w:t>
            </w:r>
          </w:p>
        </w:tc>
      </w:tr>
      <w:tr>
        <w:tc>
          <w:tcPr>
            <w:tcW w:type="dxa" w:w="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3</w:t>
            </w:r>
          </w:p>
        </w:tc>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Non-Human Identity Management</w:t>
            </w:r>
          </w:p>
        </w:tc>
        <w:tc>
          <w:tcPr>
            <w:tcW w:type="dxa" w:w="64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Cada agente de Copilot Studio tiene una identidad de servicio en Entra ID (Managed Identity o Service Principal). Aplicar Conditional Access a estas identidades: limitar desde qué IPs pueden operar, qué recursos pueden acceder, y qué acciones pueden ejecutar. Rotar credenciales automáticamente.</w:t>
            </w:r>
          </w:p>
        </w:tc>
      </w:tr>
      <w:tr>
        <w:tc>
          <w:tcPr>
            <w:tcW w:type="dxa" w:w="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4</w:t>
            </w:r>
          </w:p>
        </w:tc>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Immutable Audit Trail</w:t>
            </w:r>
          </w:p>
        </w:tc>
        <w:tc>
          <w:tcPr>
            <w:tcW w:type="dxa" w:w="64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Todos los eventos de los agentes (prompts recibidos, herramientas invocadas, respuestas generadas, acciones ejecutadas) deben aparecer en el audit log de Purview y en el Advanced Hunting de Defender XDR. Sin log inmutable, la investigación forense post-incidente es imposible.</w:t>
            </w:r>
          </w:p>
        </w:tc>
      </w:tr>
      <w:tr>
        <w:tc>
          <w:tcPr>
            <w:tcW w:type="dxa" w:w="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5</w:t>
            </w:r>
          </w:p>
        </w:tc>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Kill Switch Tested</w:t>
            </w:r>
          </w:p>
        </w:tc>
        <w:tc>
          <w:tcPr>
            <w:tcW w:type="dxa" w:w="64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Cada agente desplegado en producción debe tener un kill switch documentado, conocido por el CISO y el equipo de operaciones, y probado en entorno de staging al menos una vez antes del go-live. El kill switch es: (1) deshabilitar la identidad del agente en Entra ID + (2) deshabilitar el agente en Copilot Studio.</w:t>
            </w:r>
          </w:p>
        </w:tc>
      </w:tr>
      <w:tr>
        <w:tc>
          <w:tcPr>
            <w:tcW w:type="dxa" w:w="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6</w:t>
            </w:r>
          </w:p>
        </w:tc>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Data Scope Isolation</w:t>
            </w:r>
          </w:p>
        </w:tc>
        <w:tc>
          <w:tcPr>
            <w:tcW w:type="dxa" w:w="64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Los agentes no deben tener acceso a más datos de los necesarios para su tarea. Usar SharePoint permissions y data sources específicos en Copilot Studio. Nunca dar a un agente acceso de lectura a toda la tenant — definir el scope de datos explícitamente.</w:t>
            </w:r>
          </w:p>
        </w:tc>
      </w:tr>
      <w:tr>
        <w:tc>
          <w:tcPr>
            <w:tcW w:type="dxa" w:w="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7</w:t>
            </w:r>
          </w:p>
        </w:tc>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Prompt Injection Testing</w:t>
            </w:r>
          </w:p>
        </w:tc>
        <w:tc>
          <w:tcPr>
            <w:tcW w:type="dxa" w:w="64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Antes del go-live de cualquier agente que procesa inputs de usuarios externos o de contenido web/email, ejecutar pruebas de prompt injection: intentar manipular el agente con instrucciones maliciosas en el contenido que procesa. El Microsoft AI Red Team (AIRT) publica metodologías públicas de referencia.</w:t>
            </w:r>
          </w:p>
        </w:tc>
      </w:tr>
      <w:tr>
        <w:tc>
          <w:tcPr>
            <w:tcW w:type="dxa" w:w="5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7"/>
                <w:szCs w:val="17"/>
              </w:rPr>
              <w:t xml:space="preserve">8</w:t>
            </w:r>
          </w:p>
        </w:tc>
        <w:tc>
          <w:tcPr>
            <w:tcW w:type="dxa" w:w="2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bCs/>
                <w:color w:val="0078D4"/>
                <w:sz w:val="15"/>
                <w:szCs w:val="15"/>
              </w:rPr>
              <w:t xml:space="preserve">Model Card del Agente Interno</w:t>
            </w:r>
          </w:p>
        </w:tc>
        <w:tc>
          <w:tcPr>
            <w:tcW w:type="dxa" w:w="64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Para cada agente en producción, mantener un 'agente model card' interno: propósito, herramientas autorizadas, datos accedidos, umbrales de supervisión humana, fecha de última revisión de seguridad, responsable de governance. Este documento es el activo central de governance del agente.</w:t>
            </w:r>
          </w:p>
        </w:tc>
      </w:tr>
    </w:tbl>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10.6 HOJA DE RUTA DEL CISO: 90 DÍAS PARA EL SOC AUMENTADO POR IA</w:t>
      </w:r>
    </w:p>
    <w:p>
      <w:pPr>
        <w:pBdr>
          <w:bottom w:val="single" w:color="BDD7EE" w:sz="4"/>
        </w:pBdr>
        <w:spacing w:before="80" w:after="80"/>
      </w:pPr>
    </w:p>
    <w:p>
      <w:pPr>
        <w:spacing w:before="60" w:after="100"/>
      </w:pPr>
      <w:r>
        <w:rPr>
          <w:rFonts w:ascii="Arial" w:cs="Arial" w:eastAsia="Arial" w:hAnsi="Arial"/>
          <w:color w:val="1A1A2E"/>
          <w:sz w:val="20"/>
          <w:szCs w:val="20"/>
        </w:rPr>
        <w:t xml:space="preserve">La hoja de ruta integra los hallazgos de las 10 fases del informe en un plan de acción concreto para el CISO con ecosistema M365 E5. El diseño es secuencial pero con pistas paralelas — no es necesario completar cada pista antes de comenzar la siguiente. El horizonte de 90 días es el mínimo para tener los controles básicos del SOC agéntico operativos.</w:t>
      </w:r>
    </w:p>
    <w:p>
      <w:pPr>
        <w:spacing w:before="30" w:after="30"/>
      </w:pPr>
      <w:r>
        <w:t xml:space="preserve"/>
      </w:r>
    </w:p>
    <w:p>
      <w:pPr>
        <w:pStyle w:val="Heading2"/>
        <w:spacing w:before="240" w:after="80"/>
      </w:pPr>
      <w:r>
        <w:rPr>
          <w:rFonts w:ascii="Arial" w:cs="Arial" w:eastAsia="Arial" w:hAnsi="Arial"/>
          <w:b/>
          <w:bCs/>
          <w:color w:val="2E75B6"/>
          <w:sz w:val="26"/>
          <w:szCs w:val="26"/>
        </w:rPr>
        <w:t xml:space="preserve">SEMANAS 1-2: Activaciones Inmediatas (Zero-Cost M365 E5)</w:t>
      </w:r>
    </w:p>
    <w:p>
      <w:pPr>
        <w:spacing w:before="60" w:after="100"/>
      </w:pPr>
      <w:r>
        <w:rPr>
          <w:rFonts w:ascii="Arial" w:cs="Arial" w:eastAsia="Arial" w:hAnsi="Arial"/>
          <w:i/>
          <w:iCs/>
          <w:color w:val="1A1A2E"/>
          <w:sz w:val="18"/>
          <w:szCs w:val="18"/>
        </w:rPr>
        <w:t xml:space="preserve">Todo lo siguiente está incluido en M365 E5 sin costo adicional. Son activaciones de configuración, no de licencia.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200"/>
        <w:gridCol w:w="336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3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2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PRODUCTO</w:t>
            </w:r>
          </w:p>
        </w:tc>
        <w:tc>
          <w:tcPr>
            <w:tcW w:type="dxa" w:w="3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IMPACTO ESPERADO</w:t>
            </w:r>
          </w:p>
        </w:tc>
      </w:tr>
      <w:tr>
        <w:tc>
          <w:tcPr>
            <w:tcW w:type="dxa" w:w="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val="false"/>
                <w:bCs w:val="false"/>
                <w:color w:val="1A6E23"/>
                <w:sz w:val="18"/>
                <w:szCs w:val="18"/>
              </w:rPr>
              <w:t xml:space="preserve">✅</w:t>
            </w:r>
          </w:p>
        </w:tc>
        <w:tc>
          <w:tcPr>
            <w:tcW w:type="dxa" w:w="3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Habilitar Security Copilot para todos los analistas del SOC. Configurar los promptbooks predefinidos para los casos de uso de mayor volumen (phishing triage, incident summary, KQL generation).</w:t>
            </w:r>
          </w:p>
        </w:tc>
        <w:tc>
          <w:tcPr>
            <w:tcW w:type="dxa" w:w="22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0078D4"/>
                <w:sz w:val="14"/>
                <w:szCs w:val="14"/>
              </w:rPr>
              <w:t xml:space="preserve">Security Copilot (M365 E5 incluido)</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Reducción inmediata de tiempo de triage. Democratización del threat hunting. ROI visible en semanas 3-6.</w:t>
            </w:r>
          </w:p>
        </w:tc>
      </w:tr>
      <w:tr>
        <w:tc>
          <w:tcPr>
            <w:tcW w:type="dxa" w:w="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val="false"/>
                <w:bCs w:val="false"/>
                <w:color w:val="1A6E23"/>
                <w:sz w:val="18"/>
                <w:szCs w:val="18"/>
              </w:rPr>
              <w:t xml:space="preserve">✅</w:t>
            </w:r>
          </w:p>
        </w:tc>
        <w:tc>
          <w:tcPr>
            <w:tcW w:type="dxa" w:w="3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Activar Phishing Triage Agent en Defender XDR. Configurar umbrales de confianza para clasificación autónoma vs. revisión humana.</w:t>
            </w:r>
          </w:p>
        </w:tc>
        <w:tc>
          <w:tcPr>
            <w:tcW w:type="dxa" w:w="22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0078D4"/>
                <w:sz w:val="14"/>
                <w:szCs w:val="14"/>
              </w:rPr>
              <w:t xml:space="preserve">Defender for Office 365 P2</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Reducción de volumen de alertas que llegan al Tier 1. Priorización de los casos genuinamente urgentes.</w:t>
            </w:r>
          </w:p>
        </w:tc>
      </w:tr>
      <w:tr>
        <w:tc>
          <w:tcPr>
            <w:tcW w:type="dxa" w:w="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val="false"/>
                <w:bCs w:val="false"/>
                <w:color w:val="1A6E23"/>
                <w:sz w:val="18"/>
                <w:szCs w:val="18"/>
              </w:rPr>
              <w:t xml:space="preserve">✅</w:t>
            </w:r>
          </w:p>
        </w:tc>
        <w:tc>
          <w:tcPr>
            <w:tcW w:type="dxa" w:w="3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Habilitar Automatic Attack Disruption en Defender XDR para escenarios HumOR y AiTM. Validar que la configuración sea correcta en entorno de prueba antes de producción.</w:t>
            </w:r>
          </w:p>
        </w:tc>
        <w:tc>
          <w:tcPr>
            <w:tcW w:type="dxa" w:w="22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0078D4"/>
                <w:sz w:val="14"/>
                <w:szCs w:val="14"/>
              </w:rPr>
              <w:t xml:space="preserve">Defender XDR</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Contención autónoma de ransomware y AiTM antes de que el analista intervenga. El control defensivo más poderoso disponible.</w:t>
            </w:r>
          </w:p>
        </w:tc>
      </w:tr>
      <w:tr>
        <w:tc>
          <w:tcPr>
            <w:tcW w:type="dxa" w:w="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val="false"/>
                <w:bCs w:val="false"/>
                <w:color w:val="1A6E23"/>
                <w:sz w:val="18"/>
                <w:szCs w:val="18"/>
              </w:rPr>
              <w:t xml:space="preserve">✅</w:t>
            </w:r>
          </w:p>
        </w:tc>
        <w:tc>
          <w:tcPr>
            <w:tcW w:type="dxa" w:w="3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Activar Conditional Access Optimization Agent en Entra ID. Revisar el primer reporte de gaps de política y priorizar los admin roles sin MFA resistente a phishing.</w:t>
            </w:r>
          </w:p>
        </w:tc>
        <w:tc>
          <w:tcPr>
            <w:tcW w:type="dxa" w:w="22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0078D4"/>
                <w:sz w:val="14"/>
                <w:szCs w:val="14"/>
              </w:rPr>
              <w:t xml:space="preserve">Microsoft Entra ID</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Cierre de brechas de política de acceso que están abiertas pero no visibles sin el agente.</w:t>
            </w:r>
          </w:p>
        </w:tc>
      </w:tr>
      <w:tr>
        <w:tc>
          <w:tcPr>
            <w:tcW w:type="dxa" w:w="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val="false"/>
                <w:bCs w:val="false"/>
                <w:color w:val="1A6E23"/>
                <w:sz w:val="18"/>
                <w:szCs w:val="18"/>
              </w:rPr>
              <w:t xml:space="preserve">✅</w:t>
            </w:r>
          </w:p>
        </w:tc>
        <w:tc>
          <w:tcPr>
            <w:tcW w:type="dxa" w:w="3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Habilitar AI Web Category Filter en Entra Internet Access para bloquear servicios de IA no aprobados y registrar el uso de herramientas de Shadow AI.</w:t>
            </w:r>
          </w:p>
        </w:tc>
        <w:tc>
          <w:tcPr>
            <w:tcW w:type="dxa" w:w="22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0078D4"/>
                <w:sz w:val="14"/>
                <w:szCs w:val="14"/>
              </w:rPr>
              <w:t xml:space="preserve">Microsoft Entra Internet Access</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Visibilidad sobre Shadow AI y primera línea de control sin bloquear la productividad legítima.</w:t>
            </w:r>
          </w:p>
        </w:tc>
      </w:tr>
      <w:tr>
        <w:tc>
          <w:tcPr>
            <w:tcW w:type="dxa" w:w="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center"/>
          </w:tcPr>
          <w:p>
            <w:pPr>
              <w:jc w:val="center"/>
            </w:pPr>
            <w:r>
              <w:rPr>
                <w:rFonts w:ascii="Arial" w:cs="Arial" w:eastAsia="Arial" w:hAnsi="Arial"/>
                <w:b w:val="false"/>
                <w:bCs w:val="false"/>
                <w:color w:val="1A6E23"/>
                <w:sz w:val="18"/>
                <w:szCs w:val="18"/>
              </w:rPr>
              <w:t xml:space="preserve">✅</w:t>
            </w:r>
          </w:p>
        </w:tc>
        <w:tc>
          <w:tcPr>
            <w:tcW w:type="dxa" w:w="340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Activar AI Security Posture Management en Defender for Cloud para todos los modelos en Azure AI Foundry y catálogo.</w:t>
            </w:r>
          </w:p>
        </w:tc>
        <w:tc>
          <w:tcPr>
            <w:tcW w:type="dxa" w:w="22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0078D4"/>
                <w:sz w:val="14"/>
                <w:szCs w:val="14"/>
              </w:rPr>
              <w:t xml:space="preserve">Defender for Cloud</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Visibilidad inmediata sobre riesgos de configuración en sistemas de IA propios.</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SEMANAS 3-6: Controles Agénticos y Deepfake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200"/>
        <w:gridCol w:w="336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3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2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PRODUCTO</w:t>
            </w:r>
          </w:p>
        </w:tc>
        <w:tc>
          <w:tcPr>
            <w:tcW w:type="dxa" w:w="3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IMPACTO ESPERADO</w:t>
            </w:r>
          </w:p>
        </w:tc>
      </w:tr>
      <w:tr>
        <w:tc>
          <w:tcPr>
            <w:tcW w:type="dxa" w:w="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7F4F00"/>
                <w:sz w:val="18"/>
                <w:szCs w:val="18"/>
              </w:rPr>
              <w:t xml:space="preserve">🔧</w:t>
            </w:r>
          </w:p>
        </w:tc>
        <w:tc>
          <w:tcPr>
            <w:tcW w:type="dxa" w:w="3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Inventariar TODOS los agentes de Copilot Studio en producción o piloto. Para cada uno: documentar herramientas autorizadas, datos accedidos, identidad en Entra ID, y kill switch.</w:t>
            </w:r>
          </w:p>
        </w:tc>
        <w:tc>
          <w:tcPr>
            <w:tcW w:type="dxa" w:w="22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0078D4"/>
                <w:sz w:val="14"/>
                <w:szCs w:val="14"/>
              </w:rPr>
              <w:t xml:space="preserve">Copilot Studio + Entra ID</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Compliance con OWASP Agentic Top 10 ASI04. Visibility completa del surface agéntico.</w:t>
            </w:r>
          </w:p>
        </w:tc>
      </w:tr>
      <w:tr>
        <w:tc>
          <w:tcPr>
            <w:tcW w:type="dxa" w:w="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7F4F00"/>
                <w:sz w:val="18"/>
                <w:szCs w:val="18"/>
              </w:rPr>
              <w:t xml:space="preserve">🔧</w:t>
            </w:r>
          </w:p>
        </w:tc>
        <w:tc>
          <w:tcPr>
            <w:tcW w:type="dxa" w:w="3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Habilitar Runtime Protection (webhook Defender) para todos los agentes de Copilot Studio que interactúan con sistemas externos o procesan datos de usuarios.</w:t>
            </w:r>
          </w:p>
        </w:tc>
        <w:tc>
          <w:tcPr>
            <w:tcW w:type="dxa" w:w="22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0078D4"/>
                <w:sz w:val="14"/>
                <w:szCs w:val="14"/>
              </w:rPr>
              <w:t xml:space="preserve">Defender for Cloud + Copilot Studio</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Protección contra prompt injection y tool misuse en tiempo real.</w:t>
            </w:r>
          </w:p>
        </w:tc>
      </w:tr>
      <w:tr>
        <w:tc>
          <w:tcPr>
            <w:tcW w:type="dxa" w:w="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7F4F00"/>
                <w:sz w:val="18"/>
                <w:szCs w:val="18"/>
              </w:rPr>
              <w:t xml:space="preserve">🔧</w:t>
            </w:r>
          </w:p>
        </w:tc>
        <w:tc>
          <w:tcPr>
            <w:tcW w:type="dxa" w:w="3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Implementar el protocolo de verificación out-of-band para transferencias financieras. Comunicar y entrenar al equipo de finanzas. Programar el primer simulacro de deepfake.</w:t>
            </w:r>
          </w:p>
        </w:tc>
        <w:tc>
          <w:tcPr>
            <w:tcW w:type="dxa" w:w="22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0078D4"/>
                <w:sz w:val="14"/>
                <w:szCs w:val="14"/>
              </w:rPr>
              <w:t xml:space="preserve">Proceso + Attack Simulator</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Cierre del vector de deepfake más costoso: el fraude de transferencia por impersonación ejecutiva.</w:t>
            </w:r>
          </w:p>
        </w:tc>
      </w:tr>
      <w:tr>
        <w:tc>
          <w:tcPr>
            <w:tcW w:type="dxa" w:w="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7F4F00"/>
                <w:sz w:val="18"/>
                <w:szCs w:val="18"/>
              </w:rPr>
              <w:t xml:space="preserve">🔧</w:t>
            </w:r>
          </w:p>
        </w:tc>
        <w:tc>
          <w:tcPr>
            <w:tcW w:type="dxa" w:w="3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Activar Vulnerability Remediation Agent en Intune. Configurar los umbrales de severidad para remedación autónoma (Low/Medium) vs. revisión humana (High/Critical).</w:t>
            </w:r>
          </w:p>
        </w:tc>
        <w:tc>
          <w:tcPr>
            <w:tcW w:type="dxa" w:w="22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0078D4"/>
                <w:sz w:val="14"/>
                <w:szCs w:val="14"/>
              </w:rPr>
              <w:t xml:space="preserve">Microsoft Intune</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Reducción del tiempo de patch de vulnerabilidades. Priorización continua sin carga del equipo.</w:t>
            </w:r>
          </w:p>
        </w:tc>
      </w:tr>
      <w:tr>
        <w:tc>
          <w:tcPr>
            <w:tcW w:type="dxa" w:w="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center"/>
          </w:tcPr>
          <w:p>
            <w:pPr>
              <w:jc w:val="center"/>
            </w:pPr>
            <w:r>
              <w:rPr>
                <w:rFonts w:ascii="Arial" w:cs="Arial" w:eastAsia="Arial" w:hAnsi="Arial"/>
                <w:b w:val="false"/>
                <w:bCs w:val="false"/>
                <w:color w:val="7F4F00"/>
                <w:sz w:val="18"/>
                <w:szCs w:val="18"/>
              </w:rPr>
              <w:t xml:space="preserve">🔧</w:t>
            </w:r>
          </w:p>
        </w:tc>
        <w:tc>
          <w:tcPr>
            <w:tcW w:type="dxa" w:w="3400"/>
            <w:tcBorders>
              <w:top w:val="single" w:color="AEC9E0" w:sz="1"/>
              <w:left w:val="single" w:color="AEC9E0" w:sz="1"/>
              <w:bottom w:val="single" w:color="AEC9E0" w:sz="1"/>
              <w:right w:val="single" w:color="AEC9E0" w:sz="1"/>
            </w:tcBorders>
            <w:shd w:fill="FFF2CC"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Habilitar Microsoft Purview Insider Risk Management con las políticas de indicadores de AI misuse (uso de Shadow AI para exfiltrar datos sensibles).</w:t>
            </w:r>
          </w:p>
        </w:tc>
        <w:tc>
          <w:tcPr>
            <w:tcW w:type="dxa" w:w="22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0078D4"/>
                <w:sz w:val="14"/>
                <w:szCs w:val="14"/>
              </w:rPr>
              <w:t xml:space="preserve">Microsoft Purview</w:t>
            </w:r>
          </w:p>
        </w:tc>
        <w:tc>
          <w:tcPr>
            <w:tcW w:type="dxa" w:w="3360"/>
            <w:tcBorders>
              <w:top w:val="single" w:color="AEC9E0" w:sz="1"/>
              <w:left w:val="single" w:color="AEC9E0" w:sz="1"/>
              <w:bottom w:val="single" w:color="AEC9E0" w:sz="1"/>
              <w:right w:val="single" w:color="AEC9E0" w:sz="1"/>
            </w:tcBorders>
            <w:shd w:fill="FFFFFF" w:val="clear"/>
            <w:tcMar>
              <w:top w:type="dxa" w:w="70"/>
              <w:left w:type="dxa" w:w="120"/>
              <w:bottom w:type="dxa" w:w="70"/>
              <w:right w:type="dxa" w:w="120"/>
            </w:tcMar>
            <w:vAlign w:val="top"/>
          </w:tcPr>
          <w:p>
            <w:pPr>
              <w:jc w:val="left"/>
            </w:pPr>
            <w:r>
              <w:rPr>
                <w:rFonts w:ascii="Arial" w:cs="Arial" w:eastAsia="Arial" w:hAnsi="Arial"/>
                <w:b w:val="false"/>
                <w:bCs w:val="false"/>
                <w:color w:val="1A1A2E"/>
                <w:sz w:val="14"/>
                <w:szCs w:val="14"/>
              </w:rPr>
              <w:t xml:space="preserve">Detección de amenazas internas relacionadas con el uso indebido de herramientas de IA.</w:t>
            </w:r>
          </w:p>
        </w:tc>
      </w:tr>
    </w:tbl>
    <w:p>
      <w:pPr>
        <w:spacing w:before="30" w:after="30"/>
      </w:pPr>
      <w:r>
        <w:t xml:space="preserve"/>
      </w:r>
    </w:p>
    <w:p>
      <w:pPr>
        <w:pStyle w:val="Heading2"/>
        <w:spacing w:before="240" w:after="80"/>
      </w:pPr>
      <w:r>
        <w:rPr>
          <w:rFonts w:ascii="Arial" w:cs="Arial" w:eastAsia="Arial" w:hAnsi="Arial"/>
          <w:b/>
          <w:bCs/>
          <w:color w:val="2E75B6"/>
          <w:sz w:val="26"/>
          <w:szCs w:val="26"/>
        </w:rPr>
        <w:t xml:space="preserve">SEMANAS 7-12: Consolidación, Medición y Reporte al C-Suite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200"/>
        <w:gridCol w:w="3360"/>
      </w:tblGrid>
      <w:tr>
        <w:tc>
          <w:tcPr>
            <w:tcW w:type="dxa" w:w="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
            </w:r>
          </w:p>
        </w:tc>
        <w:tc>
          <w:tcPr>
            <w:tcW w:type="dxa" w:w="34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ACCIÓN</w:t>
            </w:r>
          </w:p>
        </w:tc>
        <w:tc>
          <w:tcPr>
            <w:tcW w:type="dxa" w:w="220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PRODUCTO / PROCESO</w:t>
            </w:r>
          </w:p>
        </w:tc>
        <w:tc>
          <w:tcPr>
            <w:tcW w:type="dxa" w:w="3360"/>
            <w:tcBorders>
              <w:top w:val="single" w:color="AEC9E0" w:sz="1"/>
              <w:left w:val="single" w:color="AEC9E0" w:sz="1"/>
              <w:bottom w:val="single" w:color="AEC9E0" w:sz="1"/>
              <w:right w:val="single" w:color="AEC9E0" w:sz="1"/>
            </w:tcBorders>
            <w:shd w:fill="1F3864" w:val="clear"/>
            <w:tcMar>
              <w:top w:type="dxa" w:w="70"/>
              <w:left w:type="dxa" w:w="120"/>
              <w:bottom w:type="dxa" w:w="70"/>
              <w:right w:type="dxa" w:w="120"/>
            </w:tcMar>
            <w:vAlign w:val="center"/>
          </w:tcPr>
          <w:p>
            <w:pPr>
              <w:jc w:val="center"/>
            </w:pPr>
            <w:r>
              <w:rPr>
                <w:rFonts w:ascii="Arial" w:cs="Arial" w:eastAsia="Arial" w:hAnsi="Arial"/>
                <w:b/>
                <w:bCs/>
                <w:color w:val="FFFFFF"/>
                <w:sz w:val="16"/>
                <w:szCs w:val="16"/>
              </w:rPr>
              <w:t xml:space="preserve">OUTPUT</w:t>
            </w:r>
          </w:p>
        </w:tc>
      </w:tr>
      <w:tr>
        <w:tc>
          <w:tcPr>
            <w:tcW w:type="dxa" w:w="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center"/>
          </w:tcPr>
          <w:p>
            <w:pPr>
              <w:jc w:val="center"/>
            </w:pPr>
            <w:r>
              <w:rPr>
                <w:rFonts w:ascii="Arial" w:cs="Arial" w:eastAsia="Arial" w:hAnsi="Arial"/>
                <w:b w:val="false"/>
                <w:bCs w:val="false"/>
                <w:color w:val="0078D4"/>
                <w:sz w:val="18"/>
                <w:szCs w:val="18"/>
              </w:rPr>
              <w:t xml:space="preserve">📊</w:t>
            </w:r>
          </w:p>
        </w:tc>
        <w:tc>
          <w:tcPr>
            <w:tcW w:type="dxa" w:w="3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Primera revisión formal de métricas del SOC agéntico: MTTR antes/después, tasa de falsos positivos, alertas procesadas autónomamente vs. con intervención. Comparar con baseline medido en semana 1.</w:t>
            </w:r>
          </w:p>
        </w:tc>
        <w:tc>
          <w:tcPr>
            <w:tcW w:type="dxa" w:w="22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Defender XDR + Security Copilot analytics</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Evidencia del ROI Hard del SOC agéntico para el C-Suite y el CFO.</w:t>
            </w:r>
          </w:p>
        </w:tc>
      </w:tr>
      <w:tr>
        <w:tc>
          <w:tcPr>
            <w:tcW w:type="dxa" w:w="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center"/>
          </w:tcPr>
          <w:p>
            <w:pPr>
              <w:jc w:val="center"/>
            </w:pPr>
            <w:r>
              <w:rPr>
                <w:rFonts w:ascii="Arial" w:cs="Arial" w:eastAsia="Arial" w:hAnsi="Arial"/>
                <w:b w:val="false"/>
                <w:bCs w:val="false"/>
                <w:color w:val="0078D4"/>
                <w:sz w:val="18"/>
                <w:szCs w:val="18"/>
              </w:rPr>
              <w:t xml:space="preserve">📊</w:t>
            </w:r>
          </w:p>
        </w:tc>
        <w:tc>
          <w:tcPr>
            <w:tcW w:type="dxa" w:w="3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Ejecutar el primer AI red team de agentes: intentar prompt injection en los agentes de Copilot Studio de mayor impacto. Documentar findings y remediar.</w:t>
            </w:r>
          </w:p>
        </w:tc>
        <w:tc>
          <w:tcPr>
            <w:tcW w:type="dxa" w:w="22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Microsoft AIRT metodología + Defender runtime logs</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Validación de los controles implementados. Identificación de gaps residuales.</w:t>
            </w:r>
          </w:p>
        </w:tc>
      </w:tr>
      <w:tr>
        <w:tc>
          <w:tcPr>
            <w:tcW w:type="dxa" w:w="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center"/>
          </w:tcPr>
          <w:p>
            <w:pPr>
              <w:jc w:val="center"/>
            </w:pPr>
            <w:r>
              <w:rPr>
                <w:rFonts w:ascii="Arial" w:cs="Arial" w:eastAsia="Arial" w:hAnsi="Arial"/>
                <w:b w:val="false"/>
                <w:bCs w:val="false"/>
                <w:color w:val="0078D4"/>
                <w:sz w:val="18"/>
                <w:szCs w:val="18"/>
              </w:rPr>
              <w:t xml:space="preserve">📊</w:t>
            </w:r>
          </w:p>
        </w:tc>
        <w:tc>
          <w:tcPr>
            <w:tcW w:type="dxa" w:w="3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Actualizar el AI Usage Policy con las listas blancas/negras actuales. Publicar el proceso de aprobación de nuevas herramientas de IA con SLA de 48h para herramientas de bajo riesgo.</w:t>
            </w:r>
          </w:p>
        </w:tc>
        <w:tc>
          <w:tcPr>
            <w:tcW w:type="dxa" w:w="22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AI Governance Committee</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Reducción de Shadow AI por alternativa interna aprobada + proceso de aprobación ágil.</w:t>
            </w:r>
          </w:p>
        </w:tc>
      </w:tr>
      <w:tr>
        <w:tc>
          <w:tcPr>
            <w:tcW w:type="dxa" w:w="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center"/>
          </w:tcPr>
          <w:p>
            <w:pPr>
              <w:jc w:val="center"/>
            </w:pPr>
            <w:r>
              <w:rPr>
                <w:rFonts w:ascii="Arial" w:cs="Arial" w:eastAsia="Arial" w:hAnsi="Arial"/>
                <w:b w:val="false"/>
                <w:bCs w:val="false"/>
                <w:color w:val="0078D4"/>
                <w:sz w:val="18"/>
                <w:szCs w:val="18"/>
              </w:rPr>
              <w:t xml:space="preserve">📊</w:t>
            </w:r>
          </w:p>
        </w:tc>
        <w:tc>
          <w:tcPr>
            <w:tcW w:type="dxa" w:w="3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Preparar la presentación ejecutiva de 90 días al C-Suite: resultados del SOC agéntico, estado de compliance EU AI Act, Shadow AI controlado, plan de los 90 días siguientes.</w:t>
            </w:r>
          </w:p>
        </w:tc>
        <w:tc>
          <w:tcPr>
            <w:tcW w:type="dxa" w:w="22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Template de Fase 9.5.2 (5 diapositivas)</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Business case validado con datos reales. Aprobación del presupuesto del próximo ciclo.</w:t>
            </w:r>
          </w:p>
        </w:tc>
      </w:tr>
      <w:tr>
        <w:tc>
          <w:tcPr>
            <w:tcW w:type="dxa" w:w="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center"/>
          </w:tcPr>
          <w:p>
            <w:pPr>
              <w:jc w:val="center"/>
            </w:pPr>
            <w:r>
              <w:rPr>
                <w:rFonts w:ascii="Arial" w:cs="Arial" w:eastAsia="Arial" w:hAnsi="Arial"/>
                <w:b w:val="false"/>
                <w:bCs w:val="false"/>
                <w:color w:val="0078D4"/>
                <w:sz w:val="18"/>
                <w:szCs w:val="18"/>
              </w:rPr>
              <w:t xml:space="preserve">📊</w:t>
            </w:r>
          </w:p>
        </w:tc>
        <w:tc>
          <w:tcPr>
            <w:tcW w:type="dxa" w:w="3400"/>
            <w:tcBorders>
              <w:top w:val="single" w:color="AEC9E0" w:sz="1"/>
              <w:left w:val="single" w:color="AEC9E0" w:sz="1"/>
              <w:bottom w:val="single" w:color="AEC9E0" w:sz="1"/>
              <w:right w:val="single" w:color="AEC9E0" w:sz="1"/>
            </w:tcBorders>
            <w:shd w:fill="EFF6FF" w:val="clear"/>
            <w:tcMar>
              <w:top w:type="dxa" w:w="70"/>
              <w:left w:type="dxa" w:w="120"/>
              <w:bottom w:type="dxa" w:w="70"/>
              <w:right w:type="dxa" w:w="120"/>
            </w:tcMar>
            <w:vAlign w:val="top"/>
          </w:tcPr>
          <w:p>
            <w:pPr>
              <w:jc w:val="left"/>
            </w:pPr>
            <w:r>
              <w:rPr>
                <w:rFonts w:ascii="Arial" w:cs="Arial" w:eastAsia="Arial" w:hAnsi="Arial"/>
                <w:b w:val="false"/>
                <w:bCs w:val="false"/>
                <w:color w:val="1A1A2E"/>
                <w:sz w:val="15"/>
                <w:szCs w:val="15"/>
              </w:rPr>
              <w:t xml:space="preserve">Presentar el scorecard de madurez de gobernanza de IA (Fase 7.8) actualizado al Comité de Gobernanza. Target: Nivel 3 en todas las dimensiones para agosto 2026.</w:t>
            </w:r>
          </w:p>
        </w:tc>
        <w:tc>
          <w:tcPr>
            <w:tcW w:type="dxa" w:w="2200"/>
            <w:tcBorders>
              <w:top w:val="single" w:color="AEC9E0" w:sz="1"/>
              <w:left w:val="single" w:color="AEC9E0" w:sz="1"/>
              <w:bottom w:val="single" w:color="AEC9E0" w:sz="1"/>
              <w:right w:val="single" w:color="AEC9E0" w:sz="1"/>
            </w:tcBorders>
            <w:shd w:fill="DEEAF1" w:val="clear"/>
            <w:tcMar>
              <w:top w:type="dxa" w:w="70"/>
              <w:left w:type="dxa" w:w="120"/>
              <w:bottom w:type="dxa" w:w="70"/>
              <w:right w:type="dxa" w:w="120"/>
            </w:tcMar>
            <w:vAlign w:val="top"/>
          </w:tcPr>
          <w:p>
            <w:pPr>
              <w:jc w:val="left"/>
            </w:pPr>
            <w:r>
              <w:rPr>
                <w:rFonts w:ascii="Arial" w:cs="Arial" w:eastAsia="Arial" w:hAnsi="Arial"/>
                <w:b w:val="false"/>
                <w:bCs w:val="false"/>
                <w:color w:val="2E75B6"/>
                <w:sz w:val="14"/>
                <w:szCs w:val="14"/>
              </w:rPr>
              <w:t xml:space="preserve">AI Governance Committee</w:t>
            </w:r>
          </w:p>
        </w:tc>
        <w:tc>
          <w:tcPr>
            <w:tcW w:type="dxa" w:w="3360"/>
            <w:tcBorders>
              <w:top w:val="single" w:color="AEC9E0" w:sz="1"/>
              <w:left w:val="single" w:color="AEC9E0" w:sz="1"/>
              <w:bottom w:val="single" w:color="AEC9E0" w:sz="1"/>
              <w:right w:val="single" w:color="AEC9E0" w:sz="1"/>
            </w:tcBorders>
            <w:shd w:fill="EBF7EE" w:val="clear"/>
            <w:tcMar>
              <w:top w:type="dxa" w:w="70"/>
              <w:left w:type="dxa" w:w="120"/>
              <w:bottom w:type="dxa" w:w="70"/>
              <w:right w:type="dxa" w:w="120"/>
            </w:tcMar>
            <w:vAlign w:val="top"/>
          </w:tcPr>
          <w:p>
            <w:pPr>
              <w:jc w:val="left"/>
            </w:pPr>
            <w:r>
              <w:rPr>
                <w:rFonts w:ascii="Arial" w:cs="Arial" w:eastAsia="Arial" w:hAnsi="Arial"/>
                <w:b w:val="false"/>
                <w:bCs w:val="false"/>
                <w:color w:val="1A6E23"/>
                <w:sz w:val="14"/>
                <w:szCs w:val="14"/>
              </w:rPr>
              <w:t xml:space="preserve">Roadmap hacia compliance EU AI Act agosto 2026 con hitos intermedios medibles.</w:t>
            </w:r>
          </w:p>
        </w:tc>
      </w:tr>
    </w:tbl>
    <w:p>
      <w:pPr>
        <w:spacing w:before="30" w:after="30"/>
      </w:pPr>
      <w:r>
        <w:t xml:space="preserve"/>
      </w:r>
    </w:p>
    <w:p>
      <w:pPr>
        <w:shd w:fill="EBF7EE" w:val="clear"/>
        <w:spacing w:before="100" w:after="100"/>
        <w:ind w:left="280" w:right="280"/>
      </w:pPr>
      <w:r>
        <w:rPr>
          <w:rFonts w:ascii="Arial" w:cs="Arial" w:eastAsia="Arial" w:hAnsi="Arial"/>
          <w:b/>
          <w:bCs/>
          <w:color w:val="1A6E23"/>
          <w:sz w:val="18"/>
          <w:szCs w:val="18"/>
        </w:rPr>
        <w:t xml:space="preserve">🏁 Estado final del Proyecto de 10 Fases: </w:t>
      </w:r>
      <w:r>
        <w:rPr>
          <w:rFonts w:ascii="Arial" w:cs="Arial" w:eastAsia="Arial" w:hAnsi="Arial"/>
          <w:color w:val="1A6E23"/>
          <w:sz w:val="18"/>
          <w:szCs w:val="18"/>
        </w:rPr>
        <w:t xml:space="preserve">Con la Fase 10, el CISO tiene un framework completo: filosofías éticas de 16 proveedores (F1-F4), due diligence sectorial y contractual (F5-F6), gobernanza post-implementación (F7), síntesis y ranking (F8), ROI y caso de negocio (F9), y ahora el playbook operacional de defensa aumentada por IA (F10). El informe total cubre 270 referencias, 10 fases y 16 proveedores analizados desde la filosofía hasta la operación.</w:t>
      </w:r>
    </w:p>
    <w:p>
      <w:pPr>
        <w:spacing w:before="30" w:after="30"/>
      </w:pPr>
      <w:r>
        <w:t xml:space="preserve"/>
      </w:r>
    </w:p>
    <w:p>
      <w:r>
        <w:br w:type="page"/>
      </w:r>
    </w:p>
    <w:p>
      <w:pPr>
        <w:pStyle w:val="Heading1"/>
        <w:spacing w:before="360" w:after="120"/>
      </w:pPr>
      <w:r>
        <w:rPr>
          <w:rFonts w:ascii="Arial" w:cs="Arial" w:eastAsia="Arial" w:hAnsi="Arial"/>
          <w:b/>
          <w:bCs/>
          <w:color w:val="1F3864"/>
          <w:sz w:val="34"/>
          <w:szCs w:val="34"/>
        </w:rPr>
        <w:t xml:space="preserve">10.7 REFERENCIAS (R241–R270)</w:t>
      </w:r>
    </w:p>
    <w:p>
      <w:pPr>
        <w:pBdr>
          <w:bottom w:val="single" w:color="BDD7EE" w:sz="4"/>
        </w:pBdr>
        <w:spacing w:before="80" w:after="80"/>
      </w:pPr>
    </w:p>
    <w:p>
      <w:pPr>
        <w:spacing w:before="60" w:after="100"/>
      </w:pPr>
      <w:r>
        <w:rPr>
          <w:rFonts w:ascii="Arial" w:cs="Arial" w:eastAsia="Arial" w:hAnsi="Arial"/>
          <w:b/>
          <w:bCs/>
          <w:color w:val="1A1A2E"/>
          <w:sz w:val="20"/>
          <w:szCs w:val="20"/>
        </w:rPr>
        <w:t xml:space="preserve">Microsoft Security Copilot y Defender XDR — Fuentes Oficiales y Análisis:</w:t>
      </w:r>
    </w:p>
    <w:p>
      <w:pPr>
        <w:spacing w:before="30" w:after="40"/>
      </w:pPr>
      <w:r>
        <w:rPr>
          <w:rFonts w:ascii="Arial" w:cs="Arial" w:eastAsia="Arial" w:hAnsi="Arial"/>
          <w:color w:val="1A1A2E"/>
          <w:sz w:val="17"/>
          <w:szCs w:val="17"/>
        </w:rPr>
        <w:t xml:space="preserve">R241. Microsoft Security, 'Microsoft Security Copilot'. microsoft.com/security. Ignite 2025: inclusión en M365 E5 con 400 SCUs/mes por cada 1,000 licencias. Agentes integrados en Defender, Entra, Intune, Purview.</w:t>
      </w:r>
    </w:p>
    <w:p>
      <w:pPr>
        <w:spacing w:before="30" w:after="40"/>
      </w:pPr>
      <w:r>
        <w:rPr>
          <w:rFonts w:ascii="Arial" w:cs="Arial" w:eastAsia="Arial" w:hAnsi="Arial"/>
          <w:color w:val="1A1A2E"/>
          <w:sz w:val="17"/>
          <w:szCs w:val="17"/>
        </w:rPr>
        <w:t xml:space="preserve">R242. Microsoft Learn, 'What is Microsoft Security Copilot?'. learn.microsoft.com. Arquitectura: grounding, plugins, LLM, post-processing. Integración con Defender XDR, Sentinel, Intune, Entra.</w:t>
      </w:r>
    </w:p>
    <w:p>
      <w:pPr>
        <w:spacing w:before="30" w:after="40"/>
      </w:pPr>
      <w:r>
        <w:rPr>
          <w:rFonts w:ascii="Arial" w:cs="Arial" w:eastAsia="Arial" w:hAnsi="Arial"/>
          <w:color w:val="1A1A2E"/>
          <w:sz w:val="17"/>
          <w:szCs w:val="17"/>
        </w:rPr>
        <w:t xml:space="preserve">R243. Microsoft Security Blog, 'From Runtime Risk to Real-Time Defense: Securing AI Agents', enero 2026. Webhook-based runtime inspection de tool invocations. Tres escenarios de ataques a agentes.</w:t>
      </w:r>
    </w:p>
    <w:p>
      <w:pPr>
        <w:spacing w:before="30" w:after="40"/>
      </w:pPr>
      <w:r>
        <w:rPr>
          <w:rFonts w:ascii="Arial" w:cs="Arial" w:eastAsia="Arial" w:hAnsi="Arial"/>
          <w:color w:val="1A1A2E"/>
          <w:sz w:val="17"/>
          <w:szCs w:val="17"/>
        </w:rPr>
        <w:t xml:space="preserve">R244. Microsoft Security, 'AI-Powered Security Operations'. Unified SecOps: Sentinel + Defender XDR + Security Copilot. Automatic Attack Disruption.</w:t>
      </w:r>
    </w:p>
    <w:p>
      <w:pPr>
        <w:spacing w:before="30" w:after="40"/>
      </w:pPr>
      <w:r>
        <w:rPr>
          <w:rFonts w:ascii="Arial" w:cs="Arial" w:eastAsia="Arial" w:hAnsi="Arial"/>
          <w:color w:val="1A1A2E"/>
          <w:sz w:val="17"/>
          <w:szCs w:val="17"/>
        </w:rPr>
        <w:t xml:space="preserve">R245. MSFTNewsNow, 'Microsoft Defender Experts Suite Launches January 1, 2026'. SOC-as-a-service: managed XDR + proactive IR + Microsoft security advisors. Integración Defender/Entra/Intune/Purview.</w:t>
      </w:r>
    </w:p>
    <w:p>
      <w:pPr>
        <w:spacing w:before="30" w:after="40"/>
      </w:pPr>
      <w:r>
        <w:rPr>
          <w:rFonts w:ascii="Arial" w:cs="Arial" w:eastAsia="Arial" w:hAnsi="Arial"/>
          <w:color w:val="1A1A2E"/>
          <w:sz w:val="17"/>
          <w:szCs w:val="17"/>
        </w:rPr>
        <w:t xml:space="preserve">R246. VentureBeat, 'Microsoft Goes All-In on Gen AI with Security Copilot and Defender XDR'. Unificación SecOps platform. Forrester: Leader in XDR Wave Q2 2024.</w:t>
      </w:r>
    </w:p>
    <w:p>
      <w:pPr>
        <w:spacing w:before="30" w:after="40"/>
      </w:pPr>
      <w:r>
        <w:rPr>
          <w:rFonts w:ascii="Arial" w:cs="Arial" w:eastAsia="Arial" w:hAnsi="Arial"/>
          <w:color w:val="1A1A2E"/>
          <w:sz w:val="17"/>
          <w:szCs w:val="17"/>
        </w:rPr>
        <w:t xml:space="preserve">R247. SecurityWeek, 'Microsoft Adds AI Agents to Security Copilot', marzo 2025. 6 nuevos agentes: Phishing Triage, Purview Alert Triage, CA Optimization, Vulnerability Remediation, TI Briefing.</w:t>
      </w:r>
    </w:p>
    <w:p>
      <w:pPr>
        <w:spacing w:before="30" w:after="40"/>
      </w:pPr>
      <w:r>
        <w:rPr>
          <w:rFonts w:ascii="Arial" w:cs="Arial" w:eastAsia="Arial" w:hAnsi="Arial"/>
          <w:color w:val="1A1A2E"/>
          <w:sz w:val="17"/>
          <w:szCs w:val="17"/>
        </w:rPr>
        <w:t xml:space="preserve">R248. Cisilion, 'Tech Predictions for 2026: Microsoft AI &amp; Security'. Runtime protections para Copilot Studio agents. Build your own Security Copilot agents (public preview). Sentinel integration.</w:t>
      </w:r>
    </w:p>
    <w:p>
      <w:pPr>
        <w:spacing w:before="30" w:after="40"/>
      </w:pPr>
      <w:r>
        <w:rPr>
          <w:rFonts w:ascii="Arial" w:cs="Arial" w:eastAsia="Arial" w:hAnsi="Arial"/>
          <w:color w:val="1A1A2E"/>
          <w:sz w:val="17"/>
          <w:szCs w:val="17"/>
        </w:rPr>
        <w:t xml:space="preserve">R249. Intezer, 'Microsoft Security Copilot: Use Cases, Pros/Cons &amp; Pricing 2026'. Casos de uso detallados: incident response, identity analysis, KQL generation, phishing analysis.</w:t>
      </w:r>
    </w:p>
    <w:p>
      <w:pPr>
        <w:spacing w:before="30" w:after="40"/>
      </w:pPr>
      <w:r>
        <w:rPr>
          <w:rFonts w:ascii="Arial" w:cs="Arial" w:eastAsia="Arial" w:hAnsi="Arial"/>
          <w:color w:val="1A1A2E"/>
          <w:sz w:val="17"/>
          <w:szCs w:val="17"/>
        </w:rPr>
        <w:t xml:space="preserve">R250. Petri, 'Microsoft Defender Adds AI, Cloud, Multicloud Security Tools', noviembre 2025. AI Security Posture Management extendido a Google Vertex AI y modelos de catálogo.</w:t>
      </w:r>
    </w:p>
    <w:p>
      <w:pPr>
        <w:spacing w:before="30" w:after="30"/>
      </w:pPr>
      <w:r>
        <w:t xml:space="preserve"/>
      </w:r>
    </w:p>
    <w:p>
      <w:pPr>
        <w:spacing w:before="60" w:after="100"/>
      </w:pPr>
      <w:r>
        <w:rPr>
          <w:rFonts w:ascii="Arial" w:cs="Arial" w:eastAsia="Arial" w:hAnsi="Arial"/>
          <w:b/>
          <w:bCs/>
          <w:color w:val="1A1A2E"/>
          <w:sz w:val="20"/>
          <w:szCs w:val="20"/>
        </w:rPr>
        <w:t xml:space="preserve">Paisaje de Amenazas AI-Powered 2026:</w:t>
      </w:r>
    </w:p>
    <w:p>
      <w:pPr>
        <w:spacing w:before="30" w:after="40"/>
      </w:pPr>
      <w:r>
        <w:rPr>
          <w:rFonts w:ascii="Arial" w:cs="Arial" w:eastAsia="Arial" w:hAnsi="Arial"/>
          <w:color w:val="1A1A2E"/>
          <w:sz w:val="17"/>
          <w:szCs w:val="17"/>
        </w:rPr>
        <w:t xml:space="preserve">R251. Intelligent CISO, 'How AI-Driven Cyberthreats Will Reshape Security Strategies', enero 2026. ENISA: AI-driven attacks &gt;40% de APTs. Gartner: 30% de empresas con ataques específicos a IA en 2026. ENISA: deepfakes en 20% de fraudes.</w:t>
      </w:r>
    </w:p>
    <w:p>
      <w:pPr>
        <w:spacing w:before="30" w:after="40"/>
      </w:pPr>
      <w:r>
        <w:rPr>
          <w:rFonts w:ascii="Arial" w:cs="Arial" w:eastAsia="Arial" w:hAnsi="Arial"/>
          <w:color w:val="1A1A2E"/>
          <w:sz w:val="17"/>
          <w:szCs w:val="17"/>
        </w:rPr>
        <w:t xml:space="preserve">R252. Medium/Olutobi Oyinlade, 'AI Is Now the Biggest Cybersecurity Threat — And the Best Defense', febrero 2026. MITRE ATLAS: 15 tácticas y 66 técnicas contra sistemas IA. McKinsey: 15% del gasto en ciberseguridad corporativo fuera del CISO office.</w:t>
      </w:r>
    </w:p>
    <w:p>
      <w:pPr>
        <w:spacing w:before="30" w:after="40"/>
      </w:pPr>
      <w:r>
        <w:rPr>
          <w:rFonts w:ascii="Arial" w:cs="Arial" w:eastAsia="Arial" w:hAnsi="Arial"/>
          <w:color w:val="1A1A2E"/>
          <w:sz w:val="17"/>
          <w:szCs w:val="17"/>
        </w:rPr>
        <w:t xml:space="preserve">R253. Trend Micro, 'The AI-fication of Cyberthreats: Security Predictions for 2026'. AI-powered living-off-the-land. Data poisoning como próxima frontera. Polymorphic ransomware en tiempo real.</w:t>
      </w:r>
    </w:p>
    <w:p>
      <w:pPr>
        <w:spacing w:before="30" w:after="40"/>
      </w:pPr>
      <w:r>
        <w:rPr>
          <w:rFonts w:ascii="Arial" w:cs="Arial" w:eastAsia="Arial" w:hAnsi="Arial"/>
          <w:color w:val="1A1A2E"/>
          <w:sz w:val="17"/>
          <w:szCs w:val="17"/>
        </w:rPr>
        <w:t xml:space="preserve">R254. Segura Security, 'Cybersecurity Trends 2026: The AI Threats You Can't Ignore', diciembre 2025. Identity como fundamento de la defensa. AI-augmented APTs. Deepfake-enabled fraud.</w:t>
      </w:r>
    </w:p>
    <w:p>
      <w:pPr>
        <w:spacing w:before="30" w:after="40"/>
      </w:pPr>
      <w:r>
        <w:rPr>
          <w:rFonts w:ascii="Arial" w:cs="Arial" w:eastAsia="Arial" w:hAnsi="Arial"/>
          <w:color w:val="1A1A2E"/>
          <w:sz w:val="17"/>
          <w:szCs w:val="17"/>
        </w:rPr>
        <w:t xml:space="preserve">R255. ECCU, 'Top Cybersecurity Trends of 2026: AI, Zero Trust &amp; Quantum Security', diciembre 2025. Deepfake attack cada 5 minutos (Axios 2024). AI-powered SOC. Post-quantum cryptography.</w:t>
      </w:r>
    </w:p>
    <w:p>
      <w:pPr>
        <w:spacing w:before="30" w:after="40"/>
      </w:pPr>
      <w:r>
        <w:rPr>
          <w:rFonts w:ascii="Arial" w:cs="Arial" w:eastAsia="Arial" w:hAnsi="Arial"/>
          <w:color w:val="1A1A2E"/>
          <w:sz w:val="17"/>
          <w:szCs w:val="17"/>
        </w:rPr>
        <w:t xml:space="preserve">R256. Stellar Cyber, 'Top Agentic AI Security Threats in 2026', diciembre 2025. 16 billion credential exposure. Arup deepfake fraud: $25M perdidos (septiembre 2025). Compromised agents escalan deception 1,000x.</w:t>
      </w:r>
    </w:p>
    <w:p>
      <w:pPr>
        <w:spacing w:before="30" w:after="40"/>
      </w:pPr>
      <w:r>
        <w:rPr>
          <w:rFonts w:ascii="Arial" w:cs="Arial" w:eastAsia="Arial" w:hAnsi="Arial"/>
          <w:color w:val="1A1A2E"/>
          <w:sz w:val="17"/>
          <w:szCs w:val="17"/>
        </w:rPr>
        <w:t xml:space="preserve">R257. Solutions Review, '140+ Cybersecurity Predictions from Industry Experts for 2026', enero 2026. AI Assurance en GRC. CISO → Chief Trust Officer. Deepfakes en evidencia legal (Mendones v. Cushman &amp; Wakefield).</w:t>
      </w:r>
    </w:p>
    <w:p>
      <w:pPr>
        <w:spacing w:before="30" w:after="40"/>
      </w:pPr>
      <w:r>
        <w:rPr>
          <w:rFonts w:ascii="Arial" w:cs="Arial" w:eastAsia="Arial" w:hAnsi="Arial"/>
          <w:color w:val="1A1A2E"/>
          <w:sz w:val="17"/>
          <w:szCs w:val="17"/>
        </w:rPr>
        <w:t xml:space="preserve">R258. HBR/Palo Alto Networks, '6 Cybersecurity Predictions for the AI Economy in 2026', diciembre 2025. Data poisoning como nueva frontera. Machine identities 82:1 vs. humanos. Agentic browsers como nueva superficie.</w:t>
      </w:r>
    </w:p>
    <w:p>
      <w:pPr>
        <w:spacing w:before="30" w:after="40"/>
      </w:pPr>
      <w:r>
        <w:rPr>
          <w:rFonts w:ascii="Arial" w:cs="Arial" w:eastAsia="Arial" w:hAnsi="Arial"/>
          <w:color w:val="1A1A2E"/>
          <w:sz w:val="17"/>
          <w:szCs w:val="17"/>
        </w:rPr>
        <w:t xml:space="preserve">R259. TechTimes, 'Generative AI Cyber Threats 2026: Deepfake Fraud Scams and Synthetic Identity Fraud', febrero 2026. +148% en AI-generated impersonation scams. AI-generated polymorphic malware.</w:t>
      </w:r>
    </w:p>
    <w:p>
      <w:pPr>
        <w:spacing w:before="30" w:after="40"/>
      </w:pPr>
      <w:r>
        <w:rPr>
          <w:rFonts w:ascii="Arial" w:cs="Arial" w:eastAsia="Arial" w:hAnsi="Arial"/>
          <w:color w:val="1A1A2E"/>
          <w:sz w:val="17"/>
          <w:szCs w:val="17"/>
        </w:rPr>
        <w:t xml:space="preserve">R260. Presidio, '2026 Cybersecurity Predictions', diciembre 2025. Passwordless authentication masa crítica. SOC Tier 1 autónomo. Quantum-safe cryptography en financiero.</w:t>
      </w:r>
    </w:p>
    <w:p>
      <w:pPr>
        <w:spacing w:before="30" w:after="30"/>
      </w:pPr>
      <w:r>
        <w:t xml:space="preserve"/>
      </w:r>
    </w:p>
    <w:p>
      <w:pPr>
        <w:spacing w:before="60" w:after="100"/>
      </w:pPr>
      <w:r>
        <w:rPr>
          <w:rFonts w:ascii="Arial" w:cs="Arial" w:eastAsia="Arial" w:hAnsi="Arial"/>
          <w:b/>
          <w:bCs/>
          <w:color w:val="1A1A2E"/>
          <w:sz w:val="20"/>
          <w:szCs w:val="20"/>
        </w:rPr>
        <w:t xml:space="preserve">Marcos Técnicos y Operacionales para AI Security:</w:t>
      </w:r>
    </w:p>
    <w:p>
      <w:pPr>
        <w:spacing w:before="30" w:after="40"/>
      </w:pPr>
      <w:r>
        <w:rPr>
          <w:rFonts w:ascii="Arial" w:cs="Arial" w:eastAsia="Arial" w:hAnsi="Arial"/>
          <w:color w:val="1A1A2E"/>
          <w:sz w:val="17"/>
          <w:szCs w:val="17"/>
        </w:rPr>
        <w:t xml:space="preserve">R261. Verizon DBIR 2025. Solo 35% de empresas usan ML avanzado para threat hunting. Gap estratégico en mid-market.</w:t>
      </w:r>
    </w:p>
    <w:p>
      <w:pPr>
        <w:spacing w:before="30" w:after="40"/>
      </w:pPr>
      <w:r>
        <w:rPr>
          <w:rFonts w:ascii="Arial" w:cs="Arial" w:eastAsia="Arial" w:hAnsi="Arial"/>
          <w:color w:val="1A1A2E"/>
          <w:sz w:val="17"/>
          <w:szCs w:val="17"/>
        </w:rPr>
        <w:t xml:space="preserve">R262. ENISA, 'Threat Landscape 2025'. AI-driven attacks ya representan &gt;40% de APTs. Deepfake proyección para 2026.</w:t>
      </w:r>
    </w:p>
    <w:p>
      <w:pPr>
        <w:spacing w:before="30" w:after="40"/>
      </w:pPr>
      <w:r>
        <w:rPr>
          <w:rFonts w:ascii="Arial" w:cs="Arial" w:eastAsia="Arial" w:hAnsi="Arial"/>
          <w:color w:val="1A1A2E"/>
          <w:sz w:val="17"/>
          <w:szCs w:val="17"/>
        </w:rPr>
        <w:t xml:space="preserve">R263. Dark Reading poll, 2026. 48% de profesionales de ciberseguridad identifican IA agéntica como vector de ataque #1.</w:t>
      </w:r>
    </w:p>
    <w:p>
      <w:pPr>
        <w:spacing w:before="30" w:after="40"/>
      </w:pPr>
      <w:r>
        <w:rPr>
          <w:rFonts w:ascii="Arial" w:cs="Arial" w:eastAsia="Arial" w:hAnsi="Arial"/>
          <w:color w:val="1A1A2E"/>
          <w:sz w:val="17"/>
          <w:szCs w:val="17"/>
        </w:rPr>
        <w:t xml:space="preserve">R264. Wallarm Research, 2025. +270% en vulnerabilidades MCP de Q2 a Q3 2025. Surging API vulnerabilities.</w:t>
      </w:r>
    </w:p>
    <w:p>
      <w:pPr>
        <w:spacing w:before="30" w:after="40"/>
      </w:pPr>
      <w:r>
        <w:rPr>
          <w:rFonts w:ascii="Arial" w:cs="Arial" w:eastAsia="Arial" w:hAnsi="Arial"/>
          <w:color w:val="1A1A2E"/>
          <w:sz w:val="17"/>
          <w:szCs w:val="17"/>
        </w:rPr>
        <w:t xml:space="preserve">R265. Barracuda Security, 2025. 43 componentes de frameworks agénticos con vulnerabilidades de supply chain embebidas.</w:t>
      </w:r>
    </w:p>
    <w:p>
      <w:pPr>
        <w:spacing w:before="30" w:after="40"/>
      </w:pPr>
      <w:r>
        <w:rPr>
          <w:rFonts w:ascii="Arial" w:cs="Arial" w:eastAsia="Arial" w:hAnsi="Arial"/>
          <w:color w:val="1A1A2E"/>
          <w:sz w:val="17"/>
          <w:szCs w:val="17"/>
        </w:rPr>
        <w:t xml:space="preserve">R266. Microsoft AI Red Team (AIRT). Metodología pública de red teaming para sistemas de IA. Referencia para testing de agentes internos.</w:t>
      </w:r>
    </w:p>
    <w:p>
      <w:pPr>
        <w:spacing w:before="30" w:after="40"/>
      </w:pPr>
      <w:r>
        <w:rPr>
          <w:rFonts w:ascii="Arial" w:cs="Arial" w:eastAsia="Arial" w:hAnsi="Arial"/>
          <w:color w:val="1A1A2E"/>
          <w:sz w:val="17"/>
          <w:szCs w:val="17"/>
        </w:rPr>
        <w:t xml:space="preserve">R267. Coalition for Content Provenance and Authenticity (C2PA). Estándar de autenticidad de contenido. microsoft.com/ai/content-integrity.</w:t>
      </w:r>
    </w:p>
    <w:p>
      <w:pPr>
        <w:spacing w:before="30" w:after="40"/>
      </w:pPr>
      <w:r>
        <w:rPr>
          <w:rFonts w:ascii="Arial" w:cs="Arial" w:eastAsia="Arial" w:hAnsi="Arial"/>
          <w:color w:val="1A1A2E"/>
          <w:sz w:val="17"/>
          <w:szCs w:val="17"/>
        </w:rPr>
        <w:t xml:space="preserve">R268. ISO/IEC 30107-3. Biometric Liveness Detection standard. Referencia para procesos de onboarding remoto.</w:t>
      </w:r>
    </w:p>
    <w:p>
      <w:pPr>
        <w:spacing w:before="30" w:after="40"/>
      </w:pPr>
      <w:r>
        <w:rPr>
          <w:rFonts w:ascii="Arial" w:cs="Arial" w:eastAsia="Arial" w:hAnsi="Arial"/>
          <w:color w:val="1A1A2E"/>
          <w:sz w:val="17"/>
          <w:szCs w:val="17"/>
        </w:rPr>
        <w:t xml:space="preserve">R269. MITRE ATLAS (Adversarial Threat Landscape for AI Systems). atlas.mitre.org. 15 tácticas, 66 técnicas contra sistemas de IA. Complementario a MITRE ATT&amp;CK.</w:t>
      </w:r>
    </w:p>
    <w:p>
      <w:pPr>
        <w:spacing w:before="30" w:after="40"/>
      </w:pPr>
      <w:r>
        <w:rPr>
          <w:rFonts w:ascii="Arial" w:cs="Arial" w:eastAsia="Arial" w:hAnsi="Arial"/>
          <w:color w:val="1A1A2E"/>
          <w:sz w:val="17"/>
          <w:szCs w:val="17"/>
        </w:rPr>
        <w:t xml:space="preserve">R270. Microsoft Security Adoption Hub. Security Copilot Adoption Hub: training, videos, GitHub repository, technical readiness.</w:t>
      </w:r>
    </w:p>
    <w:p>
      <w:pPr>
        <w:spacing w:before="30" w:after="30"/>
      </w:pPr>
      <w:r>
        <w:t xml:space="preserve"/>
      </w:r>
    </w:p>
    <w:p>
      <w:pPr>
        <w:pBdr>
          <w:bottom w:val="single" w:color="BDD7EE" w:sz="4"/>
        </w:pBdr>
        <w:spacing w:before="80" w:after="80"/>
      </w:pPr>
    </w:p>
    <w:p>
      <w:pPr>
        <w:spacing w:before="120" w:after="60"/>
        <w:jc w:val="center"/>
      </w:pPr>
      <w:r>
        <w:rPr>
          <w:rFonts w:ascii="Arial" w:cs="Arial" w:eastAsia="Arial" w:hAnsi="Arial"/>
          <w:b/>
          <w:bCs/>
          <w:color w:val="1F3864"/>
          <w:sz w:val="28"/>
          <w:szCs w:val="28"/>
        </w:rPr>
        <w:t xml:space="preserve">FIN DE LA FASE 10 — PROYECTO COMPLETO</w:t>
      </w:r>
    </w:p>
    <w:p>
      <w:pPr>
        <w:spacing w:before="0" w:after="60"/>
        <w:jc w:val="center"/>
      </w:pPr>
      <w:r>
        <w:rPr>
          <w:rFonts w:ascii="Arial" w:cs="Arial" w:eastAsia="Arial" w:hAnsi="Arial"/>
          <w:b w:val="false"/>
          <w:bCs w:val="false"/>
          <w:color w:val="2E75B6"/>
          <w:sz w:val="22"/>
          <w:szCs w:val="22"/>
        </w:rPr>
        <w:t xml:space="preserve">Análisis de Ética y Responsabilidad en IA — 16 Proveedores Globales</w:t>
      </w:r>
    </w:p>
    <w:p>
      <w:pPr>
        <w:spacing w:before="0" w:after="40"/>
        <w:jc w:val="center"/>
      </w:pPr>
      <w:r>
        <w:rPr>
          <w:rFonts w:ascii="Arial" w:cs="Arial" w:eastAsia="Arial" w:hAnsi="Arial"/>
          <w:b w:val="false"/>
          <w:bCs w:val="false"/>
          <w:color w:val="1A1A2E"/>
          <w:sz w:val="18"/>
          <w:szCs w:val="18"/>
        </w:rPr>
        <w:t xml:space="preserve">Fase 1: Filosofías · Fase 2: Alignment · Fase 3: Transparencia · Fase 4: Dilemas · Fase 5: Sectorial</w:t>
      </w:r>
    </w:p>
    <w:p>
      <w:pPr>
        <w:spacing w:before="0" w:after="40"/>
        <w:jc w:val="center"/>
      </w:pPr>
      <w:r>
        <w:rPr>
          <w:rFonts w:ascii="Arial" w:cs="Arial" w:eastAsia="Arial" w:hAnsi="Arial"/>
          <w:b w:val="false"/>
          <w:bCs w:val="false"/>
          <w:color w:val="1A1A2E"/>
          <w:sz w:val="18"/>
          <w:szCs w:val="18"/>
        </w:rPr>
        <w:t xml:space="preserve">Fase 6: Contractual · Fase 7: Gobernanza · Fase 8: Síntesis · Fase 9: ROI/TCO · Fase 10: Defensa IA</w:t>
      </w:r>
    </w:p>
    <w:p>
      <w:pPr>
        <w:spacing w:before="40" w:after="40"/>
        <w:jc w:val="center"/>
      </w:pPr>
      <w:r>
        <w:rPr>
          <w:rFonts w:ascii="Arial" w:cs="Arial" w:eastAsia="Arial" w:hAnsi="Arial"/>
          <w:b/>
          <w:bCs/>
          <w:color w:val="888888"/>
          <w:sz w:val="17"/>
          <w:szCs w:val="17"/>
        </w:rPr>
        <w:t xml:space="preserve">270 referencias · Metodología N1-N4 · 10 fases · Corte: 20 febrero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2026-02-21T02:57:23.752Z</dcterms:created>
  <dcterms:modified xsi:type="dcterms:W3CDTF">2026-02-21T02:57:23.753Z</dcterms:modified>
</cp:coreProperties>
</file>

<file path=docProps/custom.xml><?xml version="1.0" encoding="utf-8"?>
<Properties xmlns="http://schemas.openxmlformats.org/officeDocument/2006/custom-properties" xmlns:vt="http://schemas.openxmlformats.org/officeDocument/2006/docPropsVTypes"/>
</file>