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40" w:after="80"/>
        <w:jc w:val="center"/>
      </w:pPr>
      <w:r>
        <w:rPr>
          <w:rFonts w:ascii="Arial" w:cs="Arial" w:eastAsia="Arial" w:hAnsi="Arial"/>
          <w:color w:val="2E75B6"/>
          <w:sz w:val="28"/>
          <w:szCs w:val="28"/>
        </w:rPr>
        <w:t xml:space="preserve">16 Proveedores Globales — Informe de Due Diligence</w:t>
      </w:r>
    </w:p>
    <w:p>
      <w:pPr>
        <w:pBdr>
          <w:bottom w:val="single" w:color="C6A619" w:sz="8"/>
        </w:pBdr>
        <w:spacing w:before="0" w:after="240"/>
        <w:jc w:val="center"/>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C6A619"/>
          <w:sz w:val="36"/>
          <w:szCs w:val="36"/>
        </w:rPr>
        <w:t xml:space="preserve">FASE 3</w:t>
      </w:r>
    </w:p>
    <w:p>
      <w:pPr>
        <w:spacing w:before="0" w:after="200"/>
        <w:jc w:val="center"/>
      </w:pPr>
      <w:r>
        <w:rPr>
          <w:rFonts w:ascii="Arial" w:cs="Arial" w:eastAsia="Arial" w:hAnsi="Arial"/>
          <w:i/>
          <w:iCs/>
          <w:color w:val="2E75B6"/>
          <w:sz w:val="26"/>
          <w:szCs w:val="26"/>
        </w:rPr>
        <w:t xml:space="preserve">Documentos Públicos, Transparencia y Mecanismos de Accountability</w:t>
      </w:r>
    </w:p>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3864"/>
          <w:sz w:val="20"/>
          <w:szCs w:val="20"/>
        </w:rPr>
        <w:t xml:space="preserve">ÍNDICES EXTERNOS UTILIZADOS</w:t>
      </w:r>
    </w:p>
    <w:p>
      <w:pPr>
        <w:spacing w:before="0" w:after="160"/>
        <w:jc w:val="center"/>
      </w:pPr>
      <w:r>
        <w:rPr>
          <w:rFonts w:ascii="Arial" w:cs="Arial" w:eastAsia="Arial" w:hAnsi="Arial"/>
          <w:color w:val="1A1A2E"/>
          <w:sz w:val="18"/>
          <w:szCs w:val="18"/>
        </w:rPr>
        <w:t xml:space="preserve">Stanford FMTI 2025  |  </w:t>
      </w:r>
      <w:r>
        <w:rPr>
          <w:rFonts w:ascii="Arial" w:cs="Arial" w:eastAsia="Arial" w:hAnsi="Arial"/>
          <w:color w:val="1A1A2E"/>
          <w:sz w:val="18"/>
          <w:szCs w:val="18"/>
        </w:rPr>
        <w:t xml:space="preserve">FLI AI Safety Index Summer + Winter 2025  |  </w:t>
      </w:r>
      <w:r>
        <w:rPr>
          <w:rFonts w:ascii="Arial" w:cs="Arial" w:eastAsia="Arial" w:hAnsi="Arial"/>
          <w:color w:val="1A1A2E"/>
          <w:sz w:val="18"/>
          <w:szCs w:val="18"/>
        </w:rPr>
        <w:t xml:space="preserve">EU AI Act GPAI Code of Practice 2025</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i/>
          <w:i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2"/>
          <w:szCs w:val="32"/>
        </w:rPr>
        <w:t xml:space="preserve">FASE 3: DOCUMENTOS PÚBLICOS, TRANSPARENCIA Y ACCOUNTABILITY</w:t>
      </w:r>
    </w:p>
    <w:p>
      <w:pPr>
        <w:pBdr>
          <w:bottom w:val="single" w:color="BDD7EE" w:sz="4"/>
        </w:pBdr>
        <w:spacing w:before="120" w:after="120"/>
      </w:pPr>
    </w:p>
    <w:p>
      <w:pPr>
        <w:spacing w:before="60" w:after="100"/>
      </w:pPr>
      <w:r>
        <w:rPr>
          <w:rFonts w:ascii="Arial" w:cs="Arial" w:eastAsia="Arial" w:hAnsi="Arial"/>
          <w:color w:val="1A1A2E"/>
          <w:sz w:val="20"/>
          <w:szCs w:val="20"/>
        </w:rPr>
        <w:t xml:space="preserve">La Fase 3 examina evidencia de tercer tipo: no lo que los proveedores declaran sobre sí mismos (Fase 1) ni cómo articulan su filosofía (Fase 2), sino lo que evidencia externa e índices independientes revelan sobre sus prácticas reales de transparencia y rendición de cuentas. Las fuentes centrales son tres: (1) el Stanford Foundation Model Transparency Index (FMTI) 2025, que mide 100 indicadores de transparencia en 13 proveedores; (2) el Future of Life Institute (FLI) AI Safety Index, publicado en ediciones Summer y Winter 2025, con calificaciones de expertos independientes en 6-8 laboratorios; y (3) el EU AI Act GPAI Code of Practice (julio-agosto 2025), que establece las primeras obligaciones legalmente vinculantes de transparencia para modelos de propósito general en la Unión Europea.</w:t>
      </w:r>
    </w:p>
    <w:p>
      <w:pPr>
        <w:spacing w:before="60" w:after="100"/>
      </w:pPr>
      <w:r>
        <w:rPr>
          <w:rFonts w:ascii="Arial" w:cs="Arial" w:eastAsia="Arial" w:hAnsi="Arial"/>
          <w:color w:val="1A1A2E"/>
          <w:sz w:val="20"/>
          <w:szCs w:val="20"/>
        </w:rPr>
        <w:t xml:space="preserve">Las tres fuentes son independientes, metodológicamente distintas y miden dimensiones complementarias: el FMTI mide divulgación de información; el FLI Safety Index mide calidad de las prácticas de seguridad; y el EU AI Act establece requisitos regulatorios mínimos vinculantes. Combinadas, permiten una triangulación significativa del gap entre declaración y práctica.</w:t>
      </w:r>
    </w:p>
    <w:p>
      <w:pPr>
        <w:spacing w:before="40" w:after="40"/>
      </w:pPr>
      <w:r>
        <w:t xml:space="preserve"/>
      </w:r>
    </w:p>
    <w:p>
      <w:pPr>
        <w:pStyle w:val="Heading1"/>
        <w:spacing w:before="360" w:after="120"/>
      </w:pPr>
      <w:r>
        <w:rPr>
          <w:rFonts w:ascii="Arial" w:cs="Arial" w:eastAsia="Arial" w:hAnsi="Arial"/>
          <w:b/>
          <w:bCs/>
          <w:color w:val="1F3864"/>
          <w:sz w:val="32"/>
          <w:szCs w:val="32"/>
        </w:rPr>
        <w:t xml:space="preserve">3.1 STANFORD FMTI 2025: ÍNDICE DE TRANSPARENCIA DE MODELOS</w:t>
      </w:r>
    </w:p>
    <w:p>
      <w:pPr>
        <w:pStyle w:val="Heading2"/>
        <w:spacing w:before="280" w:after="80"/>
      </w:pPr>
      <w:r>
        <w:rPr>
          <w:rFonts w:ascii="Arial" w:cs="Arial" w:eastAsia="Arial" w:hAnsi="Arial"/>
          <w:b/>
          <w:bCs/>
          <w:color w:val="2E75B6"/>
          <w:sz w:val="26"/>
          <w:szCs w:val="26"/>
        </w:rPr>
        <w:t xml:space="preserve">Foundation Model Transparency Index — Tercera Edición, Diciembre 2025</w:t>
      </w:r>
    </w:p>
    <w:p>
      <w:pPr>
        <w:pBdr>
          <w:bottom w:val="single" w:color="BDD7EE" w:sz="4"/>
        </w:pBdr>
        <w:spacing w:before="120" w:after="120"/>
      </w:pPr>
    </w:p>
    <w:p>
      <w:pPr>
        <w:spacing w:before="60" w:after="100"/>
      </w:pPr>
      <w:r>
        <w:rPr>
          <w:rFonts w:ascii="Arial" w:cs="Arial" w:eastAsia="Arial" w:hAnsi="Arial"/>
          <w:color w:val="1A1A2E"/>
          <w:sz w:val="20"/>
          <w:szCs w:val="20"/>
        </w:rPr>
        <w:t xml:space="preserve">El FMTI 2025, publicado en diciembre de 2025 por un equipo de investigadores de Stanford, Berkeley, Princeton y MIT, es el instrumento de medición de transparencia corporativa más sistemático disponible para modelos de IA fundacionales. Su tercera edición evalúa 100 indicadores organizados en 18 subdominios (recursos para el desarrollo, propiedades del modelo, impacto downstream) para 13 compañías. De los 23 proveedores contactados, solo 7 presentaron reportes de transparencia voluntariamente; el equipo del FMTI preparó reportes para las 6 compañías restantes basándose en información públicamente disponible. Este dato es en sí mismo revelador: el 70% de las empresas más relevantes del ecosistema no consideró oportuno participar activamente en el proceso. [NIVEL 1: crfm.stanford.edu/fmti/December-2025, diciembre 2025]</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3.1.1 Hallazgo Principal: Declive Generalizado de la Transparencia</w:t>
      </w:r>
    </w:p>
    <w:p>
      <w:pPr>
        <w:spacing w:before="60" w:after="100"/>
      </w:pPr>
      <w:r>
        <w:rPr>
          <w:rFonts w:ascii="Arial" w:cs="Arial" w:eastAsia="Arial" w:hAnsi="Arial"/>
          <w:color w:val="1A1A2E"/>
          <w:sz w:val="20"/>
          <w:szCs w:val="20"/>
        </w:rPr>
        <w:t xml:space="preserve">El hallazgo más significativo del FMTI 2025 es que la transparencia en la industria </w:t>
      </w:r>
      <w:r>
        <w:rPr>
          <w:rFonts w:ascii="Arial" w:cs="Arial" w:eastAsia="Arial" w:hAnsi="Arial"/>
          <w:b/>
          <w:bCs/>
          <w:color w:val="1A1A2E"/>
          <w:sz w:val="20"/>
          <w:szCs w:val="20"/>
        </w:rPr>
        <w:t xml:space="preserve">ha disminuido</w:t>
      </w:r>
      <w:r>
        <w:rPr>
          <w:rFonts w:ascii="Arial" w:cs="Arial" w:eastAsia="Arial" w:hAnsi="Arial"/>
          <w:color w:val="1A1A2E"/>
          <w:sz w:val="20"/>
          <w:szCs w:val="20"/>
        </w:rPr>
        <w:t xml:space="preserve"> frente a 2024, revirtiendo el progreso observado ese año y retornando a niveles de 2023. El puntaje promedio cayó de 58/100 en 2024 a 40/100 en 2025. Seis compañías disminuyeron sus puntajes, con Meta reduciéndolo a la mitad (de 60 a 31) y Mistral en más de dos tercios (de 55 a 18). OpenAI cayó 14 puntos. Amazon, Anthropic y Google cayeron menos de 10 puntos cada una. [NIVEL 1: FMTI 2025, Stanford]</w:t>
      </w:r>
    </w:p>
    <w:p>
      <w:pPr>
        <w:spacing w:before="80" w:after="80"/>
        <w:ind w:left="720" w:right="360"/>
      </w:pPr>
      <w:r>
        <w:rPr>
          <w:rFonts w:ascii="Arial" w:cs="Arial" w:eastAsia="Arial" w:hAnsi="Arial"/>
          <w:i/>
          <w:iCs/>
          <w:color w:val="444444"/>
          <w:sz w:val="18"/>
          <w:szCs w:val="18"/>
        </w:rPr>
        <w:t xml:space="preserve">[Stanford FMTI 2025, "Meta and OpenAI started first and second in 2023, but now are last and second-to-last respectively", crfm.stanford.edu/fmti/December-2025, diciembre 2025] </w:t>
      </w:r>
      <w:r>
        <w:rPr>
          <w:rFonts w:ascii="Arial" w:cs="Arial" w:eastAsia="Arial" w:hAnsi="Arial"/>
          <w:b/>
          <w:bCs/>
          <w:color w:val="1A6E23"/>
          <w:sz w:val="16"/>
          <w:szCs w:val="16"/>
        </w:rPr>
        <w:t xml:space="preserve">[NIVEL 1]</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3.1.2 Tabla de Puntuaciones FMTI 2025 (100 indicadores)</w:t>
      </w:r>
    </w:p>
    <w:p>
      <w:pPr>
        <w:spacing w:before="60" w:after="100"/>
      </w:pPr>
      <w:r>
        <w:rPr>
          <w:rFonts w:ascii="Arial" w:cs="Arial" w:eastAsia="Arial" w:hAnsi="Arial"/>
          <w:color w:val="1A1A2E"/>
          <w:sz w:val="20"/>
          <w:szCs w:val="20"/>
        </w:rPr>
        <w:t xml:space="preserve">La tabla incorpora los 13 proveedores evaluados por el FMTI más los 3 proveedores del análisis no evaluados (Oracle, Teradata, Cloudera) marcados con N/E (no evaluado por ausencia de modelos fundacionales propios):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200"/>
        <w:gridCol w:w="1600"/>
        <w:gridCol w:w="2100"/>
        <w:gridCol w:w="1960"/>
      </w:tblGrid>
      <w:tr>
        <w:tc>
          <w:tcPr>
            <w:tcW w:type="dxa" w:w="1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FMTI 2025
(/ 100)</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GRUPO
FMTI</w:t>
            </w:r>
          </w:p>
        </w:tc>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TREND
vs. 2024</w:t>
            </w:r>
          </w:p>
        </w:tc>
        <w:tc>
          <w:tcPr>
            <w:tcW w:type="dxa" w:w="21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PUNTO MÁXIMO
DIVULGADO</w:t>
            </w:r>
          </w:p>
        </w:tc>
        <w:tc>
          <w:tcPr>
            <w:tcW w:type="dxa" w:w="1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GAP CRÍTICO
IDENTIFICADO</w:t>
            </w:r>
          </w:p>
        </w:tc>
      </w:tr>
      <w:tr>
        <w:tc>
          <w:tcPr>
            <w:tcW w:type="dxa" w:w="17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w:t>
            </w:r>
          </w:p>
        </w:tc>
        <w:tc>
          <w:tcPr>
            <w:tcW w:type="dxa" w:w="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8"/>
                <w:szCs w:val="18"/>
              </w:rPr>
              <w:t xml:space="preserve">95</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Top</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 (+30 vs 2024)</w:t>
            </w:r>
          </w:p>
        </w:tc>
        <w:tc>
          <w:tcPr>
            <w:tcW w:type="dxa" w:w="21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Governance, datos entrenamiento, energía — 6 indicadores únicos</w:t>
            </w:r>
          </w:p>
        </w:tc>
        <w:tc>
          <w:tcPr>
            <w:tcW w:type="dxa" w:w="19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Menor presencia en modelos frontier</w:t>
            </w:r>
          </w:p>
        </w:tc>
      </w:tr>
      <w:tr>
        <w:tc>
          <w:tcPr>
            <w:tcW w:type="dxa" w:w="17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Writer (Palmyra)</w:t>
            </w:r>
          </w:p>
        </w:tc>
        <w:tc>
          <w:tcPr>
            <w:tcW w:type="dxa" w:w="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8"/>
                <w:szCs w:val="18"/>
              </w:rPr>
              <w:t xml:space="preserve">79</w:t>
            </w:r>
          </w:p>
        </w:tc>
        <w:tc>
          <w:tcPr>
            <w:tcW w:type="dxa" w:w="12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val="false"/>
                <w:bCs w:val="false"/>
                <w:color w:val="4E8A2C"/>
                <w:sz w:val="17"/>
                <w:szCs w:val="17"/>
              </w:rPr>
              <w:t xml:space="preserve">Top</w:t>
            </w:r>
          </w:p>
        </w:tc>
        <w:tc>
          <w:tcPr>
            <w:tcW w:type="dxa" w:w="16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 (+15)</w:t>
            </w:r>
          </w:p>
        </w:tc>
        <w:tc>
          <w:tcPr>
            <w:tcW w:type="dxa" w:w="21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Compliance, downstream use, términos de servicio</w:t>
            </w:r>
          </w:p>
        </w:tc>
        <w:tc>
          <w:tcPr>
            <w:tcW w:type="dxa" w:w="19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Escala limitada vs. frontier labs</w:t>
            </w:r>
          </w:p>
        </w:tc>
      </w:tr>
      <w:tr>
        <w:tc>
          <w:tcPr>
            <w:tcW w:type="dxa" w:w="17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AI21 Labs</w:t>
            </w:r>
          </w:p>
        </w:tc>
        <w:tc>
          <w:tcPr>
            <w:tcW w:type="dxa" w:w="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8"/>
                <w:szCs w:val="18"/>
              </w:rPr>
              <w:t xml:space="preserve">66</w:t>
            </w:r>
          </w:p>
        </w:tc>
        <w:tc>
          <w:tcPr>
            <w:tcW w:type="dxa" w:w="12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val="false"/>
                <w:bCs w:val="false"/>
                <w:color w:val="4E8A2C"/>
                <w:sz w:val="17"/>
                <w:szCs w:val="17"/>
              </w:rPr>
              <w:t xml:space="preserve">Top</w:t>
            </w:r>
          </w:p>
        </w:tc>
        <w:tc>
          <w:tcPr>
            <w:tcW w:type="dxa" w:w="16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 (+41 vs 2023)</w:t>
            </w:r>
          </w:p>
        </w:tc>
        <w:tc>
          <w:tcPr>
            <w:tcW w:type="dxa" w:w="210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Datos de entrenamiento, compute, emisiones</w:t>
            </w:r>
          </w:p>
        </w:tc>
        <w:tc>
          <w:tcPr>
            <w:tcW w:type="dxa" w:w="19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Retrocedió en emisiones en 2025</w:t>
            </w:r>
          </w:p>
        </w:tc>
      </w:tr>
      <w:tr>
        <w:tc>
          <w:tcPr>
            <w:tcW w:type="dxa" w:w="17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47</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7F4F00"/>
                <w:sz w:val="17"/>
                <w:szCs w:val="17"/>
              </w:rPr>
              <w:t xml:space="preserve">Medio</w:t>
            </w:r>
          </w:p>
        </w:tc>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 (-5)</w:t>
            </w:r>
          </w:p>
        </w:tc>
        <w:tc>
          <w:tcPr>
            <w:tcW w:type="dxa" w:w="2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RSP, system cards, usage policies — domina a OpenAI en casi todos los indicadores</w:t>
            </w:r>
          </w:p>
        </w:tc>
        <w:tc>
          <w:tcPr>
            <w:tcW w:type="dxa" w:w="1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bug bounty; sin data retention policy explícita</w:t>
            </w:r>
          </w:p>
        </w:tc>
      </w:tr>
      <w:tr>
        <w:tc>
          <w:tcPr>
            <w:tcW w:type="dxa" w:w="17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 (Gemini)</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44</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7F4F00"/>
                <w:sz w:val="17"/>
                <w:szCs w:val="17"/>
              </w:rPr>
              <w:t xml:space="preserve">Medio</w:t>
            </w:r>
          </w:p>
        </w:tc>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 (-6)</w:t>
            </w:r>
          </w:p>
        </w:tc>
        <w:tc>
          <w:tcPr>
            <w:tcW w:type="dxa" w:w="2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FSF, safety reports anuales, AI Principles</w:t>
            </w:r>
          </w:p>
        </w:tc>
        <w:tc>
          <w:tcPr>
            <w:tcW w:type="dxa" w:w="1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model information disclosure (arquitectura, tamaño); demora en Gemini 2.5 card</w:t>
            </w:r>
          </w:p>
        </w:tc>
      </w:tr>
      <w:tr>
        <w:tc>
          <w:tcPr>
            <w:tcW w:type="dxa" w:w="17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Amazon (AWS)</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42</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7F4F00"/>
                <w:sz w:val="17"/>
                <w:szCs w:val="17"/>
              </w:rPr>
              <w:t xml:space="preserve">Medio</w:t>
            </w:r>
          </w:p>
        </w:tc>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 (-2)</w:t>
            </w:r>
          </w:p>
        </w:tc>
        <w:tc>
          <w:tcPr>
            <w:tcW w:type="dxa" w:w="2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AI Service Cards, Responsible Use Guide, downstream info</w:t>
            </w:r>
          </w:p>
        </w:tc>
        <w:tc>
          <w:tcPr>
            <w:tcW w:type="dxa" w:w="1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model information disclosure; opaco en impacto ambiental</w:t>
            </w:r>
          </w:p>
        </w:tc>
      </w:tr>
      <w:tr>
        <w:tc>
          <w:tcPr>
            <w:tcW w:type="dxa" w:w="17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 (GPT-5)</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38</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7F4F00"/>
                <w:sz w:val="17"/>
                <w:szCs w:val="17"/>
              </w:rPr>
              <w:t xml:space="preserve">Medio</w:t>
            </w:r>
          </w:p>
        </w:tc>
        <w:tc>
          <w:tcPr>
            <w:tcW w:type="dxa" w:w="16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 (-14)</w:t>
            </w:r>
          </w:p>
        </w:tc>
        <w:tc>
          <w:tcPr>
            <w:tcW w:type="dxa" w:w="2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GPT-5 System Card, Usage Policies, bug bounty, Preparedness Framework</w:t>
            </w:r>
          </w:p>
        </w:tc>
        <w:tc>
          <w:tcPr>
            <w:tcW w:type="dxa" w:w="1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model information disclosure; sin info de impacto ambiental; GPT-4.1 sin system card</w:t>
            </w:r>
          </w:p>
        </w:tc>
      </w:tr>
      <w:tr>
        <w:tc>
          <w:tcPr>
            <w:tcW w:type="dxa" w:w="17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DeepSeek</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31</w:t>
            </w:r>
          </w:p>
        </w:tc>
        <w:tc>
          <w:tcPr>
            <w:tcW w:type="dxa" w:w="12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Medio-bajo</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N/E (1a edición)</w:t>
            </w:r>
          </w:p>
        </w:tc>
        <w:tc>
          <w:tcPr>
            <w:tcW w:type="dxa" w:w="21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Datos parciales de entrenamiento (open weights)</w:t>
            </w:r>
          </w:p>
        </w:tc>
        <w:tc>
          <w:tcPr>
            <w:tcW w:type="dxa" w:w="19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safety framework; sin governance pública; regulación china</w:t>
            </w:r>
          </w:p>
        </w:tc>
      </w:tr>
      <w:tr>
        <w:tc>
          <w:tcPr>
            <w:tcW w:type="dxa" w:w="17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(Llama 4)</w:t>
            </w:r>
          </w:p>
        </w:tc>
        <w:tc>
          <w:tcPr>
            <w:tcW w:type="dxa" w:w="8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31</w:t>
            </w:r>
          </w:p>
        </w:tc>
        <w:tc>
          <w:tcPr>
            <w:tcW w:type="dxa" w:w="12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Medio-bajo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 (-29)</w:t>
            </w:r>
          </w:p>
        </w:tc>
        <w:tc>
          <w:tcPr>
            <w:tcW w:type="dxa" w:w="21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Llama AUP, partial open-weight data</w:t>
            </w:r>
          </w:p>
        </w:tc>
        <w:tc>
          <w:tcPr>
            <w:tcW w:type="dxa" w:w="19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publicó reporte técnico para Llama 4; regresión histórica mayor</w:t>
            </w:r>
          </w:p>
        </w:tc>
      </w:tr>
      <w:tr>
        <w:tc>
          <w:tcPr>
            <w:tcW w:type="dxa" w:w="17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(Qwen)</w:t>
            </w:r>
          </w:p>
        </w:tc>
        <w:tc>
          <w:tcPr>
            <w:tcW w:type="dxa" w:w="8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28</w:t>
            </w:r>
          </w:p>
        </w:tc>
        <w:tc>
          <w:tcPr>
            <w:tcW w:type="dxa" w:w="12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Medio-bajo</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N/E (1a edición)</w:t>
            </w:r>
          </w:p>
        </w:tc>
        <w:tc>
          <w:tcPr>
            <w:tcW w:type="dxa" w:w="21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Tamaño de datos de entrenamiento</w:t>
            </w:r>
          </w:p>
        </w:tc>
        <w:tc>
          <w:tcPr>
            <w:tcW w:type="dxa" w:w="19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impacto ambiental; sin model info; regulación china</w:t>
            </w:r>
          </w:p>
        </w:tc>
      </w:tr>
      <w:tr>
        <w:tc>
          <w:tcPr>
            <w:tcW w:type="dxa" w:w="17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Mistral</w:t>
            </w:r>
          </w:p>
        </w:tc>
        <w:tc>
          <w:tcPr>
            <w:tcW w:type="dxa" w:w="8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18</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Bajo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 (-37)</w:t>
            </w:r>
          </w:p>
        </w:tc>
        <w:tc>
          <w:tcPr>
            <w:tcW w:type="dxa" w:w="21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Partial open weights info</w:t>
            </w:r>
          </w:p>
        </w:tc>
        <w:tc>
          <w:tcPr>
            <w:tcW w:type="dxa" w:w="19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Regresión crítica; no preparó reporte para FMTI</w:t>
            </w:r>
          </w:p>
        </w:tc>
      </w:tr>
      <w:tr>
        <w:tc>
          <w:tcPr>
            <w:tcW w:type="dxa" w:w="17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xAI (Grok)</w:t>
            </w:r>
          </w:p>
        </w:tc>
        <w:tc>
          <w:tcPr>
            <w:tcW w:type="dxa" w:w="8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11</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Bajo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N/E (1a edición)</w:t>
            </w:r>
          </w:p>
        </w:tc>
        <w:tc>
          <w:tcPr>
            <w:tcW w:type="dxa" w:w="21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Mínimo: términos de servicio básicos</w:t>
            </w:r>
          </w:p>
        </w:tc>
        <w:tc>
          <w:tcPr>
            <w:tcW w:type="dxa" w:w="19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model info, sin safety framework, sin impacto ambiental, sin sistema card Grok 4</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Snowflake</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Gobernanza de datos (lineaje, auditoría)</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modelo fundacional propio; sin framework AI ethics verificable</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DAGF documentado; Testing Framework (TAP, PAIR)</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desarrolla modelos frontier; gobernanza del despliegue cliente-variable</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Teradata</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Referencias UNESCO/OECD/Asilomar</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framework propio; adopción por referencia sin implementación técnica</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Oracle</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Página Responsible AI web</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documento con versioning/URL/fecha verificable; infraestructura crítica sin marco AI ethics</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Cloudera</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Data governance empresarial (lineaje, auditoría)</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documentación primaria AI ethics identificada</w:t>
            </w:r>
          </w:p>
        </w:tc>
      </w:tr>
      <w:tr>
        <w:tc>
          <w:tcPr>
            <w:tcW w:type="dxa" w:w="17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Huawei Cloud</w:t>
            </w:r>
          </w:p>
        </w:tc>
        <w:tc>
          <w:tcPr>
            <w:tcW w:type="dxa" w:w="8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2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w:t>
            </w:r>
          </w:p>
        </w:tc>
        <w:tc>
          <w:tcPr>
            <w:tcW w:type="dxa" w:w="21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TC260 compliance; AI for Good ITU</w:t>
            </w:r>
          </w:p>
        </w:tc>
        <w:tc>
          <w:tcPr>
            <w:tcW w:type="dxa" w:w="19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framework autónomo; restricciones geopolíticas; sin evaluación independiente occidental</w:t>
            </w:r>
          </w:p>
        </w:tc>
      </w:tr>
    </w:tbl>
    <w:p>
      <w:pPr>
        <w:spacing w:before="40" w:after="40"/>
      </w:pPr>
      <w:r>
        <w:t xml:space="preserve"/>
      </w:r>
    </w:p>
    <w:p>
      <w:pPr>
        <w:spacing w:before="60" w:after="100"/>
      </w:pPr>
      <w:r>
        <w:rPr>
          <w:rFonts w:ascii="Arial" w:cs="Arial" w:eastAsia="Arial" w:hAnsi="Arial"/>
          <w:color w:val="1A1A2E"/>
          <w:sz w:val="20"/>
          <w:szCs w:val="20"/>
        </w:rPr>
        <w:t xml:space="preserve">Nota metodológica: Los puntajes FMTI para empresas con N/E (Snowflake, Databricks, Teradata, Oracle, Cloudera, Huawei Cloud) se deben a que el FMTI evalúa exclusivamente proveedores con modelos fundacionales propios. La columna 'Gap crítico' para estos proveedores es de elaboración propia del consultor basada en investigación directa (Fases 1-2).</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3.1.3 Hallazgos Clave del FMTI 2025 Relevantes para Due Diligence</w:t>
      </w:r>
    </w:p>
    <w:p>
      <w:pPr>
        <w:spacing w:before="60" w:after="100"/>
      </w:pPr>
      <w:r>
        <w:rPr>
          <w:rFonts w:ascii="Arial" w:cs="Arial" w:eastAsia="Arial" w:hAnsi="Arial"/>
          <w:color w:val="1A1A2E"/>
          <w:sz w:val="20"/>
          <w:szCs w:val="20"/>
        </w:rPr>
        <w:t xml:space="preserve">Primero: los proveedores enterprise-focused (IBM, AI21 Labs, Writer, Amazon) son consistentemente más transparentes que los consumer-focused o de estrategia híbrida. Los tres primeros del ranking FMTI son todos enterprise. Esto sugiere que la presión del cliente corporativo —con sus procesos de due diligence, auditorías y requerimientos de cumplimiento— genera incentivos de transparencia más efectivos que la presión regulatoria o el compromiso voluntario. [NIVEL 1: FMTI 2025]</w:t>
      </w:r>
    </w:p>
    <w:p>
      <w:pPr>
        <w:spacing w:before="60" w:after="100"/>
      </w:pPr>
      <w:r>
        <w:rPr>
          <w:rFonts w:ascii="Arial" w:cs="Arial" w:eastAsia="Arial" w:hAnsi="Arial"/>
          <w:color w:val="1A1A2E"/>
          <w:sz w:val="20"/>
          <w:szCs w:val="20"/>
        </w:rPr>
        <w:t xml:space="preserve">Segundo: openness y transparencia son dimensiones distintas que no correlacionan de manera automática. Meta, DeepSeek y Alibaba publican pesos abiertos (open weights) pero se ubican en la mitad inferior del ranking de transparencia. IBM publica pesos abiertos y es el proveedor más transparente. El hecho de que un proveedor abra sus pesos no implica que divulgue información sobre datos de entrenamiento, impacto ambiental, o gobernanza de seguridad. [NIVEL 1: FMTI 2025]</w:t>
      </w:r>
    </w:p>
    <w:p>
      <w:pPr>
        <w:spacing w:before="60" w:after="100"/>
      </w:pPr>
      <w:r>
        <w:rPr>
          <w:rFonts w:ascii="Arial" w:cs="Arial" w:eastAsia="Arial" w:hAnsi="Arial"/>
          <w:color w:val="1A1A2E"/>
          <w:sz w:val="20"/>
          <w:szCs w:val="20"/>
        </w:rPr>
        <w:t xml:space="preserve">Tercero: el impacto ambiental es el punto ciego universal de la industria. Diez de las 13 empresas evaluadas —incluyendo OpenAI, Anthropic, Google, Amazon y Meta— no divulgan ninguna información sobre uso de energía, emisiones de carbono o consumo de agua. Esto es especialmente relevante en 2025-2026, cuando las inversiones en datacenters de IA están impactando materialmente las redes eléctricas y los costos energéticos. [NIVEL 1: FMTI 2025]</w:t>
      </w:r>
    </w:p>
    <w:p>
      <w:pPr>
        <w:spacing w:before="60" w:after="100"/>
      </w:pPr>
      <w:r>
        <w:rPr>
          <w:rFonts w:ascii="Arial" w:cs="Arial" w:eastAsia="Arial" w:hAnsi="Arial"/>
          <w:color w:val="1A1A2E"/>
          <w:sz w:val="20"/>
          <w:szCs w:val="20"/>
        </w:rPr>
        <w:t xml:space="preserve">Cuarto: Amazon, Google, Midjourney, Mistral, OpenAI y xAI no obtuvieron ningún indicador en el subdominio 'model information' —que incluye arquitectura, modalities, tamaño de parámetros, componentes. Esto significa que usuarios downstream, incluyendo organizaciones que integran estos modelos en sistemas críticos, no disponen de información técnica básica del modelo que están usando. [NIVEL 1: FMTI 2025]</w:t>
      </w:r>
    </w:p>
    <w:p>
      <w:pPr>
        <w:spacing w:before="80" w:after="80"/>
        <w:ind w:left="720" w:right="360"/>
      </w:pPr>
      <w:r>
        <w:rPr>
          <w:rFonts w:ascii="Arial" w:cs="Arial" w:eastAsia="Arial" w:hAnsi="Arial"/>
          <w:i/>
          <w:iCs/>
          <w:color w:val="444444"/>
          <w:sz w:val="18"/>
          <w:szCs w:val="18"/>
        </w:rPr>
        <w:t xml:space="preserve">[Stanford FMTI 2025, "Current transparency practices most directly reflect the priority placed on transparency, instead of systemic pressures that incentivize or disincentivize transparency", crfm.stanford.edu/fmti/December-2025/paper.pdf, diciembre 2025] </w:t>
      </w:r>
      <w:r>
        <w:rPr>
          <w:rFonts w:ascii="Arial" w:cs="Arial" w:eastAsia="Arial" w:hAnsi="Arial"/>
          <w:b/>
          <w:bCs/>
          <w:color w:val="1A6E23"/>
          <w:sz w:val="16"/>
          <w:szCs w:val="16"/>
        </w:rPr>
        <w:t xml:space="preserve">[NIVEL 1]</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3.2 FLI AI SAFETY INDEX: EVALUACIÓN EXPERTA DE PRÁCTICAS DE SEGURIDAD</w:t>
      </w:r>
    </w:p>
    <w:p>
      <w:pPr>
        <w:pStyle w:val="Heading2"/>
        <w:spacing w:before="280" w:after="80"/>
      </w:pPr>
      <w:r>
        <w:rPr>
          <w:rFonts w:ascii="Arial" w:cs="Arial" w:eastAsia="Arial" w:hAnsi="Arial"/>
          <w:b/>
          <w:bCs/>
          <w:color w:val="2E75B6"/>
          <w:sz w:val="26"/>
          <w:szCs w:val="26"/>
        </w:rPr>
        <w:t xml:space="preserve">Future of Life Institute — Ediciones Summer y Winter 2025</w:t>
      </w:r>
    </w:p>
    <w:p>
      <w:pPr>
        <w:pBdr>
          <w:bottom w:val="single" w:color="BDD7EE" w:sz="4"/>
        </w:pBdr>
        <w:spacing w:before="120" w:after="120"/>
      </w:pPr>
    </w:p>
    <w:p>
      <w:pPr>
        <w:spacing w:before="60" w:after="100"/>
      </w:pPr>
      <w:r>
        <w:rPr>
          <w:rFonts w:ascii="Arial" w:cs="Arial" w:eastAsia="Arial" w:hAnsi="Arial"/>
          <w:color w:val="1A1A2E"/>
          <w:sz w:val="20"/>
          <w:szCs w:val="20"/>
        </w:rPr>
        <w:t xml:space="preserve">El FLI AI Safety Index complementa al FMTI en una dimensión crítica: evalúa no solo la divulgación de información sino la calidad de las prácticas de seguridad y la adecuación de los frameworks de governance frente a los riesgos que los propios laboratorios declaran perseguir. La edición Summer 2025 evaluó 7 laboratorios en 33 indicadores distribuidos en 6 dominios; la edición Winter 2025 evaluó 8 laboratorios (añadiendo Alibaba Cloud) en 35 indicadores. La evaluación fue realizada por paneles de expertos académicos e institucionales independientes con acceso a materiales públicos más respuestas a encuestas de los propios laboratorios.</w:t>
      </w:r>
    </w:p>
    <w:p>
      <w:pPr>
        <w:spacing w:before="60" w:after="100"/>
      </w:pPr>
      <w:r>
        <w:rPr>
          <w:rFonts w:ascii="Arial" w:cs="Arial" w:eastAsia="Arial" w:hAnsi="Arial"/>
          <w:color w:val="1A1A2E"/>
          <w:sz w:val="20"/>
          <w:szCs w:val="20"/>
        </w:rPr>
        <w:t xml:space="preserve">Una restricción metodológica importante: la evidencia de la edición Winter fue recopilada hasta el 8 de noviembre de 2025, por lo que no refleja eventos posteriores como el lanzamiento de Gemini 3 Pro (DeepMind) ni el incidente Grok Imagine de diciembre 2025. [NIVEL 1: futureoflife.org/ai-safety-index-winter-2025, diciembre 2025]</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3.2.1 Calificaciones Generales — FLI AI Safety Index Winter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60"/>
        <w:gridCol w:w="760"/>
        <w:gridCol w:w="760"/>
        <w:gridCol w:w="760"/>
        <w:gridCol w:w="760"/>
        <w:gridCol w:w="760"/>
        <w:gridCol w:w="2200"/>
      </w:tblGrid>
      <w:tr>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GENERAL</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Risk Assess.</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Safety Framework</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Info Sharing</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Safety Bench.</w:t>
            </w:r>
          </w:p>
        </w:tc>
        <w:tc>
          <w:tcPr>
            <w:tcW w:type="dxa" w:w="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Existential Safety</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FORTALEZA / DEBILIDAD CLAVE</w:t>
            </w:r>
          </w:p>
        </w:tc>
      </w:tr>
      <w:tr>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6E23"/>
                <w:sz w:val="17"/>
                <w:szCs w:val="17"/>
              </w:rPr>
              <w:t xml:space="preserve">Anthropic</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2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Lideró en bio-risk (únicos con trials humanos), privacidad, CAI. Aún sin plan de control AGI.</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2E75B6"/>
                <w:sz w:val="17"/>
                <w:szCs w:val="17"/>
              </w:rPr>
              <w:t xml:space="preserve">OpenAI</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B-</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E2EFD9" w:val="clear"/>
            <w:tcMar>
              <w:top w:type="dxa" w:w="80"/>
              <w:left w:type="dxa" w:w="140"/>
              <w:bottom w:type="dxa" w:w="80"/>
              <w:right w:type="dxa" w:w="140"/>
            </w:tcMar>
            <w:vAlign w:val="center"/>
          </w:tcPr>
          <w:p>
            <w:pPr>
              <w:jc w:val="center"/>
            </w:pPr>
            <w:r>
              <w:rPr>
                <w:rFonts w:ascii="Arial" w:cs="Arial" w:eastAsia="Arial" w:hAnsi="Arial"/>
                <w:b/>
                <w:bCs/>
                <w:color w:val="4E8A2C"/>
                <w:sz w:val="18"/>
                <w:szCs w:val="18"/>
              </w:rPr>
              <w:t xml:space="preserve">B</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Único con whistleblowing policy publicada. Criticado por lobbying contra leyes estatales AI.</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2E75B6"/>
                <w:sz w:val="17"/>
                <w:szCs w:val="17"/>
              </w:rPr>
              <w:t xml:space="preserve">Google/DeepMind</w:t>
            </w:r>
          </w:p>
        </w:tc>
        <w:tc>
          <w:tcPr>
            <w:tcW w:type="dxa" w:w="7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7F4F00"/>
                <w:sz w:val="18"/>
                <w:szCs w:val="18"/>
              </w:rPr>
              <w:t xml:space="preserve">C</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7F4F00"/>
                <w:sz w:val="18"/>
                <w:szCs w:val="18"/>
              </w:rPr>
              <w:t xml:space="preserve">C</w:t>
            </w:r>
          </w:p>
        </w:tc>
        <w:tc>
          <w:tcPr>
            <w:tcW w:type="dxa" w:w="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Whistleblowing policy publicada (mejora 2025). Falta coordinación safety team ↔ policy team.</w:t>
            </w:r>
          </w:p>
        </w:tc>
      </w:tr>
      <w:tr>
        <w:tc>
          <w:tcPr>
            <w:tcW w:type="dxa" w:w="16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C55A11"/>
                <w:sz w:val="17"/>
                <w:szCs w:val="17"/>
              </w:rPr>
              <w:t xml:space="preserve">xAI</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22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Publicó primer safety framework estructurado (2025), pero 'estrecho y sin mitigation triggers claros'.</w:t>
            </w:r>
          </w:p>
        </w:tc>
      </w:tr>
      <w:tr>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Meta</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F</w:t>
            </w:r>
          </w:p>
        </w:tc>
        <w:tc>
          <w:tcPr>
            <w:tcW w:type="dxa" w:w="2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evidencia de inversión en safety más allá del mínimo. Único laboratorio que no respondió la encuesta FLI.</w:t>
            </w:r>
          </w:p>
        </w:tc>
      </w:tr>
      <w:tr>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DeepSeek</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F</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F</w:t>
            </w:r>
          </w:p>
        </w:tc>
        <w:tc>
          <w:tcPr>
            <w:tcW w:type="dxa" w:w="2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safety framework publicado. Regulación china como único marco de referencia.</w:t>
            </w:r>
          </w:p>
        </w:tc>
      </w:tr>
      <w:tr>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Alibaba Cloud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F</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F</w:t>
            </w:r>
          </w:p>
        </w:tc>
        <w:tc>
          <w:tcPr>
            <w:tcW w:type="dxa" w:w="2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safety framework publicado. Régimen regulatorio chino sin equivalencia con estándares occidentales.</w:t>
            </w:r>
          </w:p>
        </w:tc>
      </w:tr>
      <w:tr>
        <w:tc>
          <w:tcPr>
            <w:tcW w:type="dxa" w:w="16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C55A11"/>
                <w:sz w:val="17"/>
                <w:szCs w:val="17"/>
              </w:rPr>
              <w:t xml:space="preserve">Z.ai</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B-</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7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22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Único que permite publicación sin censura de evaluaciones safety externas. Requiere framework completo.</w:t>
            </w:r>
          </w:p>
        </w:tc>
      </w:tr>
    </w:tbl>
    <w:p>
      <w:pPr>
        <w:spacing w:before="40" w:after="40"/>
      </w:pPr>
      <w:r>
        <w:t xml:space="preserve"/>
      </w:r>
    </w:p>
    <w:p>
      <w:pPr>
        <w:spacing w:before="60" w:after="100"/>
      </w:pPr>
      <w:r>
        <w:rPr>
          <w:rFonts w:ascii="Arial" w:cs="Arial" w:eastAsia="Arial" w:hAnsi="Arial"/>
          <w:color w:val="1A1A2E"/>
          <w:sz w:val="20"/>
          <w:szCs w:val="20"/>
        </w:rPr>
        <w:t xml:space="preserve">Nota: Los colores de calificación siguen el sistema estándar: verde=A-B, amarillo=C, naranja=D, rojo=F. La escala es absoluta, no relativa: un C+ significa que hay trabajo significativo pendiente, no que el proveedor es relativamente bueno. Microsoft, IBM, AWS, Databricks y proveedores de plataforma no fueron evaluados por el FLI Safety Index (fuera del alcance del índice, que se centra en laboratorios de modelos frontier).</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3.2.2 Hallazgo Estructural: Ningún Laboratorio tiene un Plan de Control AGI Creíble</w:t>
      </w:r>
    </w:p>
    <w:p>
      <w:pPr>
        <w:spacing w:before="60" w:after="100"/>
      </w:pPr>
      <w:r>
        <w:rPr>
          <w:rFonts w:ascii="Arial" w:cs="Arial" w:eastAsia="Arial" w:hAnsi="Arial"/>
          <w:color w:val="1A1A2E"/>
          <w:sz w:val="20"/>
          <w:szCs w:val="20"/>
        </w:rPr>
        <w:t xml:space="preserve">El hallazgo más alarmante del FLI Safety Index —tanto Summer como Winter 2025— es que ninguna de las compañías evaluadas presentó un plan concreto y verificable para controlar la AGI o superinteligencia que públicamente declaran perseguir. Todas las empresas obtuvieron una calificación 'D' o inferior en el dominio de Existential Safety —incluyendo Anthropic, que lidera el ranking general. Este resultado es especialmente relevante para el due diligence porque implica que la 'safety' declarada por estos laboratorios es de naturaleza operacional-inmediata (prevención de daños actuales) pero no de naturaleza existencial-preventiva (prevención de pérdida de control sobre sistemas superinteligentes).</w:t>
      </w:r>
    </w:p>
    <w:p>
      <w:pPr>
        <w:spacing w:before="80" w:after="80"/>
        <w:ind w:left="720" w:right="360"/>
      </w:pPr>
      <w:r>
        <w:rPr>
          <w:rFonts w:ascii="Arial" w:cs="Arial" w:eastAsia="Arial" w:hAnsi="Arial"/>
          <w:i/>
          <w:iCs/>
          <w:color w:val="444444"/>
          <w:sz w:val="18"/>
          <w:szCs w:val="18"/>
        </w:rPr>
        <w:t xml:space="preserve">[Future of Life Institute AI Safety Index Winter 2025, "All eight companies reviewed are racing toward AGI/superintelligence without presenting any explicit plans for controlling or aligning such smarter-than-human technology, leaving the most consequential risks effectively unaddressed", futureoflife.org/ai-safety-index-winter-2025, diciembre 2025] </w:t>
      </w:r>
      <w:r>
        <w:rPr>
          <w:rFonts w:ascii="Arial" w:cs="Arial" w:eastAsia="Arial" w:hAnsi="Arial"/>
          <w:b/>
          <w:bCs/>
          <w:color w:val="1A6E23"/>
          <w:sz w:val="16"/>
          <w:szCs w:val="16"/>
        </w:rPr>
        <w:t xml:space="preserve">[NIVEL 1]</w:t>
      </w:r>
    </w:p>
    <w:p>
      <w:pPr>
        <w:spacing w:before="60" w:after="100"/>
      </w:pPr>
      <w:r>
        <w:rPr>
          <w:rFonts w:ascii="Arial" w:cs="Arial" w:eastAsia="Arial" w:hAnsi="Arial"/>
          <w:color w:val="1A1A2E"/>
          <w:sz w:val="20"/>
          <w:szCs w:val="20"/>
        </w:rPr>
        <w:t xml:space="preserve">Stuart Russell, Profesor de Computer Science en UC Berkeley y co-revisor del índice, articuló la posición del panel de expertos con precisión: 'AI CEOs claim they know how to build superhuman AI, yet none can show how they'll prevent us from losing control — after which humanity's survival is no longer in our hands.' Max Tegmark, presidente del FLI, comparó la situación regulatoria con la industria alimentaria: 'AI is less regulated than sandwiches in the United States, and there is continued lobbying against binding safety standards.' [NIVEL 2: declaraciones públicas, diciembre 2025]</w:t>
      </w:r>
    </w:p>
    <w:p>
      <w:pPr>
        <w:spacing w:before="60" w:after="100"/>
      </w:pPr>
      <w:r>
        <w:rPr>
          <w:rFonts w:ascii="Arial" w:cs="Arial" w:eastAsia="Arial" w:hAnsi="Arial"/>
          <w:color w:val="1A1A2E"/>
          <w:sz w:val="20"/>
          <w:szCs w:val="20"/>
        </w:rPr>
        <w:t xml:space="preserve">Desde la perspectiva del due diligence de una organización cliente, este hallazgo tiene dos implicancias: primero, que los contratos con estos proveedores no pueden apoyarse en sus frameworks de safety para riesgos de largo plazo; segundo, que los clientes que operen en sectores críticos (finanzas, salud, infraestructura) tienen la responsabilidad primaria de diseñar sus propias capas de mitigación para los sistemas AI que adopten.</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3.2.3 Hallazgos Específicos por Proveedor (FLI Summer 2025)</w:t>
      </w:r>
    </w:p>
    <w:p>
      <w:pPr>
        <w:spacing w:before="60" w:after="100"/>
      </w:pPr>
      <w:r>
        <w:rPr>
          <w:rFonts w:ascii="Arial" w:cs="Arial" w:eastAsia="Arial" w:hAnsi="Arial"/>
          <w:color w:val="1A1A2E"/>
          <w:sz w:val="20"/>
          <w:szCs w:val="20"/>
        </w:rPr>
        <w:t xml:space="preserve">Anthropic lideró en tres dimensiones: fue el único laboratorio que realizó human participant bio-risk trials; destacó en privacidad por no entrenar en datos de usuario por defecto; y su estructura de Public Benefit Corporation fue valorada positivamente como mecanismo de governance. Sin embargo, fue criticado por discontinuar los trials humanos en ediciones posteriores y por comenzar a entrenar en interacciones de usuario como default, lo cual debilita las protecciones de privacidad. [NIVEL 1: FLI AI Safety Index Summer 2025]</w:t>
      </w:r>
    </w:p>
    <w:p>
      <w:pPr>
        <w:spacing w:before="60" w:after="100"/>
      </w:pPr>
      <w:r>
        <w:rPr>
          <w:rFonts w:ascii="Arial" w:cs="Arial" w:eastAsia="Arial" w:hAnsi="Arial"/>
          <w:color w:val="1A1A2E"/>
          <w:sz w:val="20"/>
          <w:szCs w:val="20"/>
        </w:rPr>
        <w:t xml:space="preserve">OpenAI fue el único laboratorio en publicar su política de whistleblowing completa —señalado como modelo que otros deberían adoptar. También fue valorado por un enfoque de risk management más robusto que Google en su Safety Framework. Las críticas se concentraron en umbrales de safety ambiguos, lobbying activo contra legislación de AI safety en estados de EEUU, y supervisión independiente insuficiente. [NIVEL 1: FLI AI Safety Index Summer 2025]</w:t>
      </w:r>
    </w:p>
    <w:p>
      <w:pPr>
        <w:spacing w:before="60" w:after="100"/>
      </w:pPr>
      <w:r>
        <w:rPr>
          <w:rFonts w:ascii="Arial" w:cs="Arial" w:eastAsia="Arial" w:hAnsi="Arial"/>
          <w:color w:val="1A1A2E"/>
          <w:sz w:val="20"/>
          <w:szCs w:val="20"/>
        </w:rPr>
        <w:t xml:space="preserve">Google DeepMind recibió reconocimiento por su inversión en alignment research de largo plazo (scalable oversight, interpretability). Las recomendaciones del FLI apuntaron a la necesidad de mejorar la coordinación entre el safety team y el policy team de Google, y publicar resultados de evaluaciones sobre modelos sin safety guardrails para una mejor aproximación a las capacidades reales. [NIVEL 1: FLI AI Safety Index Summer 2025]</w:t>
      </w:r>
    </w:p>
    <w:p>
      <w:pPr>
        <w:spacing w:before="60" w:after="100"/>
      </w:pPr>
      <w:r>
        <w:rPr>
          <w:rFonts w:ascii="Arial" w:cs="Arial" w:eastAsia="Arial" w:hAnsi="Arial"/>
          <w:color w:val="1A1A2E"/>
          <w:sz w:val="20"/>
          <w:szCs w:val="20"/>
        </w:rPr>
        <w:t xml:space="preserve">Meta fue el único laboratorio que no respondió la encuesta del FLI en la edición Summer 2025 —un rechazo al proceso de accountability externo que refuerza el patrón de opacidad documentado en el FMTI. El FLI identificó 'evidencia mínima de inversión en safety research más allá de la operacional básica'. [NIVEL 1: FLI AI Safety Index Summer 2025]</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3.3 EU AI ACT: PRIMER MARCO REGULATORIO VINCULANTE — GPAI CODE OF PRACTICE</w:t>
      </w:r>
    </w:p>
    <w:p>
      <w:pPr>
        <w:pBdr>
          <w:bottom w:val="single" w:color="BDD7EE" w:sz="4"/>
        </w:pBdr>
        <w:spacing w:before="120" w:after="120"/>
      </w:pPr>
    </w:p>
    <w:p>
      <w:pPr>
        <w:spacing w:before="60" w:after="100"/>
      </w:pPr>
      <w:r>
        <w:rPr>
          <w:rFonts w:ascii="Arial" w:cs="Arial" w:eastAsia="Arial" w:hAnsi="Arial"/>
          <w:color w:val="1A1A2E"/>
          <w:sz w:val="20"/>
          <w:szCs w:val="20"/>
        </w:rPr>
        <w:t xml:space="preserve">La Unión Europea representa el único contexto jurisdiccional donde la transparencia de modelos de IA fundacionales está sujeta a obligaciones legalmente vinculantes. El EU AI Act, en vigor desde agosto de 2024, estableció las obligaciones para modelos de propósito general (GPAI) a partir del 2 de agosto de 2025. En julio de 2025, la Comisión Europea publicó tres instrumentos complementarios: las Directrices sobre el alcance de las obligaciones GPAI, el GPAI Code of Practice (firmado el 10 de julio, en vigor el 1 de agosto), y la Plantilla para el resumen de datos de entrenamiento. [NIVEL 1: digital-strategy.ec.europa.eu, julio-agosto 2025]</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3.3.1 Alcance de las Obligaciones GPAI</w:t>
      </w:r>
    </w:p>
    <w:p>
      <w:pPr>
        <w:spacing w:before="60" w:after="100"/>
      </w:pPr>
      <w:r>
        <w:rPr>
          <w:rFonts w:ascii="Arial" w:cs="Arial" w:eastAsia="Arial" w:hAnsi="Arial"/>
          <w:color w:val="1A1A2E"/>
          <w:sz w:val="20"/>
          <w:szCs w:val="20"/>
        </w:rPr>
        <w:t xml:space="preserve">El AI Act define modelos GPAI como aquellos entrenados con más de 10²³ FLOPs y capaces de generar texto, audio, imágenes o video con capacidades generales. Esto incluye GPT-5, Claude 4, Gemini 3, Grok 4, y Llama 4. Los modelos GPAI entrenados con más de 10²⁵ FLOPs se presumen de 'alto impacto' (systemic risk) y están sujetos a obligaciones adicionales de notificación a la AI Office.</w:t>
      </w:r>
    </w:p>
    <w:p>
      <w:pPr>
        <w:spacing w:before="60" w:after="100"/>
      </w:pPr>
      <w:r>
        <w:rPr>
          <w:rFonts w:ascii="Arial" w:cs="Arial" w:eastAsia="Arial" w:hAnsi="Arial"/>
          <w:color w:val="1A1A2E"/>
          <w:sz w:val="20"/>
          <w:szCs w:val="20"/>
        </w:rPr>
        <w:t xml:space="preserve">Las obligaciones básicas para todos los GPAI incluyen: documentación técnica detallada actualizada durante toda la vida útil del modelo (mínimo 10 años); información compartida con downstream providers; resumen de datos de entrenamiento usando la plantilla oficial; y política de copyright. Los modelos de systemic risk añaden: evaluación de riesgos pre-market, mitigaciones obligatorias, reporte de incidentes graves, y evaluaciones externas. [NIVEL 1: EU AI Act + GPAI Guidelines, julio-agosto 2025]</w:t>
      </w:r>
    </w:p>
    <w:p>
      <w:pPr>
        <w:spacing w:before="60" w:after="100"/>
      </w:pPr>
      <w:r>
        <w:rPr>
          <w:rFonts w:ascii="Arial" w:cs="Arial" w:eastAsia="Arial" w:hAnsi="Arial"/>
          <w:color w:val="1A1A2E"/>
          <w:sz w:val="20"/>
          <w:szCs w:val="20"/>
        </w:rPr>
        <w:t xml:space="preserve">La plena aplicabilidad del régimen sancionatorio (multas de hasta 3% del volumen de negocios anual global o 15 millones de euros, lo que sea mayor) está prevista para el 2 de agosto de 2026. Los modelos comercializados antes del 2 de agosto de 2025 tienen hasta el 2027 para adaptarse.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3.3.2 GPAI Code of Practice: Contenido y Signatarios</w:t>
      </w:r>
    </w:p>
    <w:p>
      <w:pPr>
        <w:spacing w:before="60" w:after="100"/>
      </w:pPr>
      <w:r>
        <w:rPr>
          <w:rFonts w:ascii="Arial" w:cs="Arial" w:eastAsia="Arial" w:hAnsi="Arial"/>
          <w:color w:val="1A1A2E"/>
          <w:sz w:val="20"/>
          <w:szCs w:val="20"/>
        </w:rPr>
        <w:t xml:space="preserve">El GPAI Code of Practice, desarrollado mediante un proceso multi-stakeholder de casi un año, cubre tres capítulos: Transparencia (obligatorio para todos los GPAI), Derechos de Autor (obligatorio para todos los GPAI), y Seguridad y Safety (obligatorio para modelos con systemic risk). Aunque su adhesión es voluntaria, los signatarios obtienen una 'presunción de conformidad' con el AI Act —lo que en la práctica los convierte en la ruta de menor riesgo regulatorio para los proveedores. Los no signatarios deben demostrar cumplimiento por medios alternativos y pueden esperar mayor escrutinio de la AI Office.</w:t>
      </w:r>
    </w:p>
    <w:p>
      <w:pPr>
        <w:spacing w:before="60" w:after="100"/>
      </w:pPr>
      <w:r>
        <w:rPr>
          <w:rFonts w:ascii="Arial" w:cs="Arial" w:eastAsia="Arial" w:hAnsi="Arial"/>
          <w:color w:val="1A1A2E"/>
          <w:sz w:val="20"/>
          <w:szCs w:val="20"/>
        </w:rPr>
        <w:t xml:space="preserve">Una nota relevante para el análisis: xAI firmó el capítulo de Safety and Security pero se excluyó de los capítulos de Transparencia y Copyright —una decisión que la Comisión ha señalado explícitamente en su sitio web, indicando que xAI 'deberá demostrar cumplimiento de las obligaciones de transparencia y copyright por medios alternativos'. [NIVEL 1: digital-strategy.ec.europa.eu/en/policies/contents-code-gpai, 2025]</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3.3.3 Posición Regulatoria de los 16 Proveedores Frente al EU AI Act GPAI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60"/>
        <w:gridCol w:w="1260"/>
        <w:gridCol w:w="1300"/>
        <w:gridCol w:w="3940"/>
      </w:tblGrid>
      <w:tr>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12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¿Modelo GPAI
en UE?</w:t>
            </w:r>
          </w:p>
        </w:tc>
        <w:tc>
          <w:tcPr>
            <w:tcW w:type="dxa" w:w="12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¿Firmante GPAI
Code of Practice?</w:t>
            </w:r>
          </w:p>
        </w:tc>
        <w:tc>
          <w:tcPr>
            <w:tcW w:type="dxa" w:w="13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¿Systemic Risk
(&gt;10²⁵ FLOPs)?</w:t>
            </w:r>
          </w:p>
        </w:tc>
        <w:tc>
          <w:tcPr>
            <w:tcW w:type="dxa" w:w="394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IMPLICANCIAS Y GAPS REGULATORIOS</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 (Claude 4)</w:t>
            </w:r>
          </w:p>
        </w:tc>
        <w:tc>
          <w:tcPr>
            <w:tcW w:type="dxa" w:w="12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Probable Sí</w:t>
            </w:r>
          </w:p>
        </w:tc>
        <w:tc>
          <w:tcPr>
            <w:tcW w:type="dxa" w:w="39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Notificación previa requerida si 10²⁵ FLOPs confirmados. Cumplimiento CoP = presunción conformidad AI Act.</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 (GPT-5)</w:t>
            </w:r>
          </w:p>
        </w:tc>
        <w:tc>
          <w:tcPr>
            <w:tcW w:type="dxa" w:w="1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(confirmado)</w:t>
            </w:r>
          </w:p>
        </w:tc>
        <w:tc>
          <w:tcPr>
            <w:tcW w:type="dxa" w:w="394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GPT-5 notificado a la AI Office. Obligaciones systemic risk en vigor. GPT-4.1 sin system card = posible gap documental.</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 (Gemini 3)</w:t>
            </w:r>
          </w:p>
        </w:tc>
        <w:tc>
          <w:tcPr>
            <w:tcW w:type="dxa" w:w="12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39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Demora en publicar model card para Gemini 2.5 generó escrutinio de parlamentarios británicos. Precedente sobre velocidad de divulgación.</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 (Azure AI)</w:t>
            </w:r>
          </w:p>
        </w:tc>
        <w:tc>
          <w:tcPr>
            <w:tcW w:type="dxa" w:w="1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(hosting)</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Por modelo hospedado</w:t>
            </w:r>
          </w:p>
        </w:tc>
        <w:tc>
          <w:tcPr>
            <w:tcW w:type="dxa" w:w="394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Como hosting provider, Microsoft asume responsabilidades adicionales por modelos de terceros (OpenAI, Meta) ofrecidos en Azure. Delimitación con originadores no completamente documentada.</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(Llama 4)</w:t>
            </w:r>
          </w:p>
        </w:tc>
        <w:tc>
          <w:tcPr>
            <w:tcW w:type="dxa" w:w="12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(limitado)</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39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Meta excluyó Llama 3.2 multimodal del mercado europeo sin explicación pública. Llama 4 disponible con restricciones. No publicó reporte técnico = posible gap documental AI Act.</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 (Granite)</w:t>
            </w:r>
          </w:p>
        </w:tc>
        <w:tc>
          <w:tcPr>
            <w:tcW w:type="dxa" w:w="1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No probable</w:t>
            </w:r>
          </w:p>
        </w:tc>
        <w:tc>
          <w:tcPr>
            <w:tcW w:type="dxa" w:w="394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Granite models dentro de umbrales estándar. Mayor puntaje FMTI = mejor posición de partida para cumplimiento documentación AI Act.</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 (Bedrock)</w:t>
            </w:r>
          </w:p>
        </w:tc>
        <w:tc>
          <w:tcPr>
            <w:tcW w:type="dxa" w:w="12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(hosting)</w:t>
            </w:r>
          </w:p>
        </w:tc>
        <w:tc>
          <w:tcPr>
            <w:tcW w:type="dxa" w:w="12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Sí (todos los capítulos)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Por modelo hospedado</w:t>
            </w:r>
          </w:p>
        </w:tc>
        <w:tc>
          <w:tcPr>
            <w:tcW w:type="dxa" w:w="39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Similar a Microsoft: responsabilidades de hosting para modelos de terceros en Bedrock. Complejidad: múltiples modelos GPAI con distintos niveles de riesgo en la misma plataforma.</w:t>
            </w:r>
          </w:p>
        </w:tc>
      </w:tr>
      <w:tr>
        <w:tc>
          <w:tcPr>
            <w:tcW w:type="dxa" w:w="16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xAI (Grok)</w:t>
            </w:r>
          </w:p>
        </w:tc>
        <w:tc>
          <w:tcPr>
            <w:tcW w:type="dxa" w:w="12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w:t>
            </w:r>
          </w:p>
        </w:tc>
        <w:tc>
          <w:tcPr>
            <w:tcW w:type="dxa" w:w="12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Solo Safety &amp; Security</w:t>
            </w:r>
          </w:p>
        </w:tc>
        <w:tc>
          <w:tcPr>
            <w:tcW w:type="dxa" w:w="13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(probable)</w:t>
            </w:r>
          </w:p>
        </w:tc>
        <w:tc>
          <w:tcPr>
            <w:tcW w:type="dxa" w:w="394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CRÍTICA: Firmó Safety pero NO Transparencia ni Copyright. Debe demostrar cumplimiento de estas dos obligaciones por medios alternativos. AI Office ha señalado explícitamente esta situación. Mayor exposición sancionatoria potencial de todos los firmantes.</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1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Sí (plataforma)</w:t>
            </w:r>
          </w:p>
        </w:tc>
        <w:tc>
          <w:tcPr>
            <w:tcW w:type="dxa" w:w="12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No aplicable como originador</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No</w:t>
            </w:r>
          </w:p>
        </w:tc>
        <w:tc>
          <w:tcPr>
            <w:tcW w:type="dxa" w:w="394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Databricks no desarrolla GPAI propio; sus clientes pueden desarrollar modelos GPAI usando la plataforma. Obligaciones AI Act recaen sobre el cliente-desarrollador, no sobre Databricks como infraestructura.</w:t>
            </w:r>
          </w:p>
        </w:tc>
      </w:tr>
      <w:tr>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(Qwen-UE)</w:t>
            </w:r>
          </w:p>
        </w:tc>
        <w:tc>
          <w:tcPr>
            <w:tcW w:type="dxa" w:w="12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Limitado</w:t>
            </w:r>
          </w:p>
        </w:tc>
        <w:tc>
          <w:tcPr>
            <w:tcW w:type="dxa" w:w="12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No confirmado</w:t>
            </w:r>
          </w:p>
        </w:tc>
        <w:tc>
          <w:tcPr>
            <w:tcW w:type="dxa" w:w="13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Probable Sí</w:t>
            </w:r>
          </w:p>
        </w:tc>
        <w:tc>
          <w:tcPr>
            <w:tcW w:type="dxa" w:w="39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Presencia en mercado europeo vía Qwen models en Hugging Face y API. Adhesión al CoP no confirmada públicamente. Regulación china puede generar conflictos con requerimientos de AI Office.</w:t>
            </w:r>
          </w:p>
        </w:tc>
      </w:tr>
      <w:tr>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Tencent, Huawei, DeepSeek</w:t>
            </w:r>
          </w:p>
        </w:tc>
        <w:tc>
          <w:tcPr>
            <w:tcW w:type="dxa" w:w="12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Limitado / Incierto</w:t>
            </w:r>
          </w:p>
        </w:tc>
        <w:tc>
          <w:tcPr>
            <w:tcW w:type="dxa" w:w="12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No confirmado</w:t>
            </w:r>
          </w:p>
        </w:tc>
        <w:tc>
          <w:tcPr>
            <w:tcW w:type="dxa" w:w="13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7"/>
                <w:szCs w:val="17"/>
              </w:rPr>
              <w:t xml:space="preserve">Posible</w:t>
            </w:r>
          </w:p>
        </w:tc>
        <w:tc>
          <w:tcPr>
            <w:tcW w:type="dxa" w:w="394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Exposición regulatoria máxima si distribución en UE alcanza umbrales GPAI. Sin confirmación de adhesión al CoP. FLI: DeepSeek sin safety framework = F en safety framework domain.</w:t>
            </w:r>
          </w:p>
        </w:tc>
      </w:tr>
      <w:tr>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Oracle, Snowflake, Teradata, Cloudera</w:t>
            </w:r>
          </w:p>
        </w:tc>
        <w:tc>
          <w:tcPr>
            <w:tcW w:type="dxa" w:w="12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Como infraestructura</w:t>
            </w:r>
          </w:p>
        </w:tc>
        <w:tc>
          <w:tcPr>
            <w:tcW w:type="dxa" w:w="12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No como originadores</w:t>
            </w:r>
          </w:p>
        </w:tc>
        <w:tc>
          <w:tcPr>
            <w:tcW w:type="dxa" w:w="13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N/A como plataformas</w:t>
            </w:r>
          </w:p>
        </w:tc>
        <w:tc>
          <w:tcPr>
            <w:tcW w:type="dxa" w:w="394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Obligaciones AI Act para proveedores de infraestructura que habilitan deployment de modelos GPAI de terceros. Responsabilidades como 'deployers' según AI Act pueden aplicar a sus clientes.</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3.4 ANÁLISIS DE SYSTEM CARDS Y MODEL CARDS</w:t>
      </w:r>
    </w:p>
    <w:p>
      <w:pPr>
        <w:pStyle w:val="Heading2"/>
        <w:spacing w:before="280" w:after="80"/>
      </w:pPr>
      <w:r>
        <w:rPr>
          <w:rFonts w:ascii="Arial" w:cs="Arial" w:eastAsia="Arial" w:hAnsi="Arial"/>
          <w:b/>
          <w:bCs/>
          <w:color w:val="2E75B6"/>
          <w:sz w:val="26"/>
          <w:szCs w:val="26"/>
        </w:rPr>
        <w:t xml:space="preserve">Mecanismos de Divulgación Técnica por Proveedor</w:t>
      </w:r>
    </w:p>
    <w:p>
      <w:pPr>
        <w:pBdr>
          <w:bottom w:val="single" w:color="BDD7EE" w:sz="4"/>
        </w:pBdr>
        <w:spacing w:before="120" w:after="120"/>
      </w:pPr>
    </w:p>
    <w:p>
      <w:pPr>
        <w:spacing w:before="60" w:after="100"/>
      </w:pPr>
      <w:r>
        <w:rPr>
          <w:rFonts w:ascii="Arial" w:cs="Arial" w:eastAsia="Arial" w:hAnsi="Arial"/>
          <w:color w:val="1A1A2E"/>
          <w:sz w:val="20"/>
          <w:szCs w:val="20"/>
        </w:rPr>
        <w:t xml:space="preserve">Las system cards y model cards son el instrumento principal de transparencia técnica en la industria: documentos publicados antes o simultáneamente con el lanzamiento de un modelo, que describen sus capacidades, limitaciones, evaluaciones de safety realizadas, y condiciones de uso recomendadas. El análisis de qué proveedores las publican, con qué profundidad y qué nivel de consistencia, es uno de los mejores proxies disponibles para evaluar la seriedad operacional de los compromisos de safety.</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3.4.1 Matriz de Documentación por Proveedor (Modelos Principales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60"/>
        <w:gridCol w:w="1460"/>
        <w:gridCol w:w="1460"/>
        <w:gridCol w:w="1460"/>
        <w:gridCol w:w="2020"/>
      </w:tblGrid>
      <w:tr>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1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 Card
(tiene / consistente)</w:t>
            </w:r>
          </w:p>
        </w:tc>
        <w:tc>
          <w:tcPr>
            <w:tcW w:type="dxa" w:w="1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Model Card
(técnica)</w:t>
            </w:r>
          </w:p>
        </w:tc>
        <w:tc>
          <w:tcPr>
            <w:tcW w:type="dxa" w:w="1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Red Team
Report</w:t>
            </w:r>
          </w:p>
        </w:tc>
        <w:tc>
          <w:tcPr>
            <w:tcW w:type="dxa" w:w="1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Safety Eval
Hub Público</w:t>
            </w:r>
          </w:p>
        </w:tc>
        <w:tc>
          <w:tcPr>
            <w:tcW w:type="dxa" w:w="20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INCONSISTENCIAS / GAPS DOCUMENTADOS</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 Mayormente consistente</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Partial</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RSP evalúas</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(blog posts)</w:t>
            </w:r>
          </w:p>
        </w:tc>
        <w:tc>
          <w:tcPr>
            <w:tcW w:type="dxa" w:w="202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Claude 4 Opus: FMTI preparó reporte propio porque Anthropic no presentó. Domina a OpenAI en casi todos los indicadores excepto bug bounty y data retention.</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 Inconsistente</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GPT-5</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5,000+ hrs GPT-5</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Safety Evaluations Hub</w:t>
            </w:r>
          </w:p>
        </w:tc>
        <w:tc>
          <w:tcPr>
            <w:tcW w:type="dxa" w:w="20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GPT-4.1 lanzado sin system card — única excepción documentada al patrón establecido desde GPT-4. FMTI: sin model architecture info pública.</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 Mayorment. consistente</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Gemini 3</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FSF evaluaciones</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(Responsible AI Report)</w:t>
            </w:r>
          </w:p>
        </w:tc>
        <w:tc>
          <w:tcPr>
            <w:tcW w:type="dxa" w:w="20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Gemini 2.5 model card publicada con retraso significativo: escrutinio parlamentario británico por incumplimiento compromiso previo. FMTI: sin model architecture disclosure.</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(modelos propios Phi-4)</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Phi-4 model card</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via RAI Impact Assessment</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(Responsible AI Dashboard)</w:t>
            </w:r>
          </w:p>
        </w:tc>
        <w:tc>
          <w:tcPr>
            <w:tcW w:type="dxa" w:w="202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Para modelos de terceros (GPT-5 via Azure): system card de OpenAI aplica. Distinción de responsabilidades hosting-originador no completamente documentada.</w:t>
            </w:r>
          </w:p>
        </w:tc>
      </w:tr>
      <w:tr>
        <w:tc>
          <w:tcPr>
            <w:tcW w:type="dxa" w:w="15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14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Llama 4 sin reporte técnico</w:t>
            </w:r>
          </w:p>
        </w:tc>
        <w:tc>
          <w:tcPr>
            <w:tcW w:type="dxa" w:w="14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Llama 4 sin tech report</w:t>
            </w:r>
          </w:p>
        </w:tc>
        <w:tc>
          <w:tcPr>
            <w:tcW w:type="dxa" w:w="14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(Llama papers)</w:t>
            </w:r>
          </w:p>
        </w:tc>
        <w:tc>
          <w:tcPr>
            <w:tcW w:type="dxa" w:w="14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202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REGRESIÓN CRÍTICA: Llama 4 fue el único flagship de un laboratorio top-5 lanzado en 2025 sin reporte técnico. Contribuyó a caída de 29 puntos en FMTI 2025.</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 (Granite)</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Responsable Use Guide</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Granite Tech Reports</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Documentado</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AI Risk Atlas</w:t>
            </w:r>
          </w:p>
        </w:tc>
        <w:tc>
          <w:tcPr>
            <w:tcW w:type="dxa" w:w="202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Mejor evaluado por Stanford CRFM como más transparente. 95/100 en FMTI 2025 con 6 indicadores únicos.</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 (Bedrock)</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AI Service Cards</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(por servicio)</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w:t>
            </w:r>
          </w:p>
        </w:tc>
        <w:tc>
          <w:tcPr>
            <w:tcW w:type="dxa" w:w="1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AWS Responsible AI</w:t>
            </w:r>
          </w:p>
        </w:tc>
        <w:tc>
          <w:tcPr>
            <w:tcW w:type="dxa" w:w="20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AI Service Cards por servicio (no por modelo subyacente). Opacidad en modelo información (FMTI): sin architecture disclosure. Sin impacto ambiental.</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xAI (Grok)</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Grok 4 sin system card</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Sin model card</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Sin red team report</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202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INCUMPLIMIENTO DOCUMENTADO: Sin system card para Grok 4 viola directamente compromisos Seoul AI Safety Summit (mayo 2024). 11/100 en FMTI 2025 — puntaje más bajo de todos.</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(Qwen)</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(blog posts)</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(papers técnicos)</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documentado</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202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28/100 FMTI. Participó por primera vez en FMTI 2025; reporte preparado por el equipo FMTI (no voluntario). Comité de Ética activo pero sin traducción en transparencia técnica externa.</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Tencent (Hunyuan)</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(Safety Report 2024)</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Metodología documentada</w:t>
            </w:r>
          </w:p>
        </w:tc>
        <w:tc>
          <w:tcPr>
            <w:tcW w:type="dxa" w:w="14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202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Large Model Safety Report 2024 documenta red-teaming automatizado. Sin evaluación de capability por terceros independientes. FLI: no evaluado. FMTI: no evaluado.</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Huawei Cloud</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1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No disponible</w:t>
            </w:r>
          </w:p>
        </w:tc>
        <w:tc>
          <w:tcPr>
            <w:tcW w:type="dxa" w:w="202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documentación técnica equivalente a model cards o system cards en sentido occidental. Sin evaluación por ningún índice independiente internacional.</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DAGF documenta prácticas</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Por cliente-modelo</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 TAP/PAIR docs</w:t>
            </w:r>
          </w:p>
        </w:tc>
        <w:tc>
          <w:tcPr>
            <w:tcW w:type="dxa" w:w="1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Parcial (Framework docs)</w:t>
            </w:r>
          </w:p>
        </w:tc>
        <w:tc>
          <w:tcPr>
            <w:tcW w:type="dxa" w:w="202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aplica formato system card estándar: Databricks no es originador de modelos frontier. Documentación orientada a metodología de governance para clientes.</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3.5 MECANISMOS DE ACCOUNTABILITY: MÁS ALLÁ DE LA DIVULGACIÓN</w:t>
      </w:r>
    </w:p>
    <w:p>
      <w:pPr>
        <w:pBdr>
          <w:bottom w:val="single" w:color="BDD7EE" w:sz="4"/>
        </w:pBdr>
        <w:spacing w:before="120" w:after="120"/>
      </w:pPr>
    </w:p>
    <w:p>
      <w:pPr>
        <w:spacing w:before="60" w:after="100"/>
      </w:pPr>
      <w:r>
        <w:rPr>
          <w:rFonts w:ascii="Arial" w:cs="Arial" w:eastAsia="Arial" w:hAnsi="Arial"/>
          <w:color w:val="1A1A2E"/>
          <w:sz w:val="20"/>
          <w:szCs w:val="20"/>
        </w:rPr>
        <w:t xml:space="preserve">La transparencia en documentos y la accountability real son dimensiones relacionadas pero distintas. La accountability implica que las instituciones externas —reguladores, investigadores independientes, usuarios, organismos gubernamentales— pueden acceder a evidencia verificable, identificar discrepancias entre compromisos y acciones, y aplicar consecuencias. Esta sección analiza los mecanismos de accountability existentes y sus limitaciones.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3.5.1 Tipos de Mecanismos de Accountability y su Efectividad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100"/>
        <w:gridCol w:w="2960"/>
      </w:tblGrid>
      <w:tr>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MECANISMO</w:t>
            </w:r>
          </w:p>
        </w:tc>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ACTORES</w:t>
            </w:r>
          </w:p>
        </w:tc>
        <w:tc>
          <w:tcPr>
            <w:tcW w:type="dxa" w:w="31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ALCANCE / LIMITACIONES</w:t>
            </w:r>
          </w:p>
        </w:tc>
        <w:tc>
          <w:tcPr>
            <w:tcW w:type="dxa" w:w="2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EVIDENCIA DE EFECTIVIDAD</w:t>
            </w:r>
          </w:p>
        </w:tc>
      </w:tr>
      <w:tr>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Índices académicos externos (FMTI, FLI)</w:t>
            </w:r>
          </w:p>
        </w:tc>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Stanford, FLI, MIT, Berkeley</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Mide transparencia declarada y prácticas de safety. No tiene poder coercitivo. Depende de participación voluntaria o información pública.</w:t>
            </w:r>
          </w:p>
        </w:tc>
        <w:tc>
          <w:tcPr>
            <w:tcW w:type="dxa" w:w="2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Meta y OpenAI retrocedieron en ranking; presión reputacional genera mejoras incrementales. FLI: 4 de 5 compañías americanas ahora responden encuesta vs. 2 en 2023.</w:t>
            </w:r>
          </w:p>
        </w:tc>
      </w:tr>
      <w:tr>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EU AI Act / AI Office</w:t>
            </w:r>
          </w:p>
        </w:tc>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Comisión Europea, AI Office</w:t>
            </w:r>
          </w:p>
        </w:tc>
        <w:tc>
          <w:tcPr>
            <w:tcW w:type="dxa" w:w="31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Primer marco vinculante. Poder sancionatorio (hasta 3% volumen global) en vigor desde agosto 2026. Cubre modelos en mercado UE.</w:t>
            </w:r>
          </w:p>
        </w:tc>
        <w:tc>
          <w:tcPr>
            <w:tcW w:type="dxa" w:w="2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Primer ejercicio de enforcement (2026+). La demora en model card de Gemini 2.5 ya generó escrutinio parlamentario —señal de presión regulatoria efectiva.</w:t>
            </w:r>
          </w:p>
        </w:tc>
      </w:tr>
      <w:tr>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Seoul AI Safety Commitments</w:t>
            </w:r>
          </w:p>
        </w:tc>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Laboratorios firmantes, gobiernos UK/US/UE</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Compromisos voluntarios. Sin mecanismo de enforcement. Sin consecuencias documentadas por incumplimiento.</w:t>
            </w:r>
          </w:p>
        </w:tc>
        <w:tc>
          <w:tcPr>
            <w:tcW w:type="dxa" w:w="2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xAI incumplió (sin system card Grok 4) sin consecuencias formales. Evidencia de efectividad limitada para actores no cooperativos.</w:t>
            </w:r>
          </w:p>
        </w:tc>
      </w:tr>
      <w:tr>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Bug Bounty / Responsible Disclosure</w:t>
            </w:r>
          </w:p>
        </w:tc>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Investigadores seguridad, comunidad</w:t>
            </w:r>
          </w:p>
        </w:tc>
        <w:tc>
          <w:tcPr>
            <w:tcW w:type="dxa" w:w="31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Identifica vulnerabilidades técnicas. Alcance limitado a lo que investigadores externos pueden probar.</w:t>
            </w:r>
          </w:p>
        </w:tc>
        <w:tc>
          <w:tcPr>
            <w:tcW w:type="dxa" w:w="2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 programa activo. Anthropic: señalado en FMTI como gap (ausencia de programa formal). Google: programa activo.</w:t>
            </w:r>
          </w:p>
        </w:tc>
      </w:tr>
      <w:tr>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Investigaciones regulatorias por incidentes</w:t>
            </w:r>
          </w:p>
        </w:tc>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Reguladores UE, Australia, Brasil, UK, Malaysia</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Activadas por incidentes graves. Reactivas, no preventivas. Proceso lento vs. velocidad de iteración de modelos.</w:t>
            </w:r>
          </w:p>
        </w:tc>
        <w:tc>
          <w:tcPr>
            <w:tcW w:type="dxa" w:w="2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Caso Grok Imagine CSAM: investigaciones activas en 5 jurisdicciones pero sin resolución pública a fecha de corte. Presión reputacional inmediata; consecuencias sancionatorias inciertas.</w:t>
            </w:r>
          </w:p>
        </w:tc>
      </w:tr>
      <w:tr>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Whistleblowing interno</w:t>
            </w:r>
          </w:p>
        </w:tc>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Empleados, ex-empleados</w:t>
            </w:r>
          </w:p>
        </w:tc>
        <w:tc>
          <w:tcPr>
            <w:tcW w:type="dxa" w:w="31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Revela prácticas internas no divulgadas. Dependiente de protecciones legales y cultura corporativa.</w:t>
            </w:r>
          </w:p>
        </w:tc>
        <w:tc>
          <w:tcPr>
            <w:tcW w:type="dxa" w:w="2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 único laboratorio con política de whistleblowing pública (valorado FLI). Salidas de investigadores de OpenAI en 2024 generaron cobertura significativa sobre cultura organizacional.</w:t>
            </w:r>
          </w:p>
        </w:tc>
      </w:tr>
      <w:tr>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Cross-lab safety evaluations</w:t>
            </w:r>
          </w:p>
        </w:tc>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 Anthropic (piloto 2025)</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Evaluación bilateral con metodologías de cada laboratorio sobre modelos del otro. Limitado a dos participantes. Voluntario.</w:t>
            </w:r>
          </w:p>
        </w:tc>
        <w:tc>
          <w:tcPr>
            <w:tcW w:type="dxa" w:w="29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Ejercicio piloto OpenAI-Anthropic (2025): primera instancia documentada de este tipo. Resultados parcialmente publicados.</w:t>
            </w:r>
          </w:p>
        </w:tc>
      </w:tr>
    </w:tbl>
    <w:p>
      <w:pPr>
        <w:spacing w:before="40" w:after="40"/>
      </w:pPr>
      <w:r>
        <w:t xml:space="preserve"/>
      </w:r>
    </w:p>
    <w:p>
      <w:pPr>
        <w:pStyle w:val="Heading3"/>
        <w:spacing w:before="200" w:after="60"/>
      </w:pPr>
      <w:r>
        <w:rPr>
          <w:rFonts w:ascii="Arial" w:cs="Arial" w:eastAsia="Arial" w:hAnsi="Arial"/>
          <w:b/>
          <w:bCs/>
          <w:color w:val="1A1A2E"/>
          <w:sz w:val="22"/>
          <w:szCs w:val="22"/>
        </w:rPr>
        <w:t xml:space="preserve">3.5.2 Gaps Sistémicos de Accountability</w:t>
      </w:r>
    </w:p>
    <w:p>
      <w:pPr>
        <w:spacing w:before="60" w:after="100"/>
      </w:pPr>
      <w:r>
        <w:rPr>
          <w:rFonts w:ascii="Arial" w:cs="Arial" w:eastAsia="Arial" w:hAnsi="Arial"/>
          <w:color w:val="1A1A2E"/>
          <w:sz w:val="20"/>
          <w:szCs w:val="20"/>
        </w:rPr>
        <w:t xml:space="preserve">El análisis revela cuatro gaps estructurales que ningún mecanismo existente resuelve completamente.</w:t>
      </w:r>
    </w:p>
    <w:p>
      <w:pPr>
        <w:spacing w:before="60" w:after="100"/>
      </w:pPr>
      <w:r>
        <w:rPr>
          <w:rFonts w:ascii="Arial" w:cs="Arial" w:eastAsia="Arial" w:hAnsi="Arial"/>
          <w:color w:val="1A1A2E"/>
          <w:sz w:val="20"/>
          <w:szCs w:val="20"/>
        </w:rPr>
        <w:t xml:space="preserve">Primero: ausencia de auditoría independiente obligatoria. Ningún marco regulatorio en vigor (incluyendo el EU AI Act) requiere auditoría de terceros independientes sin afiliación comercial con el laboratorio para todos los modelos frontier. Las evaluaciones externas del FLI y FMTI son valiosas pero voluntarias y limitadas en alcance metodológico frente a lo que requeriría una auditoría técnica completa.</w:t>
      </w:r>
    </w:p>
    <w:p>
      <w:pPr>
        <w:spacing w:before="60" w:after="100"/>
      </w:pPr>
      <w:r>
        <w:rPr>
          <w:rFonts w:ascii="Arial" w:cs="Arial" w:eastAsia="Arial" w:hAnsi="Arial"/>
          <w:color w:val="1A1A2E"/>
          <w:sz w:val="20"/>
          <w:szCs w:val="20"/>
        </w:rPr>
        <w:t xml:space="preserve">Segundo: asimetría de velocidad. El ciclo de lanzamiento de modelos (6-12 meses entre versiones mayores) es más rápido que el ciclo de enforcement regulatorio (años para investigaciones, sanciones y litigios). Esto crea una ventana sistemática donde un modelo puede causar daño, ser retirado o actualizado, y que el proceso regulatorio nunca alcance la versión específica que generó el daño.</w:t>
      </w:r>
    </w:p>
    <w:p>
      <w:pPr>
        <w:spacing w:before="60" w:after="100"/>
      </w:pPr>
      <w:r>
        <w:rPr>
          <w:rFonts w:ascii="Arial" w:cs="Arial" w:eastAsia="Arial" w:hAnsi="Arial"/>
          <w:color w:val="1A1A2E"/>
          <w:sz w:val="20"/>
          <w:szCs w:val="20"/>
        </w:rPr>
        <w:t xml:space="preserve">Tercero: ausencia de divulgación ambiental. El FMTI 2025 documentó que 10 de 13 empresas evaluadas no divulgan ninguna información sobre impacto energético y ambiental de sus operaciones de entrenamiento. En un contexto donde los datacenters de AI representan ya una fracción significativa del consumo eléctrico en algunas regiones, esta opacidad es un gap material de accountability ante stakeholders financieros, reguladores y sociedad civil.</w:t>
      </w:r>
    </w:p>
    <w:p>
      <w:pPr>
        <w:spacing w:before="60" w:after="100"/>
      </w:pPr>
      <w:r>
        <w:rPr>
          <w:rFonts w:ascii="Arial" w:cs="Arial" w:eastAsia="Arial" w:hAnsi="Arial"/>
          <w:color w:val="1A1A2E"/>
          <w:sz w:val="20"/>
          <w:szCs w:val="20"/>
        </w:rPr>
        <w:t xml:space="preserve">Cuarto: accountability asimétrica por tipo de proveedor. Los índices de transparencia y safety se concentran en laboratorios de modelos frontier. Los proveedores de plataforma (AWS, Azure, Databricks, Snowflake) y los integradores downstream —que en muchos casos tienen mayor contacto con usuarios finales que los originadores de modelos— tienen mucho menos escrutinio externo. El principio de 'responsabilidad compartida' que estos proveedores invocan opera como mecanismo de dilución de accountability, no como mecanismo de amplificación.</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Los criterios exactos de las investigaciones regulatorias en curso sobre xAI (Grok Imagine, CSAM) en Australia, UE, Brasil, Malasia y UK no son públicamente accesibles a la fecha de corte. Los resultados de las investigaciones de capacity y safety que los laboratorios realizan internamente sobre sus propios modelos antes de deployment son confidenciales y no auditables externamente en su totalidad.</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3.6 RESUMEN CONSOLIDADO: TRIANGULACIÓN FMTI + FLI + EU AI ACT</w:t>
      </w:r>
    </w:p>
    <w:p>
      <w:pPr>
        <w:pBdr>
          <w:bottom w:val="single" w:color="BDD7EE" w:sz="4"/>
        </w:pBdr>
        <w:spacing w:before="120" w:after="120"/>
      </w:pPr>
    </w:p>
    <w:p>
      <w:pPr>
        <w:spacing w:before="60" w:after="100"/>
      </w:pPr>
      <w:r>
        <w:rPr>
          <w:rFonts w:ascii="Arial" w:cs="Arial" w:eastAsia="Arial" w:hAnsi="Arial"/>
          <w:color w:val="1A1A2E"/>
          <w:sz w:val="20"/>
          <w:szCs w:val="20"/>
        </w:rPr>
        <w:t xml:space="preserve">La triangulación de los tres índices externos permite construir una evaluación de transparencia y accountability más robusta que cualquier fuente individual. La tabla siguiente consolida la posición de los 16 proveedores en las tres dimensiones: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400"/>
        <w:gridCol w:w="4560"/>
      </w:tblGrid>
      <w:tr>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FMTI
(/100)</w:t>
            </w:r>
          </w:p>
        </w:tc>
        <w:tc>
          <w:tcPr>
            <w:tcW w:type="dxa" w:w="1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FLI
Overall</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EU GPAI
Code</w:t>
            </w:r>
          </w:p>
        </w:tc>
        <w:tc>
          <w:tcPr>
            <w:tcW w:type="dxa" w:w="45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EVALUACIÓN CONSOLIDADA PARA DUE DILIGENCE</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w:t>
            </w:r>
          </w:p>
        </w:tc>
        <w:tc>
          <w:tcPr>
            <w:tcW w:type="dxa" w:w="9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8"/>
                <w:szCs w:val="18"/>
              </w:rPr>
              <w:t xml:space="preserve">95</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FORTALEZA: mejor proveedor del análisis en transparencia documentada (FMTI histórico 95/100). Granite Responsible Use Guide = referencia del sector. Gap: menor exposición en modelos frontier de más alto riesgo.</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47</w:t>
            </w:r>
          </w:p>
        </w:tc>
        <w:tc>
          <w:tcPr>
            <w:tcW w:type="dxa" w:w="10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SÓLIDA CON GAPS: lidera FLI (C+), firmante CoP. El FMTI cayó 5 puntos y no presentó reporte voluntariamente — señal de disminución de prioridad de transparencia. RSP es referencia de la industria, pero tensiones comerciales documentadas.</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38</w:t>
            </w:r>
          </w:p>
        </w:tc>
        <w:tc>
          <w:tcPr>
            <w:tcW w:type="dxa" w:w="10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C+</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MIXTA: Safety Evaluations Hub y red teaming GPT-5 son positivos. Caída de 14 puntos en FMTI y GPT-4.1 sin system card generan dudas sobre consistencia. Lobbying contra leyes estatales de safety señalado por FLI.</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44</w:t>
            </w:r>
          </w:p>
        </w:tc>
        <w:tc>
          <w:tcPr>
            <w:tcW w:type="dxa" w:w="10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7F4F00"/>
                <w:sz w:val="18"/>
                <w:szCs w:val="18"/>
              </w:rPr>
              <w:t xml:space="preserve">C</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SÓLIDA CON INCONSISTENCIAS: FSF v3.0 y AI Safety Annual Reports son positivos. Demora en Gemini 2.5 model card generó escrutinio parlamentario. Sin model architecture disclosure (FMTI). Jailbreaks en Gemini 3 horas post-lanzamiento.</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42</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SÓLIDA: RAI Standard v2, ORA, 6 principios con implementación técnica. Gap: Standard v2 no completamente público. Responsabilidades de hosting para modelos terceros requieren clarificación para due diligence sector regulado.</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42</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ACEPTABLE: Responsible Use Guide (dic 2024) es operacionalmente sólido. Bedrock Guardrails con métricas publicadas. Gaps: sin model architecture info, sin impacto ambiental, delimitación responsabilidades hosting-modelo opaca.</w:t>
            </w:r>
          </w:p>
        </w:tc>
      </w:tr>
      <w:tr>
        <w:tc>
          <w:tcPr>
            <w:tcW w:type="dxa" w:w="15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31</w:t>
            </w:r>
          </w:p>
        </w:tc>
        <w:tc>
          <w:tcPr>
            <w:tcW w:type="dxa" w:w="10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1A6E23"/>
                <w:sz w:val="17"/>
                <w:szCs w:val="17"/>
              </w:rPr>
              <w:t xml:space="preserve">Firmante</w:t>
            </w:r>
          </w:p>
        </w:tc>
        <w:tc>
          <w:tcPr>
            <w:tcW w:type="dxa" w:w="456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DETERIORADA: mayor regresión de transparencia en FMTI 2025 (-29 puntos). Llama 4 sin reporte técnico. No respondió encuesta FLI. Benchmarks fraudulentos. LeCun fuera. Futuro de filosofía open-source incierto.</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No aplica</w:t>
            </w:r>
          </w:p>
        </w:tc>
        <w:tc>
          <w:tcPr>
            <w:tcW w:type="dxa" w:w="45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FORTALEZA RELATIVA: mejor framework de governance entre plataformas de datos. DAGF y TAP/PAIR documentados públicamente. Sin exposición directa en índices frontier, lo que refleja su rol de plataforma, no originador.</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(Qwen)</w:t>
            </w:r>
          </w:p>
        </w:tc>
        <w:tc>
          <w:tcPr>
            <w:tcW w:type="dxa" w:w="9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28</w:t>
            </w:r>
          </w:p>
        </w:tc>
        <w:tc>
          <w:tcPr>
            <w:tcW w:type="dxa" w:w="10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Incierto</w:t>
            </w:r>
          </w:p>
        </w:tc>
        <w:tc>
          <w:tcPr>
            <w:tcW w:type="dxa" w:w="45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DÉBIL CON CONTEXTO CHINO: marco de governance más sofisticado del ecosistema chino (Comité Ética, AAIG) pero bajo en índices internacionales. Independencia institucional no verificable. FLI: D-.</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Tencent (Hunyuan)</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Incierto</w:t>
            </w:r>
          </w:p>
        </w:tc>
        <w:tc>
          <w:tcPr>
            <w:tcW w:type="dxa" w:w="45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MEDIA: ARCC 2018 y Safety Report 2024 son documentos técnicos más sustanciales que Huawei. Sin evaluación FMTI/FLI. Regulación china. Sin equivalencia con estándares internacionales de accountability.</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Huawei Cloud</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00000"/>
                <w:sz w:val="17"/>
                <w:szCs w:val="17"/>
              </w:rPr>
              <w:t xml:space="preserve">Incierto</w:t>
            </w:r>
          </w:p>
        </w:tc>
        <w:tc>
          <w:tcPr>
            <w:tcW w:type="dxa" w:w="45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MÁS DÉBIL DEL ECOSISTEMA CHINO: sin framework autónomo verificable, sin evaluación internacional, complejidad geopolítica (sanciones US). Riesgo de due diligence máximo para clientes en sectores regulados.</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Oracle</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Como infraestructura</w:t>
            </w:r>
          </w:p>
        </w:tc>
        <w:tc>
          <w:tcPr>
            <w:tcW w:type="dxa" w:w="45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BRECHA DE DUE DILIGENCE: sin documento fundacional verificable para proveedor de infraestructura crítica (banca, salud, gobierno). Principios declarados sin traducción en restricciones o herramientas técnicas verificables.</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Snowflake</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Como infraestructura</w:t>
            </w:r>
          </w:p>
        </w:tc>
        <w:tc>
          <w:tcPr>
            <w:tcW w:type="dxa" w:w="45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GOVERNANCE LIMITADA A DATOS: Trust &amp; Safety pages orientadas a data governance (lineaje, auditoría), no a AI ethics en sentido estricto. Sin documento AI ethics fundacional.</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Teradata</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Como infraestructura</w:t>
            </w:r>
          </w:p>
        </w:tc>
        <w:tc>
          <w:tcPr>
            <w:tcW w:type="dxa" w:w="45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ADOPCIÓN POR REFERENCIA SIN IMPLEMENTACIÓN: referencias UNESCO/OECD/Asilomar sin framework propio. Sin herramientas técnicas verificables de AI ethics.</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Cloudera</w:t>
            </w:r>
          </w:p>
        </w:tc>
        <w:tc>
          <w:tcPr>
            <w:tcW w:type="dxa" w:w="9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0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N/E</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val="false"/>
                <w:bCs w:val="false"/>
                <w:color w:val="666666"/>
                <w:sz w:val="17"/>
                <w:szCs w:val="17"/>
              </w:rPr>
              <w:t xml:space="preserve">Como infraestructura</w:t>
            </w:r>
          </w:p>
        </w:tc>
        <w:tc>
          <w:tcPr>
            <w:tcW w:type="dxa" w:w="456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AUSENCIA TOTAL: sin documentación primaria AI ethics identificable. Data governance empresarial ≠ AI ethics framework.</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xAI ⚠</w:t>
            </w:r>
          </w:p>
        </w:tc>
        <w:tc>
          <w:tcPr>
            <w:tcW w:type="dxa" w:w="9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11</w:t>
            </w:r>
          </w:p>
        </w:tc>
        <w:tc>
          <w:tcPr>
            <w:tcW w:type="dxa" w:w="10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D+</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val="false"/>
                <w:bCs w:val="false"/>
                <w:color w:val="C55A11"/>
                <w:sz w:val="17"/>
                <w:szCs w:val="17"/>
              </w:rPr>
              <w:t xml:space="preserve">Parcial (solo Safety)</w:t>
            </w:r>
          </w:p>
        </w:tc>
        <w:tc>
          <w:tcPr>
            <w:tcW w:type="dxa" w:w="45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POSICIÓN CRÍTICA EN TODOS LOS ÍNDICES: 11/100 FMTI (último lugar), D+ FLI, firmó solo capítulo Safety del CoP (sin Transparencia ni Copyright). Grok 4 sin system card = incumplimiento Seoul Commitments. Investigaciones regulatorias activas en 5 jurisdicciones.</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3.7 REFERENCIAS — FASE 3 (ADICIONALES A FASES 1-2)</w:t>
      </w:r>
    </w:p>
    <w:p>
      <w:pPr>
        <w:pBdr>
          <w:bottom w:val="single" w:color="BDD7EE" w:sz="4"/>
        </w:pBdr>
        <w:spacing w:before="120" w:after="120"/>
      </w:pPr>
    </w:p>
    <w:p>
      <w:pPr>
        <w:spacing w:before="40" w:after="40"/>
      </w:pPr>
      <w:r>
        <w:rPr>
          <w:rFonts w:ascii="Arial" w:cs="Arial" w:eastAsia="Arial" w:hAnsi="Arial"/>
          <w:color w:val="333333"/>
          <w:sz w:val="16"/>
          <w:szCs w:val="16"/>
        </w:rPr>
        <w:t xml:space="preserve">[R41] Stanford CRFM / Bommasani et al. The 2025 Foundation Model Transparency Index. crfm.stanford.edu/fmti/December-2025. Diciembre 2025. [NIVEL 1]</w:t>
      </w:r>
    </w:p>
    <w:p>
      <w:pPr>
        <w:spacing w:before="40" w:after="40"/>
      </w:pPr>
      <w:r>
        <w:rPr>
          <w:rFonts w:ascii="Arial" w:cs="Arial" w:eastAsia="Arial" w:hAnsi="Arial"/>
          <w:color w:val="333333"/>
          <w:sz w:val="16"/>
          <w:szCs w:val="16"/>
        </w:rPr>
        <w:t xml:space="preserve">[R42] Stanford HAI. Transparency in AI is on the Decline. news.stanford.edu. Diciembre 2025. [NIVEL 1]</w:t>
      </w:r>
    </w:p>
    <w:p>
      <w:pPr>
        <w:spacing w:before="40" w:after="40"/>
      </w:pPr>
      <w:r>
        <w:rPr>
          <w:rFonts w:ascii="Arial" w:cs="Arial" w:eastAsia="Arial" w:hAnsi="Arial"/>
          <w:color w:val="333333"/>
          <w:sz w:val="16"/>
          <w:szCs w:val="16"/>
        </w:rPr>
        <w:t xml:space="preserve">[R43] arXiv / FMTI Team. The 2025 Foundation Model Transparency Index (arxiv.org/html/2512.10169v1). [NIVEL 1]</w:t>
      </w:r>
    </w:p>
    <w:p>
      <w:pPr>
        <w:spacing w:before="40" w:after="40"/>
      </w:pPr>
      <w:r>
        <w:rPr>
          <w:rFonts w:ascii="Arial" w:cs="Arial" w:eastAsia="Arial" w:hAnsi="Arial"/>
          <w:color w:val="333333"/>
          <w:sz w:val="16"/>
          <w:szCs w:val="16"/>
        </w:rPr>
        <w:t xml:space="preserve">[R44] Future of Life Institute. AI Safety Index — Summer 2025. futureoflife.org/ai-safety-index-summer-2025. Julio 2025. [NIVEL 1]</w:t>
      </w:r>
    </w:p>
    <w:p>
      <w:pPr>
        <w:spacing w:before="40" w:after="40"/>
      </w:pPr>
      <w:r>
        <w:rPr>
          <w:rFonts w:ascii="Arial" w:cs="Arial" w:eastAsia="Arial" w:hAnsi="Arial"/>
          <w:color w:val="333333"/>
          <w:sz w:val="16"/>
          <w:szCs w:val="16"/>
        </w:rPr>
        <w:t xml:space="preserve">[R45] Future of Life Institute. AI Safety Index — Winter 2025. futureoflife.org/ai-safety-index-winter-2025. Diciembre 2025. [NIVEL 1]</w:t>
      </w:r>
    </w:p>
    <w:p>
      <w:pPr>
        <w:spacing w:before="40" w:after="40"/>
      </w:pPr>
      <w:r>
        <w:rPr>
          <w:rFonts w:ascii="Arial" w:cs="Arial" w:eastAsia="Arial" w:hAnsi="Arial"/>
          <w:color w:val="333333"/>
          <w:sz w:val="16"/>
          <w:szCs w:val="16"/>
        </w:rPr>
        <w:t xml:space="preserve">[R46] Fortune. AI labs like Meta, DeepSeek, and xAI earned worst grades on existential safety index. fortune.com. Diciembre 2025. [NIVEL 2]</w:t>
      </w:r>
    </w:p>
    <w:p>
      <w:pPr>
        <w:spacing w:before="40" w:after="40"/>
      </w:pPr>
      <w:r>
        <w:rPr>
          <w:rFonts w:ascii="Arial" w:cs="Arial" w:eastAsia="Arial" w:hAnsi="Arial"/>
          <w:color w:val="333333"/>
          <w:sz w:val="16"/>
          <w:szCs w:val="16"/>
        </w:rPr>
        <w:t xml:space="preserve">[R47] Axios. AI risks, AGI — Anthropic, Google, OpenAI. axios.com. Diciembre 2025. [NIVEL 2]</w:t>
      </w:r>
    </w:p>
    <w:p>
      <w:pPr>
        <w:spacing w:before="40" w:after="40"/>
      </w:pPr>
      <w:r>
        <w:rPr>
          <w:rFonts w:ascii="Arial" w:cs="Arial" w:eastAsia="Arial" w:hAnsi="Arial"/>
          <w:color w:val="333333"/>
          <w:sz w:val="16"/>
          <w:szCs w:val="16"/>
        </w:rPr>
        <w:t xml:space="preserve">[R48] IEEE Spectrum. OpenAI, Google DeepMind, and Meta Get Bad Grades on AI Safety. spectrum.ieee.org. Enero 2025. [NIVEL 2]</w:t>
      </w:r>
    </w:p>
    <w:p>
      <w:pPr>
        <w:spacing w:before="40" w:after="40"/>
      </w:pPr>
      <w:r>
        <w:rPr>
          <w:rFonts w:ascii="Arial" w:cs="Arial" w:eastAsia="Arial" w:hAnsi="Arial"/>
          <w:color w:val="333333"/>
          <w:sz w:val="16"/>
          <w:szCs w:val="16"/>
        </w:rPr>
        <w:t xml:space="preserve">[R49] TechXplore. Transparency in AI companies falls to new low. techxplore.com. Diciembre 2025. [NIVEL 2]</w:t>
      </w:r>
    </w:p>
    <w:p>
      <w:pPr>
        <w:spacing w:before="40" w:after="40"/>
      </w:pPr>
      <w:r>
        <w:rPr>
          <w:rFonts w:ascii="Arial" w:cs="Arial" w:eastAsia="Arial" w:hAnsi="Arial"/>
          <w:color w:val="333333"/>
          <w:sz w:val="16"/>
          <w:szCs w:val="16"/>
        </w:rPr>
        <w:t xml:space="preserve">[R50] Euronews. AI less regulated than sandwiches — no firm has AI superintelligence safety plan. euronews.com. Diciembre 2025. [NIVEL 2]</w:t>
      </w:r>
    </w:p>
    <w:p>
      <w:pPr>
        <w:spacing w:before="40" w:after="40"/>
      </w:pPr>
      <w:r>
        <w:rPr>
          <w:rFonts w:ascii="Arial" w:cs="Arial" w:eastAsia="Arial" w:hAnsi="Arial"/>
          <w:color w:val="333333"/>
          <w:sz w:val="16"/>
          <w:szCs w:val="16"/>
        </w:rPr>
        <w:t xml:space="preserve">[R51] European Commission / AI Office. EU AI Act GPAI Code of Practice. digital-strategy.ec.europa.eu/en/policies/contents-code-gpai. Julio-agosto 2025. [NIVEL 1]</w:t>
      </w:r>
    </w:p>
    <w:p>
      <w:pPr>
        <w:spacing w:before="40" w:after="40"/>
      </w:pPr>
      <w:r>
        <w:rPr>
          <w:rFonts w:ascii="Arial" w:cs="Arial" w:eastAsia="Arial" w:hAnsi="Arial"/>
          <w:color w:val="333333"/>
          <w:sz w:val="16"/>
          <w:szCs w:val="16"/>
        </w:rPr>
        <w:t xml:space="preserve">[R52] European Commission. Guidelines for Providers of General-Purpose AI Models. digital-strategy.ec.europa.eu. Julio 2025. [NIVEL 1]</w:t>
      </w:r>
    </w:p>
    <w:p>
      <w:pPr>
        <w:spacing w:before="40" w:after="40"/>
      </w:pPr>
      <w:r>
        <w:rPr>
          <w:rFonts w:ascii="Arial" w:cs="Arial" w:eastAsia="Arial" w:hAnsi="Arial"/>
          <w:color w:val="333333"/>
          <w:sz w:val="16"/>
          <w:szCs w:val="16"/>
        </w:rPr>
        <w:t xml:space="preserve">[R53] Skadden Arps. EU's General-Purpose AI Obligations Are Now in Force, With New Guidance. skadden.com. Agosto 2025. [NIVEL 2]</w:t>
      </w:r>
    </w:p>
    <w:p>
      <w:pPr>
        <w:spacing w:before="40" w:after="40"/>
      </w:pPr>
      <w:r>
        <w:rPr>
          <w:rFonts w:ascii="Arial" w:cs="Arial" w:eastAsia="Arial" w:hAnsi="Arial"/>
          <w:color w:val="333333"/>
          <w:sz w:val="16"/>
          <w:szCs w:val="16"/>
        </w:rPr>
        <w:t xml:space="preserve">[R54] Latham &amp; Watkins. EU AI Act: GPAI Model Obligations in Force and Final GPAI Code of Practice in Place. lw.com. Agosto 2025. [NIVEL 2]</w:t>
      </w:r>
    </w:p>
    <w:p>
      <w:pPr>
        <w:spacing w:before="40" w:after="40"/>
      </w:pPr>
      <w:r>
        <w:rPr>
          <w:rFonts w:ascii="Arial" w:cs="Arial" w:eastAsia="Arial" w:hAnsi="Arial"/>
          <w:color w:val="333333"/>
          <w:sz w:val="16"/>
          <w:szCs w:val="16"/>
        </w:rPr>
        <w:t xml:space="preserve">[R55] AI Act website. Overview of the Code of Practice. artificialintelligenceact.eu. 2025. [NIVEL 2]</w:t>
      </w:r>
    </w:p>
    <w:p>
      <w:pPr>
        <w:spacing w:before="40" w:after="40"/>
      </w:pPr>
      <w:r>
        <w:rPr>
          <w:rFonts w:ascii="Arial" w:cs="Arial" w:eastAsia="Arial" w:hAnsi="Arial"/>
          <w:color w:val="333333"/>
          <w:sz w:val="16"/>
          <w:szCs w:val="16"/>
        </w:rPr>
        <w:t xml:space="preserve">[R56] AI Act website. Implementation Timeline. artificialintelligenceact.eu. 2025. [NIVEL 1]</w:t>
      </w:r>
    </w:p>
    <w:p>
      <w:pPr>
        <w:spacing w:before="40" w:after="40"/>
      </w:pPr>
      <w:r>
        <w:rPr>
          <w:rFonts w:ascii="Arial" w:cs="Arial" w:eastAsia="Arial" w:hAnsi="Arial"/>
          <w:color w:val="333333"/>
          <w:sz w:val="16"/>
          <w:szCs w:val="16"/>
        </w:rPr>
        <w:t xml:space="preserve">[R57] Nelson Mullins. The EU Commission Publishes GPAI Code of Practice. nelsonmullins.com. Julio 2025. [NIVEL 2]</w:t>
      </w:r>
    </w:p>
    <w:p>
      <w:pPr>
        <w:spacing w:before="40" w:after="40"/>
      </w:pPr>
      <w:r>
        <w:rPr>
          <w:rFonts w:ascii="Arial" w:cs="Arial" w:eastAsia="Arial" w:hAnsi="Arial"/>
          <w:color w:val="333333"/>
          <w:sz w:val="16"/>
          <w:szCs w:val="16"/>
        </w:rPr>
        <w:t xml:space="preserve">[R58] OpenAI. Safety Evaluations Hub. openai.com/safety/evaluations-hub. 2025. [NIVEL 1]</w:t>
      </w:r>
    </w:p>
    <w:p>
      <w:pPr>
        <w:spacing w:before="40" w:after="40"/>
      </w:pPr>
      <w:r>
        <w:rPr>
          <w:rFonts w:ascii="Arial" w:cs="Arial" w:eastAsia="Arial" w:hAnsi="Arial"/>
          <w:color w:val="333333"/>
          <w:sz w:val="16"/>
          <w:szCs w:val="16"/>
        </w:rPr>
        <w:t xml:space="preserve">[R59] CRFM Stanford. Foundation Model Transparency Index — Transparency Reports 2025. crfm.stanford.edu/fmti/December-2025/company-reports. Diciembre 2025. [NIVEL 1]</w:t>
      </w:r>
    </w:p>
    <w:p>
      <w:pPr>
        <w:spacing w:before="40" w:after="40"/>
      </w:pPr>
      <w:r>
        <w:rPr>
          <w:rFonts w:ascii="Arial" w:cs="Arial" w:eastAsia="Arial" w:hAnsi="Arial"/>
          <w:color w:val="333333"/>
          <w:sz w:val="16"/>
          <w:szCs w:val="16"/>
        </w:rPr>
        <w:t xml:space="preserve">[R60] IEEE / Farzaan et al. HELM Safety v1.0 benchmark. Stanford CRFM 2024. [NIVEL 1]</w:t>
      </w:r>
    </w:p>
    <w:p>
      <w:pPr>
        <w:spacing w:before="40" w:after="40"/>
      </w:pPr>
      <w:r>
        <w:rPr>
          <w:rFonts w:ascii="Arial" w:cs="Arial" w:eastAsia="Arial" w:hAnsi="Arial"/>
          <w:color w:val="333333"/>
          <w:sz w:val="16"/>
          <w:szCs w:val="16"/>
        </w:rPr>
        <w:t xml:space="preserve">[R61] GitHub / Stanford CRFM. FMTI Repository. github.com/stanford-crfm/fmti. 2025. [NIVEL 1]</w:t>
      </w:r>
    </w:p>
    <w:p>
      <w:pPr>
        <w:spacing w:before="40" w:after="40"/>
      </w:pPr>
      <w:r>
        <w:rPr>
          <w:rFonts w:ascii="Arial" w:cs="Arial" w:eastAsia="Arial" w:hAnsi="Arial"/>
          <w:color w:val="333333"/>
          <w:sz w:val="16"/>
          <w:szCs w:val="16"/>
        </w:rPr>
        <w:t xml:space="preserve">[R62] Google DeepMind. Responsible AI Progress Report. deepmind.google. 2024-2025 editions. [NIVEL 1]</w:t>
      </w:r>
    </w:p>
    <w:p>
      <w:pPr>
        <w:spacing w:before="40" w:after="40"/>
      </w:pPr>
      <w:r>
        <w:rPr>
          <w:rFonts w:ascii="Arial" w:cs="Arial" w:eastAsia="Arial" w:hAnsi="Arial"/>
          <w:color w:val="333333"/>
          <w:sz w:val="16"/>
          <w:szCs w:val="16"/>
        </w:rPr>
        <w:t xml:space="preserve">[R63] OpenAI. Findings from Pilot OpenAI-Anthropic Alignment Evaluation. openai.com. 2025. [NIVEL 1]</w:t>
      </w:r>
    </w:p>
    <w:p>
      <w:pPr>
        <w:spacing w:before="40" w:after="40"/>
      </w:pPr>
      <w:r>
        <w:t xml:space="preserve"/>
      </w:r>
    </w:p>
    <w:p>
      <w:pPr>
        <w:spacing w:before="40" w:after="40"/>
      </w:pPr>
      <w:r>
        <w:t xml:space="preserve"/>
      </w:r>
    </w:p>
    <w:p>
      <w:pPr>
        <w:pBdr>
          <w:top w:val="single" w:color="C6A619" w:sz="4"/>
        </w:pBdr>
        <w:spacing w:before="200" w:after="0"/>
        <w:jc w:val="center"/>
      </w:pPr>
      <w:r>
        <w:rPr>
          <w:rFonts w:ascii="Arial" w:cs="Arial" w:eastAsia="Arial" w:hAnsi="Arial"/>
          <w:i/>
          <w:iCs/>
          <w:color w:val="1F3864"/>
          <w:sz w:val="18"/>
          <w:szCs w:val="18"/>
        </w:rPr>
        <w:t xml:space="preserve">— FIN FASE 3 — Continúa en Fase 4: Dilemas Éticos Estado del Arte 2024-2026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2026-02-21T00:37:29.923Z</dcterms:created>
  <dcterms:modified xsi:type="dcterms:W3CDTF">2026-02-21T00:37:29.925Z</dcterms:modified>
</cp:coreProperties>
</file>

<file path=docProps/custom.xml><?xml version="1.0" encoding="utf-8"?>
<Properties xmlns="http://schemas.openxmlformats.org/officeDocument/2006/custom-properties" xmlns:vt="http://schemas.openxmlformats.org/officeDocument/2006/docPropsVTypes"/>
</file>