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8</w:t>
      </w:r>
    </w:p>
    <w:p>
      <w:pPr>
        <w:spacing w:before="0" w:after="60"/>
        <w:jc w:val="center"/>
      </w:pPr>
      <w:r>
        <w:rPr>
          <w:rFonts w:ascii="Arial" w:cs="Arial" w:eastAsia="Arial" w:hAnsi="Arial"/>
          <w:b/>
          <w:bCs/>
          <w:color w:val="2E75B6"/>
          <w:sz w:val="28"/>
          <w:szCs w:val="28"/>
        </w:rPr>
        <w:t xml:space="preserve">Síntesis Ejecutiva, Ranking Final y Marco de Decisión</w:t>
      </w:r>
    </w:p>
    <w:p>
      <w:pPr>
        <w:spacing w:before="0" w:after="140"/>
        <w:jc w:val="center"/>
      </w:pPr>
      <w:r>
        <w:rPr>
          <w:rFonts w:ascii="Arial" w:cs="Arial" w:eastAsia="Arial" w:hAnsi="Arial"/>
          <w:b w:val="false"/>
          <w:bCs w:val="false"/>
          <w:color w:val="1A1A2E"/>
          <w:sz w:val="20"/>
          <w:szCs w:val="20"/>
        </w:rPr>
        <w:t xml:space="preserve">Consolidación de 8 Fases · Ranking 16 Proveedores · Decisión por Sector · Tendencias 2026-2028 · Hoja de Ruta</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8.0  Síntesis del Proyecto Completo: 8 Fases, 16 Proveedores</w:t>
      </w:r>
    </w:p>
    <w:p>
      <w:pPr>
        <w:spacing w:before="18" w:after="18"/>
        <w:jc w:val="center"/>
      </w:pPr>
      <w:r>
        <w:rPr>
          <w:rFonts w:ascii="Arial" w:cs="Arial" w:eastAsia="Arial" w:hAnsi="Arial"/>
          <w:b w:val="false"/>
          <w:bCs w:val="false"/>
          <w:color w:val="1A1A2E"/>
          <w:sz w:val="18"/>
          <w:szCs w:val="18"/>
        </w:rPr>
        <w:t xml:space="preserve">8.1  Ranking Final Consolidado de los 16 Proveedores</w:t>
      </w:r>
    </w:p>
    <w:p>
      <w:pPr>
        <w:spacing w:before="18" w:after="18"/>
        <w:jc w:val="center"/>
      </w:pPr>
      <w:r>
        <w:rPr>
          <w:rFonts w:ascii="Arial" w:cs="Arial" w:eastAsia="Arial" w:hAnsi="Arial"/>
          <w:b w:val="false"/>
          <w:bCs w:val="false"/>
          <w:color w:val="1A1A2E"/>
          <w:sz w:val="18"/>
          <w:szCs w:val="18"/>
        </w:rPr>
        <w:t xml:space="preserve">8.2  Marco de Decisión Ejecutivo por Sector y Perfil de Riesgo</w:t>
      </w:r>
    </w:p>
    <w:p>
      <w:pPr>
        <w:spacing w:before="18" w:after="18"/>
        <w:jc w:val="center"/>
      </w:pPr>
      <w:r>
        <w:rPr>
          <w:rFonts w:ascii="Arial" w:cs="Arial" w:eastAsia="Arial" w:hAnsi="Arial"/>
          <w:b w:val="false"/>
          <w:bCs w:val="false"/>
          <w:color w:val="1A1A2E"/>
          <w:sz w:val="18"/>
          <w:szCs w:val="18"/>
        </w:rPr>
        <w:t xml:space="preserve">8.3  Tendencias 2026-2028 que Modifican el Análisis</w:t>
      </w:r>
    </w:p>
    <w:p>
      <w:pPr>
        <w:spacing w:before="18" w:after="18"/>
        <w:jc w:val="center"/>
      </w:pPr>
      <w:r>
        <w:rPr>
          <w:rFonts w:ascii="Arial" w:cs="Arial" w:eastAsia="Arial" w:hAnsi="Arial"/>
          <w:b w:val="false"/>
          <w:bCs w:val="false"/>
          <w:color w:val="1A1A2E"/>
          <w:sz w:val="18"/>
          <w:szCs w:val="18"/>
        </w:rPr>
        <w:t xml:space="preserve">8.4  10 Conclusiones Estratégicas del Informe Completo</w:t>
      </w:r>
    </w:p>
    <w:p>
      <w:pPr>
        <w:spacing w:before="18" w:after="18"/>
        <w:jc w:val="center"/>
      </w:pPr>
      <w:r>
        <w:rPr>
          <w:rFonts w:ascii="Arial" w:cs="Arial" w:eastAsia="Arial" w:hAnsi="Arial"/>
          <w:b w:val="false"/>
          <w:bCs w:val="false"/>
          <w:color w:val="1A1A2E"/>
          <w:sz w:val="18"/>
          <w:szCs w:val="18"/>
        </w:rPr>
        <w:t xml:space="preserve">8.5  Hoja de Ruta de Implementación: 90 / 180 / 365 Días</w:t>
      </w:r>
    </w:p>
    <w:p>
      <w:pPr>
        <w:spacing w:before="18" w:after="18"/>
        <w:jc w:val="center"/>
      </w:pPr>
      <w:r>
        <w:rPr>
          <w:rFonts w:ascii="Arial" w:cs="Arial" w:eastAsia="Arial" w:hAnsi="Arial"/>
          <w:b w:val="false"/>
          <w:bCs w:val="false"/>
          <w:color w:val="1A1A2E"/>
          <w:sz w:val="18"/>
          <w:szCs w:val="18"/>
        </w:rPr>
        <w:t xml:space="preserve">8.6  Glosario de Términos Clave</w:t>
      </w:r>
    </w:p>
    <w:p>
      <w:pPr>
        <w:spacing w:before="18" w:after="18"/>
        <w:jc w:val="center"/>
      </w:pPr>
      <w:r>
        <w:rPr>
          <w:rFonts w:ascii="Arial" w:cs="Arial" w:eastAsia="Arial" w:hAnsi="Arial"/>
          <w:b w:val="false"/>
          <w:bCs w:val="false"/>
          <w:color w:val="1A1A2E"/>
          <w:sz w:val="18"/>
          <w:szCs w:val="18"/>
        </w:rPr>
        <w:t xml:space="preserve">8.7  Referencias (R181–R210)</w:t>
      </w:r>
    </w:p>
    <w:p>
      <w:pPr>
        <w:spacing w:before="30" w:after="30"/>
      </w:pPr>
      <w:r>
        <w:t xml:space="preserve"/>
      </w:r>
    </w:p>
    <w:p>
      <w:pPr>
        <w:spacing w:before="30" w:after="30"/>
      </w:pPr>
      <w:r>
        <w:t xml:space="preserve"/>
      </w:r>
    </w:p>
    <w:p>
      <w:pPr>
        <w:jc w:val="center"/>
      </w:pPr>
      <w:r>
        <w:rPr>
          <w:rFonts w:ascii="Arial" w:cs="Arial" w:eastAsia="Arial" w:hAnsi="Arial"/>
          <w:b/>
          <w:bCs/>
          <w:color w:val="2E75B6"/>
          <w:sz w:val="18"/>
          <w:szCs w:val="18"/>
        </w:rPr>
        <w:t xml:space="preserve">FASE FINAL — Cierre del análisis iniciado en Fase 1 (febrero 2026)</w:t>
      </w:r>
    </w:p>
    <w:p>
      <w:pPr>
        <w:spacing w:before="30" w:after="30"/>
      </w:pPr>
      <w:r>
        <w:t xml:space="preserve"/>
      </w:r>
    </w:p>
    <w:p>
      <w:pPr>
        <w:jc w:val="center"/>
      </w:pPr>
      <w:r>
        <w:rPr>
          <w:rFonts w:ascii="Arial" w:cs="Arial" w:eastAsia="Arial" w:hAnsi="Arial"/>
          <w:b/>
          <w:b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8.0 SÍNTESIS DEL PROYECTO COMPLETO: 8 FASES, 16 PROVEEDORES</w:t>
      </w:r>
    </w:p>
    <w:p>
      <w:pPr>
        <w:pBdr>
          <w:bottom w:val="single" w:color="BDD7EE" w:sz="4"/>
        </w:pBdr>
        <w:spacing w:before="80" w:after="80"/>
      </w:pPr>
    </w:p>
    <w:p>
      <w:pPr>
        <w:spacing w:before="60" w:after="100"/>
      </w:pPr>
      <w:r>
        <w:rPr>
          <w:rFonts w:ascii="Arial" w:cs="Arial" w:eastAsia="Arial" w:hAnsi="Arial"/>
          <w:color w:val="1A1A2E"/>
          <w:sz w:val="20"/>
          <w:szCs w:val="20"/>
        </w:rPr>
        <w:t xml:space="preserve">Este informe representa el análisis de due diligence más comprehensivo realizado sobre ética y responsabilidad en inteligencia artificial aplicada al contexto enterprise. A lo largo de 8 fases progresivas, hemos examinado a 16 proveedores globales desde sus fundamentos filosóficos hasta sus términos contractuales y marcos de gobernanza post-implementación. La Fase 8 sintetiza todos los hallazgos en un marco de decisión ejecutivo accionable.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TÍTULO</w:t>
            </w:r>
          </w:p>
        </w:tc>
        <w:tc>
          <w:tcPr>
            <w:tcW w:type="dxa" w:w="62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HALLAZGOS PRINCIPALES</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Filosofías Éticas</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5 paradigmas identificados: Constitutional AI (Anthropic), RLHF + Preparedness (OpenAI), Responsible AI Standard (Microsoft), AI Principles (Google), Trust &amp; Safety Tiered (AWS). Los proveedores chinos (Alibaba, Tencent, Huawei, DeepSeek) carecen de marcos filosóficos públicos verificables. Meta es el único laboratorio frontier que rechazó participar en el AI Safety Index 2025.</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2</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Metodologías de Alignment</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Constitutional AI y RLHF son los paradigmas dominantes. Existencia de brecha entre filosofía publicada y prácticas verificables en casi todos los proveedores. IBM Watsonx es el proveedor con mayor transparencia FMTI del mercado (Future of Life Institute 2025).</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3</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Transparencia y Accountability</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Solo OpenAI y Anthropic publican Model Cards completas con limitaciones. Microsoft publica Transparency Notes. Google publica guías de uso responsable. Los 4 proveedores chinos y Meta tienen nivel de transparencia mínima en benchmarks independientes.</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4</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Dilemas Éticos</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Casos documentados: OpenAI vs. NYT (infracción entrenamiento, $1B+ litigación activa), Bartz v. Anthropic ($1.5B settlement agosto 2025 — cubre solo datos históricos). Los 16 proveedores enfrentan el mismo trilema ético: rendimiento vs. privacidad vs. seguridad.</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5</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Due Diligence Sectorial</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Perfiles de riesgo por sector: Financiero (SR 11-7, Basel IV AI-readiness), Salud (HIPAA, FDA Software as Medical Device), Legal/Privacidad (GDPR Art. 22), Gobierno (FedRAMP, soberanía de datos). Mapa de compatibilidad por sector documentado.</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6</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Términos Contractuales Enterprise</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Sistema de 4 niveles de evidencia (N1-N4). Solo Microsoft y OpenAI tienen indemnización IP con términos públicamente verificables. Anthropic tiene la mejor política ZDR documentada. DeepSeek es BLOQUEANTE en todas las dimensiones reguladas.</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Gobernanza Post-Implementación</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OWASP Top 10 Agéntico (dic. 2025) define 10 riesgos críticos. Shadow AI: 65% de herramientas sin aprobación, $670K costo diferencial por brecha. EU AI Act: deadline agosto 2026 para sistemas alto riesgo. Framework de re-evaluación continua de proveedores.</w:t>
            </w:r>
          </w:p>
        </w:tc>
      </w:tr>
      <w:tr>
        <w:tc>
          <w:tcPr>
            <w:tcW w:type="dxa" w:w="7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8</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Síntesis y Marco de Decisión</w:t>
            </w:r>
          </w:p>
        </w:tc>
        <w:tc>
          <w:tcPr>
            <w:tcW w:type="dxa" w:w="62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Ranking final consolidado. Marco de decisión por sector. 10 conclusiones estratégicas. Tendencias 2026-2028 que modifican el análisis. Hoja de ruta 90/180/365 días.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8.1 RANKING FINAL CONSOLIDADO DE LOS 16 PROVEEDORES</w:t>
      </w:r>
    </w:p>
    <w:p>
      <w:pPr>
        <w:pBdr>
          <w:bottom w:val="single" w:color="BDD7EE" w:sz="4"/>
        </w:pBdr>
        <w:spacing w:before="80" w:after="80"/>
      </w:pPr>
    </w:p>
    <w:p>
      <w:pPr>
        <w:spacing w:before="60" w:after="100"/>
      </w:pPr>
      <w:r>
        <w:rPr>
          <w:rFonts w:ascii="Arial" w:cs="Arial" w:eastAsia="Arial" w:hAnsi="Arial"/>
          <w:color w:val="1A1A2E"/>
          <w:sz w:val="20"/>
          <w:szCs w:val="20"/>
        </w:rPr>
        <w:t xml:space="preserve">El ranking consolida las evaluaciones de las 8 fases en 6 dimensiones ponderadas. La ponderación refleja el peso relativo de cada dimensión para la toma de decisiones enterprise en sectores regulados, validada con el peso que los reguladores (EU AI Act, OCC, HIPAA, GDPR) asignan a cada categoría.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00"/>
        <w:gridCol w:w="1100"/>
        <w:gridCol w:w="1360"/>
      </w:tblGrid>
      <w:tr>
        <w:tc>
          <w:tcPr>
            <w:tcW w:type="dxa" w:w="2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PONDERACIÓN DE DIMENSIONES</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
Filosofía
15%</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Alignment /
Transparencia
15%</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Compliance /
Certificaciones
20%</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Seguridad /
ZDR
20%</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Contrato /
Indemnización
15%</w:t>
            </w:r>
          </w:p>
        </w:tc>
        <w:tc>
          <w:tcPr>
            <w:tcW w:type="dxa" w:w="11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Gobernanza /
Agéntica
15%</w:t>
            </w:r>
          </w:p>
        </w:tc>
        <w:tc>
          <w:tcPr>
            <w:tcW w:type="dxa" w:w="1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SCORE
FINAL
/100</w:t>
            </w:r>
          </w:p>
        </w:tc>
      </w:tr>
    </w:tbl>
    <w:p>
      <w:pPr>
        <w:spacing w:before="30" w:after="30"/>
      </w:pPr>
      <w:r>
        <w:t xml:space="preserve"/>
      </w:r>
    </w:p>
    <w:p>
      <w:pPr>
        <w:spacing w:before="60" w:after="100"/>
      </w:pPr>
      <w:r>
        <w:rPr>
          <w:rFonts w:ascii="Arial" w:cs="Arial" w:eastAsia="Arial" w:hAnsi="Arial"/>
          <w:b/>
          <w:bCs/>
          <w:color w:val="1A6E23"/>
          <w:sz w:val="22"/>
          <w:szCs w:val="22"/>
        </w:rPr>
        <w:t xml:space="preserve">TIER 1 — LÍDERES DE DUE DILIGENCE (Score 80-100)</w:t>
      </w:r>
    </w:p>
    <w:p>
      <w:pPr>
        <w:spacing w:before="60" w:after="100"/>
      </w:pPr>
      <w:r>
        <w:rPr>
          <w:rFonts w:ascii="Arial" w:cs="Arial" w:eastAsia="Arial" w:hAnsi="Arial"/>
          <w:i/>
          <w:iCs/>
          <w:color w:val="1A1A2E"/>
          <w:sz w:val="18"/>
          <w:szCs w:val="18"/>
        </w:rPr>
        <w:t xml:space="preserve">Cumplen la mayoría de criterios con evidencia N1 verificable. Adecuados para sectores de máximo nivel regulatorio (salud, servicios financieros sistémicos, gobierno).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1560"/>
        <w:gridCol w:w="1040"/>
        <w:gridCol w:w="1040"/>
        <w:gridCol w:w="1040"/>
        <w:gridCol w:w="1040"/>
        <w:gridCol w:w="1040"/>
        <w:gridCol w:w="1040"/>
        <w:gridCol w:w="1340"/>
      </w:tblGrid>
      <w:tr>
        <w:tc>
          <w:tcPr>
            <w:tcW w:type="dxa" w:w="18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156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/15</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Align.
/15</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Compli.
/20</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Seg.
/20</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Contrato
/15</w:t>
            </w:r>
          </w:p>
        </w:tc>
        <w:tc>
          <w:tcPr>
            <w:tcW w:type="dxa" w:w="10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
/15</w:t>
            </w:r>
          </w:p>
        </w:tc>
        <w:tc>
          <w:tcPr>
            <w:tcW w:type="dxa" w:w="13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TOTAL
/100</w:t>
            </w:r>
          </w:p>
        </w:tc>
      </w:tr>
      <w:tr>
        <w:tc>
          <w:tcPr>
            <w:tcW w:type="dxa" w:w="1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w:t>
            </w:r>
          </w:p>
        </w:tc>
        <w:tc>
          <w:tcPr>
            <w:tcW w:type="dxa" w:w="1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Microsoft Azure OpenAI + Copilot</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13</w:t>
            </w:r>
          </w:p>
        </w:tc>
        <w:tc>
          <w:tcPr>
            <w:tcW w:type="dxa" w:w="13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90</w:t>
            </w:r>
          </w:p>
        </w:tc>
      </w:tr>
      <w:tr>
        <w:tc>
          <w:tcPr>
            <w:tcW w:type="dxa" w:w="1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2</w:t>
            </w:r>
          </w:p>
        </w:tc>
        <w:tc>
          <w:tcPr>
            <w:tcW w:type="dxa" w:w="1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Anthropic Claude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12</w:t>
            </w:r>
          </w:p>
        </w:tc>
        <w:tc>
          <w:tcPr>
            <w:tcW w:type="dxa" w:w="13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89</w:t>
            </w:r>
          </w:p>
        </w:tc>
      </w:tr>
      <w:tr>
        <w:tc>
          <w:tcPr>
            <w:tcW w:type="dxa" w:w="1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3</w:t>
            </w:r>
          </w:p>
        </w:tc>
        <w:tc>
          <w:tcPr>
            <w:tcW w:type="dxa" w:w="1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Google Vertex AI / Workspace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12</w:t>
            </w:r>
          </w:p>
        </w:tc>
        <w:tc>
          <w:tcPr>
            <w:tcW w:type="dxa" w:w="13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85</w:t>
            </w:r>
          </w:p>
        </w:tc>
      </w:tr>
      <w:tr>
        <w:tc>
          <w:tcPr>
            <w:tcW w:type="dxa" w:w="1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4</w:t>
            </w:r>
          </w:p>
        </w:tc>
        <w:tc>
          <w:tcPr>
            <w:tcW w:type="dxa" w:w="1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AWS Bedrock</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A6E23"/>
                <w:sz w:val="18"/>
                <w:szCs w:val="18"/>
              </w:rPr>
              <w:t xml:space="preserve">12</w:t>
            </w:r>
          </w:p>
        </w:tc>
        <w:tc>
          <w:tcPr>
            <w:tcW w:type="dxa" w:w="134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79</w:t>
            </w:r>
          </w:p>
        </w:tc>
      </w:tr>
    </w:tbl>
    <w:p>
      <w:pPr>
        <w:spacing w:before="30" w:after="30"/>
      </w:pPr>
      <w:r>
        <w:t xml:space="preserve"/>
      </w:r>
    </w:p>
    <w:p>
      <w:pPr>
        <w:spacing w:before="60" w:after="100"/>
      </w:pPr>
      <w:r>
        <w:rPr>
          <w:rFonts w:ascii="Arial" w:cs="Arial" w:eastAsia="Arial" w:hAnsi="Arial"/>
          <w:b/>
          <w:bCs/>
          <w:color w:val="1F3864"/>
          <w:sz w:val="22"/>
          <w:szCs w:val="22"/>
        </w:rPr>
        <w:t xml:space="preserve">TIER 2 — APTOS CON CONDICIONES (Score 60-79)</w:t>
      </w:r>
    </w:p>
    <w:p>
      <w:pPr>
        <w:spacing w:before="60" w:after="100"/>
      </w:pPr>
      <w:r>
        <w:rPr>
          <w:rFonts w:ascii="Arial" w:cs="Arial" w:eastAsia="Arial" w:hAnsi="Arial"/>
          <w:i/>
          <w:iCs/>
          <w:color w:val="1A1A2E"/>
          <w:sz w:val="18"/>
          <w:szCs w:val="18"/>
        </w:rPr>
        <w:t xml:space="preserve">Cumplen criterios básicos pero tienen gaps documentados que requieren controles compensatorios o negociación contractual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1560"/>
        <w:gridCol w:w="1040"/>
        <w:gridCol w:w="1040"/>
        <w:gridCol w:w="1040"/>
        <w:gridCol w:w="1040"/>
        <w:gridCol w:w="1040"/>
        <w:gridCol w:w="1040"/>
        <w:gridCol w:w="1340"/>
      </w:tblGrid>
      <w:tr>
        <w:tc>
          <w:tcPr>
            <w:tcW w:type="dxa" w:w="1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1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/15</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Align.
/15</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Compli.
/20</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Seg.
/20</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Contrato
/15</w:t>
            </w:r>
          </w:p>
        </w:tc>
        <w:tc>
          <w:tcPr>
            <w:tcW w:type="dxa" w:w="10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
/15</w:t>
            </w:r>
          </w:p>
        </w:tc>
        <w:tc>
          <w:tcPr>
            <w:tcW w:type="dxa" w:w="13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TOTAL
/100</w:t>
            </w:r>
          </w:p>
        </w:tc>
      </w:tr>
      <w:tr>
        <w:tc>
          <w:tcPr>
            <w:tcW w:type="dxa" w:w="1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5</w:t>
            </w:r>
          </w:p>
        </w:tc>
        <w:tc>
          <w:tcPr>
            <w:tcW w:type="dxa" w:w="15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F3864"/>
                <w:sz w:val="15"/>
                <w:szCs w:val="15"/>
              </w:rPr>
              <w:t xml:space="preserve">OpenAI Enterprise (directo)</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11</w:t>
            </w:r>
          </w:p>
        </w:tc>
        <w:tc>
          <w:tcPr>
            <w:tcW w:type="dxa" w:w="13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79</w:t>
            </w:r>
          </w:p>
        </w:tc>
      </w:tr>
      <w:tr>
        <w:tc>
          <w:tcPr>
            <w:tcW w:type="dxa" w:w="1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6</w:t>
            </w:r>
          </w:p>
        </w:tc>
        <w:tc>
          <w:tcPr>
            <w:tcW w:type="dxa" w:w="15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F3864"/>
                <w:sz w:val="15"/>
                <w:szCs w:val="15"/>
              </w:rPr>
              <w:t xml:space="preserve">IBM Watsonx (Granite/Slate)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11</w:t>
            </w:r>
          </w:p>
        </w:tc>
        <w:tc>
          <w:tcPr>
            <w:tcW w:type="dxa" w:w="13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71</w:t>
            </w:r>
          </w:p>
        </w:tc>
      </w:tr>
      <w:tr>
        <w:tc>
          <w:tcPr>
            <w:tcW w:type="dxa" w:w="1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7</w:t>
            </w:r>
          </w:p>
        </w:tc>
        <w:tc>
          <w:tcPr>
            <w:tcW w:type="dxa" w:w="15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F3864"/>
                <w:sz w:val="15"/>
                <w:szCs w:val="15"/>
              </w:rPr>
              <w:t xml:space="preserve">Cohere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3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64</w:t>
            </w:r>
          </w:p>
        </w:tc>
      </w:tr>
      <w:tr>
        <w:tc>
          <w:tcPr>
            <w:tcW w:type="dxa" w:w="1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8</w:t>
            </w:r>
          </w:p>
        </w:tc>
        <w:tc>
          <w:tcPr>
            <w:tcW w:type="dxa" w:w="15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F3864"/>
                <w:sz w:val="15"/>
                <w:szCs w:val="15"/>
              </w:rPr>
              <w:t xml:space="preserve">Meta Llama (self-hosted)</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9</w:t>
            </w:r>
          </w:p>
        </w:tc>
        <w:tc>
          <w:tcPr>
            <w:tcW w:type="dxa" w:w="134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60</w:t>
            </w:r>
          </w:p>
        </w:tc>
      </w:tr>
    </w:tbl>
    <w:p>
      <w:pPr>
        <w:spacing w:before="30" w:after="30"/>
      </w:pPr>
      <w:r>
        <w:t xml:space="preserve"/>
      </w:r>
    </w:p>
    <w:p>
      <w:pPr>
        <w:spacing w:before="60" w:after="100"/>
      </w:pPr>
      <w:r>
        <w:rPr>
          <w:rFonts w:ascii="Arial" w:cs="Arial" w:eastAsia="Arial" w:hAnsi="Arial"/>
          <w:b/>
          <w:bCs/>
          <w:color w:val="7F4F00"/>
          <w:sz w:val="22"/>
          <w:szCs w:val="22"/>
        </w:rPr>
        <w:t xml:space="preserve">TIER 3 — USO RESTRINGIDO / EVALUACIÓN ESPECÍFICA REQUERIDA (Score 35-59)</w:t>
      </w:r>
    </w:p>
    <w:p>
      <w:pPr>
        <w:spacing w:before="60" w:after="100"/>
      </w:pPr>
      <w:r>
        <w:rPr>
          <w:rFonts w:ascii="Arial" w:cs="Arial" w:eastAsia="Arial" w:hAnsi="Arial"/>
          <w:i/>
          <w:iCs/>
          <w:color w:val="1A1A2E"/>
          <w:sz w:val="18"/>
          <w:szCs w:val="18"/>
        </w:rPr>
        <w:t xml:space="preserve">Gaps significativos en una o más dimensiones críticas. Uso justificable solo en casos de uso no regulados y con controles compensatorios fuertes. Requieren evaluación legal caso 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1560"/>
        <w:gridCol w:w="1040"/>
        <w:gridCol w:w="1040"/>
        <w:gridCol w:w="1040"/>
        <w:gridCol w:w="1040"/>
        <w:gridCol w:w="1040"/>
        <w:gridCol w:w="1040"/>
        <w:gridCol w:w="1340"/>
      </w:tblGrid>
      <w:tr>
        <w:tc>
          <w:tcPr>
            <w:tcW w:type="dxa" w:w="18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156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/15</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Align.
/15</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Compli.
/20</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Seg.
/20</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Contrato
/15</w:t>
            </w:r>
          </w:p>
        </w:tc>
        <w:tc>
          <w:tcPr>
            <w:tcW w:type="dxa" w:w="10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
/15</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TOTAL
/100</w:t>
            </w:r>
          </w:p>
        </w:tc>
      </w:tr>
      <w:tr>
        <w:tc>
          <w:tcPr>
            <w:tcW w:type="dxa" w:w="1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9</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F4F00"/>
                <w:sz w:val="15"/>
                <w:szCs w:val="15"/>
              </w:rPr>
              <w:t xml:space="preserve">xAI / Grok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10</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7</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44</w:t>
            </w:r>
          </w:p>
        </w:tc>
      </w:tr>
      <w:tr>
        <w:tc>
          <w:tcPr>
            <w:tcW w:type="dxa" w:w="1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10</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F4F00"/>
                <w:sz w:val="15"/>
                <w:szCs w:val="15"/>
              </w:rPr>
              <w:t xml:space="preserve">Mistral AI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9</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8</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45</w:t>
            </w:r>
          </w:p>
        </w:tc>
      </w:tr>
      <w:tr>
        <w:tc>
          <w:tcPr>
            <w:tcW w:type="dxa" w:w="1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11</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F4F00"/>
                <w:sz w:val="15"/>
                <w:szCs w:val="15"/>
              </w:rPr>
              <w:t xml:space="preserve">Alibaba Qwen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31→Tier4</w:t>
            </w:r>
          </w:p>
        </w:tc>
      </w:tr>
      <w:tr>
        <w:tc>
          <w:tcPr>
            <w:tcW w:type="dxa" w:w="1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12</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F4F00"/>
                <w:sz w:val="15"/>
                <w:szCs w:val="15"/>
              </w:rPr>
              <w:t xml:space="preserve">Tencent Hunyuan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6</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29→Tier4</w:t>
            </w:r>
          </w:p>
        </w:tc>
      </w:tr>
      <w:tr>
        <w:tc>
          <w:tcPr>
            <w:tcW w:type="dxa" w:w="1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13</w:t>
            </w:r>
          </w:p>
        </w:tc>
        <w:tc>
          <w:tcPr>
            <w:tcW w:type="dxa" w:w="1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bCs/>
                <w:color w:val="7F4F00"/>
                <w:sz w:val="15"/>
                <w:szCs w:val="15"/>
              </w:rPr>
              <w:t xml:space="preserve">Huawei PanGu Enterprise</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7F4F00"/>
                <w:sz w:val="18"/>
                <w:szCs w:val="18"/>
              </w:rPr>
              <w:t xml:space="preserve">5</w:t>
            </w:r>
          </w:p>
        </w:tc>
        <w:tc>
          <w:tcPr>
            <w:tcW w:type="dxa" w:w="1340"/>
            <w:tcBorders>
              <w:top w:val="single" w:color="AEC9E0" w:sz="1"/>
              <w:left w:val="single" w:color="AEC9E0" w:sz="1"/>
              <w:bottom w:val="single" w:color="AEC9E0" w:sz="1"/>
              <w:right w:val="single" w:color="AEC9E0" w:sz="1"/>
            </w:tcBorders>
            <w:shd w:fill="7F4F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26→Tier4</w:t>
            </w:r>
          </w:p>
        </w:tc>
      </w:tr>
    </w:tbl>
    <w:p>
      <w:pPr>
        <w:spacing w:before="30" w:after="30"/>
      </w:pPr>
      <w:r>
        <w:t xml:space="preserve"/>
      </w:r>
    </w:p>
    <w:p>
      <w:pPr>
        <w:spacing w:before="60" w:after="100"/>
      </w:pPr>
      <w:r>
        <w:rPr>
          <w:rFonts w:ascii="Arial" w:cs="Arial" w:eastAsia="Arial" w:hAnsi="Arial"/>
          <w:b/>
          <w:bCs/>
          <w:color w:val="C00000"/>
          <w:sz w:val="22"/>
          <w:szCs w:val="22"/>
        </w:rPr>
        <w:t xml:space="preserve">TIER 4 — NO RECOMENDADO PARA USO ENTERPRISE REGULADO (Score &lt;30 / BLOQUEANTE)</w:t>
      </w:r>
    </w:p>
    <w:p>
      <w:pPr>
        <w:spacing w:before="60" w:after="100"/>
      </w:pPr>
      <w:r>
        <w:rPr>
          <w:rFonts w:ascii="Arial" w:cs="Arial" w:eastAsia="Arial" w:hAnsi="Arial"/>
          <w:i/>
          <w:iCs/>
          <w:color w:val="1A1A2E"/>
          <w:sz w:val="18"/>
          <w:szCs w:val="18"/>
        </w:rPr>
        <w:t xml:space="preserve">Incompatibilidades documentadas con GDPR, HIPAA y/o marcos de seguridad enterprise. Uso en sectores regulados representa riesgo legal, regulatorio y reputacional inaceptable.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1560"/>
        <w:gridCol w:w="1040"/>
        <w:gridCol w:w="1040"/>
        <w:gridCol w:w="1040"/>
        <w:gridCol w:w="1040"/>
        <w:gridCol w:w="1040"/>
        <w:gridCol w:w="1040"/>
        <w:gridCol w:w="1340"/>
      </w:tblGrid>
      <w:tr>
        <w:tc>
          <w:tcPr>
            <w:tcW w:type="dxa" w:w="1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156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Ética
/15</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Align.
/15</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Compli.
/20</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Seg.
/20</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Contrato
/15</w:t>
            </w:r>
          </w:p>
        </w:tc>
        <w:tc>
          <w:tcPr>
            <w:tcW w:type="dxa" w:w="10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Gobern.
/15</w:t>
            </w:r>
          </w:p>
        </w:tc>
        <w:tc>
          <w:tcPr>
            <w:tcW w:type="dxa" w:w="134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TOTAL
/100</w:t>
            </w:r>
          </w:p>
        </w:tc>
      </w:tr>
      <w:tr>
        <w:tc>
          <w:tcPr>
            <w:tcW w:type="dxa" w:w="1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14</w:t>
            </w:r>
          </w:p>
        </w:tc>
        <w:tc>
          <w:tcPr>
            <w:tcW w:type="dxa" w:w="15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5"/>
                <w:szCs w:val="15"/>
              </w:rPr>
              <w:t xml:space="preserve">Meta AI / Llama (hosted directo)</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7</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4</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8</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2</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7</w:t>
            </w:r>
          </w:p>
        </w:tc>
        <w:tc>
          <w:tcPr>
            <w:tcW w:type="dxa" w:w="134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8"/>
                <w:szCs w:val="18"/>
              </w:rPr>
              <w:t xml:space="preserve">36</w:t>
            </w:r>
          </w:p>
        </w:tc>
      </w:tr>
      <w:tr>
        <w:tc>
          <w:tcPr>
            <w:tcW w:type="dxa" w:w="18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15</w:t>
            </w:r>
          </w:p>
        </w:tc>
        <w:tc>
          <w:tcPr>
            <w:tcW w:type="dxa" w:w="1560"/>
            <w:tcBorders>
              <w:top w:val="single" w:color="AEC9E0" w:sz="1"/>
              <w:left w:val="single" w:color="AEC9E0" w:sz="1"/>
              <w:bottom w:val="single" w:color="AEC9E0" w:sz="1"/>
              <w:right w:val="single" w:color="AEC9E0" w:sz="1"/>
            </w:tcBorders>
            <w:shd w:fill="FFDDD9" w:val="clear"/>
            <w:tcMar>
              <w:top w:type="dxa" w:w="70"/>
              <w:left w:type="dxa" w:w="120"/>
              <w:bottom w:type="dxa" w:w="70"/>
              <w:right w:type="dxa" w:w="120"/>
            </w:tcMar>
            <w:vAlign w:val="top"/>
          </w:tcPr>
          <w:p>
            <w:pPr>
              <w:jc w:val="left"/>
            </w:pPr>
            <w:r>
              <w:rPr>
                <w:rFonts w:ascii="Arial" w:cs="Arial" w:eastAsia="Arial" w:hAnsi="Arial"/>
                <w:b/>
                <w:bCs/>
                <w:color w:val="8B0000"/>
                <w:sz w:val="15"/>
                <w:szCs w:val="15"/>
              </w:rPr>
              <w:t xml:space="preserve">DeepSeek (cualquier servicio hosted)</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3</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1</w:t>
            </w:r>
          </w:p>
        </w:tc>
        <w:tc>
          <w:tcPr>
            <w:tcW w:type="dxa" w:w="104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center"/>
          </w:tcPr>
          <w:p>
            <w:pPr>
              <w:jc w:val="center"/>
            </w:pPr>
            <w:r>
              <w:rPr>
                <w:rFonts w:ascii="Arial" w:cs="Arial" w:eastAsia="Arial" w:hAnsi="Arial"/>
                <w:b/>
                <w:bCs/>
                <w:color w:val="8B0000"/>
                <w:sz w:val="18"/>
                <w:szCs w:val="18"/>
              </w:rPr>
              <w:t xml:space="preserve">3</w:t>
            </w:r>
          </w:p>
        </w:tc>
        <w:tc>
          <w:tcPr>
            <w:tcW w:type="dxa" w:w="134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BLOQ.</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Nota metodológica sobre el ranking: </w:t>
      </w:r>
      <w:r>
        <w:rPr>
          <w:rFonts w:ascii="Arial" w:cs="Arial" w:eastAsia="Arial" w:hAnsi="Arial"/>
          <w:color w:val="7F4F00"/>
          <w:sz w:val="18"/>
          <w:szCs w:val="18"/>
        </w:rPr>
        <w:t xml:space="preserve">Los scores son el resultado de la síntesis de las Fases 1-7. No son auditorías certificadas sino juicios analíticos basados en evidencia pública verificable con el sistema de niveles N1-N4. AWS Bedrock aparece en posición 4 con score inferior a OpenAI Enterprise (posición 5) en el ranking general porque el modelo multi-proveedor de Bedrock crea gaps de indemnización IP para modelos terceros (Claude, Llama, Cohere), penalizando la dimensión 'Contrato'. Sin embargo, para casos de uso específicos —especialmente en infraestructura y cloud-native— AWS puede superar a OpenAI en la evaluación sectorial de la Fase 8.2.</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8.2 MARCO DE DECISIÓN EJECUTIVO POR SECTOR Y PERFIL DE RIESGO</w:t>
      </w:r>
    </w:p>
    <w:p>
      <w:pPr>
        <w:pBdr>
          <w:bottom w:val="single" w:color="BDD7EE" w:sz="4"/>
        </w:pBdr>
        <w:spacing w:before="80" w:after="80"/>
      </w:pPr>
    </w:p>
    <w:p>
      <w:pPr>
        <w:spacing w:before="60" w:after="100"/>
      </w:pPr>
      <w:r>
        <w:rPr>
          <w:rFonts w:ascii="Arial" w:cs="Arial" w:eastAsia="Arial" w:hAnsi="Arial"/>
          <w:color w:val="1A1A2E"/>
          <w:sz w:val="20"/>
          <w:szCs w:val="20"/>
        </w:rPr>
        <w:t xml:space="preserve">El ranking global de la Sección 8.1 es un punto de partida, no el destino. El proveedor óptimo varía según el sector regulatorio, el caso de uso específico y el perfil de riesgo de la organización. Esta sección presenta las recomendaciones específicas por sector, integrando los hallazgos de las Fases 5 (due diligence sectorial) y 6 (términos contractuales) con el ranking global.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560"/>
        <w:gridCol w:w="1400"/>
      </w:tblGrid>
      <w:tr>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SECTOR</w:t>
            </w:r>
          </w:p>
        </w:tc>
        <w:tc>
          <w:tcPr>
            <w:tcW w:type="dxa" w:w="19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 #1
RECOMENDADO</w:t>
            </w:r>
          </w:p>
        </w:tc>
        <w:tc>
          <w:tcPr>
            <w:tcW w:type="dxa" w:w="19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 #2
ALTERNATIVO</w:t>
            </w:r>
          </w:p>
        </w:tc>
        <w:tc>
          <w:tcPr>
            <w:tcW w:type="dxa" w:w="2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RATIONALE Y CONDICIONES</w:t>
            </w:r>
          </w:p>
        </w:tc>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BLOQUEANTES</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SERVICIOS FINANCIEROS
(Banca, Seguros, Fintech regulado)</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Microsoft Azure OpenAI + Copilot
[Score: 90]</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Anthropic Claude Enterprise
[Score: 89]</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Azure OpenAI hereda FedRAMP High, cumple SR 11-7, SLA 99.9% N1, indemnización IP N1 sin cap. Anthropic como alternativa si se requiere ZDR estricto (mejor documentado del mercado). DORA compliance: ambos tienen clausulado compatible. IBM Watsonx tercera opción para modelos propietarios con indemnización en Granite/Slate.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DeepSeek (BLOQ.), DeepSeek via API, cualquier proveedor sin ZDR configurable para datos PHI/PII</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SALUD Y CIENCIAS DE LA VIDA
(HIPAA, SaMD FDA, PHI)</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Anthropic Claude Enterprise
[Score: 89 + ZDR #1]</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Microsoft Azure OpenAI
[Score: 90]</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Anthropic lidera ZDR: 'No prompts, outputs, or metadata are persisted' vía executed security addendum. BAA disponible. Encryption AES-256. BYOK anunciado H1 2026. Microsoft como alternativa con near-zero retention vía monitoring override y HIPAA BAA robusto. Google Vertex AI tercera opción con BAA y FedRAMP High para SaMD de alto riesgo.</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DeepSeek (BLOQ.), cualquier proveedor sin BAA HIPAA, OpenAI Enterprise (ZDR no documentado públicamente para PHI de alto riesgo)</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GOBIERNO Y DEFENSA
(FedRAMP, soberanía de datos, clasificado)</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Microsoft Azure OpenAI GovCloud
[Score: 90 + FedRAMP High]</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AWS Bedrock GovCloud
[Score: 79]</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GovCloud hereda FedRAMP High y DoD Impact Level certificaciones. Instancias aisladas geográficamente en suelo estadounidense. AWS GovCloud como alternativa para workloads cloud-native. Ambos excluyen modelos de terceros del scope FedRAMP. Para gobierno en LATAM: evaluar según marco regulatorio local — los requisitos FedRAMP no aplican pero son referencia de madurez.</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Todos los proveedores chinos (BLOQ. por PIPL + CLOUD Act risk), Meta hosted, proveedores sin residencia de datos confirmada en territorio nacional</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LEGAL Y PRIVACIDAD
(GDPR, CCPA, confidencialidad attorney-client)</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Anthropic Claude Enterprise
[Score: 89]</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Microsoft Azure OpenAI
[Score: 90]</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GDPR Art. 28 requiere DPA firmado — ambos proveedores lo tienen disponible. Attorney-client privilege requiere ZDR estricto — Anthropic lidera. Para datos EU: Google Vertex AI con EU Data Boundary es alternativa fuerte para organizaciones con clientes europeos. Verificar que el proveedor NO usa Customer Content para entrenamiento (garantía explícita en ambas recomendaciones).</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DeepSeek (BLOQ. — GDPR incompatible), cualquier proveedor sin DPA GDPR Art. 28 firmado, proveedores con retención &gt;30 días para datos de clientes identificados</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TECNOLOGÍA / DESARROLLO
(Coding, DevOps, CI/CD, no regulado)</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Anthropic Claude Enterprise
[Score: 89]</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OpenAI Enterprise
[Score: 79]</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casos de uso de desarrollo (coding, code review, documentación), la restricción regulatoria es menor — la diferenciación está en capacidades técnicas. Anthropic Claude Sonnet 4 lidera en benchmarks de coding 2025-2026. GitHub Copilot (Azure OpenAI) fuerte para integración nativa con ecosistema Microsoft. Meta Llama self-hosted viable como tercera opción para equipos con capacidad MLOps — control total, sin costo por token, sin relación contractual.</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DeepSeek (BLOQ. si se procesa código propietario), cualquier herramienta sin política de no-entrenamiento con Customer Data</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MANUFACTURA / INDUSTRIA
(Physical AI, OT/IT convergencia)</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Microsoft Azure OpenAI + Azure IoT
[Score: 90]</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AWS Bedrock + AWS IoT
[Score: 79]</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integración con ecosistemas de OT (Operational Technology) favorece a los hyperscalers con presencia en edge computing y certificaciones industriales. Microsoft hereda certificaciones IEC 62443 a través del ecosistema Azure. AWS tiene la mayor penetración en manufactura smart factory. Para Physical AI (robots, digital twins, simuladores): el ecosistema NVIDIA Omniverse compatible con ambos.</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Proveedores sin capacidades edge computing certificadas, cualquier modelo LLM-only sin integración con datos de sensores OT</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RETAIL / E-COMMERCE
(Personalización, precios, fraud detection)</w:t>
            </w:r>
          </w:p>
        </w:tc>
        <w:tc>
          <w:tcPr>
            <w:tcW w:type="dxa" w:w="19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bCs/>
                <w:color w:val="1A6E23"/>
                <w:sz w:val="15"/>
                <w:szCs w:val="15"/>
              </w:rPr>
              <w:t xml:space="preserve">Google Vertex AI
[Score: 85]</w:t>
            </w:r>
          </w:p>
        </w:tc>
        <w:tc>
          <w:tcPr>
            <w:tcW w:type="dxa" w:w="19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F3864"/>
                <w:sz w:val="15"/>
                <w:szCs w:val="15"/>
              </w:rPr>
              <w:t xml:space="preserve">OpenAI Enterprise
[Score: 79]</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Google lidera en personalización y recommendation engines con integración nativa BigQuery + Vertex AI. Indemnización IP amplia (incluyendo datos de entrenamiento — diferenciador clave para modelos de recomendación). OpenAI ChatGPT Enterprise como alternativa para customer service y generación de contenido. Verificar: los modelos de fraud detection pueden clasificar como alto riesgo bajo EU AI Act — evaluar compliance.</w:t>
            </w:r>
          </w:p>
        </w:tc>
        <w:tc>
          <w:tcPr>
            <w:tcW w:type="dxa" w:w="1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Cualquier proveedor sin indemnización IP si se usan modelos de contenido generativo visible al público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8.3 TENDENCIAS 2026-2028 QUE MODIFICAN EL ANÁLISIS</w:t>
      </w:r>
    </w:p>
    <w:p>
      <w:pPr>
        <w:pBdr>
          <w:bottom w:val="single" w:color="BDD7EE" w:sz="4"/>
        </w:pBdr>
        <w:spacing w:before="80" w:after="80"/>
      </w:pPr>
    </w:p>
    <w:p>
      <w:pPr>
        <w:spacing w:before="60" w:after="100"/>
      </w:pPr>
      <w:r>
        <w:rPr>
          <w:rFonts w:ascii="Arial" w:cs="Arial" w:eastAsia="Arial" w:hAnsi="Arial"/>
          <w:color w:val="1A1A2E"/>
          <w:sz w:val="20"/>
          <w:szCs w:val="20"/>
        </w:rPr>
        <w:t xml:space="preserve">El panorama de IA enterprise está en transformación acelerada. Las siguientes tendencias, respaldadas por datos de mercado y análisis de firmas de VC e investigación (TechCrunch, Sapphire Ventures, InformationWeek, Constellation Research — Q4 2025 / Q1 2026), tienen implicaciones directas sobre las decisiones de selección y gobernanza de proveedores realizadas hoy.</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8.3.1 Consolidación: De Experimentación a Concentración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TENDENCIA</w:t>
            </w:r>
          </w:p>
        </w:tc>
        <w:tc>
          <w:tcPr>
            <w:tcW w:type="dxa" w:w="30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EVIDENCIA DE MERCADO</w:t>
            </w:r>
          </w:p>
        </w:tc>
        <w:tc>
          <w:tcPr>
            <w:tcW w:type="dxa" w:w="30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 PARA DUE DILIGENCE</w:t>
            </w:r>
          </w:p>
        </w:tc>
      </w:tr>
      <w:tr>
        <w:tc>
          <w:tcPr>
            <w:tcW w:type="dxa" w:w="3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6"/>
                <w:szCs w:val="16"/>
              </w:rPr>
              <w:t xml:space="preserve">Las empresas pasan de pilotos múltiples a apuesta concentrada en 1-2 proveedores por caso de uso.</w:t>
            </w:r>
          </w:p>
        </w:tc>
        <w:tc>
          <w:tcPr>
            <w:tcW w:type="dxa" w:w="30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Andrew Ferguson (Databricks Ventures): '2026 será el año en que las empresas empiecen a consolidar sus inversiones y elegir ganadores.' Empresas están 'racionalizando herramientas que se superponen' (dic. 2025). Harsha Kapre (Snowflake Ventures): CIOs reducen activamente el sprawl de SaaS y adoptan sistemas unificados.</w:t>
            </w:r>
          </w:p>
        </w:tc>
        <w:tc>
          <w:tcPr>
            <w:tcW w:type="dxa" w:w="30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La due diligence de las 8 fases es más crítica cuando se concentra la apuesta. Un error de selección en 2026 es más costoso que en 2024, cuando se podía experimentar sin comprometerse.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8.3.2 El Umbral del ROI: 'Año de la Prueba' (Forrester 2026)</w:t>
      </w:r>
    </w:p>
    <w:p>
      <w:pPr>
        <w:spacing w:before="60" w:after="100"/>
      </w:pPr>
      <w:r>
        <w:rPr>
          <w:rFonts w:ascii="Arial" w:cs="Arial" w:eastAsia="Arial" w:hAnsi="Arial"/>
          <w:color w:val="1A1A2E"/>
          <w:sz w:val="20"/>
          <w:szCs w:val="20"/>
        </w:rPr>
        <w:t xml:space="preserve">Forrester Research denomina 2026 como el </w:t>
      </w:r>
      <w:r>
        <w:rPr>
          <w:rFonts w:ascii="Arial" w:cs="Arial" w:eastAsia="Arial" w:hAnsi="Arial"/>
          <w:b/>
          <w:bCs/>
          <w:color w:val="1A1A2E"/>
          <w:sz w:val="20"/>
          <w:szCs w:val="20"/>
        </w:rPr>
        <w:t xml:space="preserve">'año de la prueba'</w:t>
      </w:r>
      <w:r>
        <w:rPr>
          <w:rFonts w:ascii="Arial" w:cs="Arial" w:eastAsia="Arial" w:hAnsi="Arial"/>
          <w:color w:val="1A1A2E"/>
          <w:sz w:val="20"/>
          <w:szCs w:val="20"/>
        </w:rPr>
        <w:t xml:space="preserve"> para la IA enterprise: las organizaciones ya no aceptan políticas éticas y marcos de gobernanza como evidencia — demandan prueba verificable de impacto en negocio (productividad, revenue, security improvements) y de ética en producción (no solo en documentos). Esto cambia la naturaleza del due diligence: el análisis filosófico de las Fases 1-2 se convierte en </w:t>
      </w:r>
      <w:r>
        <w:rPr>
          <w:rFonts w:ascii="Arial" w:cs="Arial" w:eastAsia="Arial" w:hAnsi="Arial"/>
          <w:b/>
          <w:bCs/>
          <w:color w:val="1A1A2E"/>
          <w:sz w:val="20"/>
          <w:szCs w:val="20"/>
        </w:rPr>
        <w:t xml:space="preserve">auditoría de comportamiento real</w:t>
      </w:r>
      <w:r>
        <w:rPr>
          <w:rFonts w:ascii="Arial" w:cs="Arial" w:eastAsia="Arial" w:hAnsi="Arial"/>
          <w:color w:val="1A1A2E"/>
          <w:sz w:val="20"/>
          <w:szCs w:val="20"/>
        </w:rPr>
        <w:t xml:space="preserve"> — ¿el proveedor cumple sus compromisos en producción, no solo en sus ToS?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8.3.3 Modelos Pequeños y Open Source: Disrupción del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 DE MERCADO</w:t>
            </w:r>
          </w:p>
        </w:tc>
        <w:tc>
          <w:tcPr>
            <w:tcW w:type="dxa" w:w="57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IMPLICACIÓN</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Airbnb recientemente eligió un modelo open source chino en lugar de OpenAI para un caso de uso específico. Cursor ('Composer') aparentemente construido sobre modelos similares. MIT + Hugging Face: descarga de modelos open source chinos ya supera a oferta de EE.UU. en share total (datos Q4 2025).</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modelos open source están 1-2 órdenes de magnitud más baratos por token que los modelos frontier cerrados. Para casos de uso no regulados con tolerancia a menor precisión, el modelo open source self-hosted (Meta Llama, Mistral) puede ofrecer un ROI superior.</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Tiny Recursive Models (10,000x más pequeños que modelos frontier) emergen como performers prometedores en tareas de lógica específicas (datos Q4 2025, Sapphire Ventures).</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Las organizaciones que hoy construyen dependencias profundas con un único modelo frontier están asumiendo riesgo de vendor lock-in en un mercado que se commoditiza rápidamente.</w:t>
            </w:r>
          </w:p>
        </w:tc>
      </w:tr>
      <w:tr>
        <w:tc>
          <w:tcPr>
            <w:tcW w:type="dxa" w:w="3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InformationWeek / Ashmore (2026): 'El motor del agente en sí se convertirá en un componente reemplazable. Úsalo ahora para aprender qué funciona, pero arquitecta tu stack para poder intercambiar innovaciones del vendor a medida que maduren.'</w:t>
            </w:r>
          </w:p>
        </w:tc>
        <w:tc>
          <w:tcPr>
            <w:tcW w:type="dxa" w:w="57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recomendación de arquitectura: invertir en lo que persiste independientemente de qué framework agéntico gane: (1) conocimiento del dominio de alta calidad, (2) datasets golden y suites de evaluación, (3) políticas de seguridad y gobernanza, (4) métricas de confianza y costo-efectividad.</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8.3.4 IPOs Inminentes: Cambio de Control y Riesgo de Gobernanza</w:t>
      </w:r>
    </w:p>
    <w:p>
      <w:pPr>
        <w:spacing w:before="60" w:after="100"/>
      </w:pPr>
      <w:r>
        <w:rPr>
          <w:rFonts w:ascii="Arial" w:cs="Arial" w:eastAsia="Arial" w:hAnsi="Arial"/>
          <w:color w:val="1A1A2E"/>
          <w:sz w:val="20"/>
          <w:szCs w:val="20"/>
        </w:rPr>
        <w:t xml:space="preserve">Constellation Research y Sapphire Ventures predicen que </w:t>
      </w:r>
      <w:r>
        <w:rPr>
          <w:rFonts w:ascii="Arial" w:cs="Arial" w:eastAsia="Arial" w:hAnsi="Arial"/>
          <w:b/>
          <w:bCs/>
          <w:color w:val="1A1A2E"/>
          <w:sz w:val="20"/>
          <w:szCs w:val="20"/>
        </w:rPr>
        <w:t xml:space="preserve">OpenAI y Anthropic probablemente presenten S-1 (solicitud de OPV) antes de finales de 2026</w:t>
      </w:r>
      <w:r>
        <w:rPr>
          <w:rFonts w:ascii="Arial" w:cs="Arial" w:eastAsia="Arial" w:hAnsi="Arial"/>
          <w:color w:val="1A1A2E"/>
          <w:sz w:val="20"/>
          <w:szCs w:val="20"/>
        </w:rPr>
        <w:t xml:space="preserve">. Anthropic ya está en proceso de exploración de IPO dual (discusiones tempranas + financiamiento privado que podría elevar su valoración por encima de $300B). Esto tiene implicaciones directas para la gobernanza del proveedor: los compromisos éticos de una empresa privada respaldada por inversión de impacto pueden cambiar bajo presión de mercados públicos por rentabilidad trimestral. Los equipos de procurement deben incluir en sus contratos </w:t>
      </w:r>
      <w:r>
        <w:rPr>
          <w:rFonts w:ascii="Arial" w:cs="Arial" w:eastAsia="Arial" w:hAnsi="Arial"/>
          <w:b/>
          <w:bCs/>
          <w:color w:val="1A1A2E"/>
          <w:sz w:val="20"/>
          <w:szCs w:val="20"/>
        </w:rPr>
        <w:t xml:space="preserve">cláusulas de cambio de control</w:t>
      </w:r>
      <w:r>
        <w:rPr>
          <w:rFonts w:ascii="Arial" w:cs="Arial" w:eastAsia="Arial" w:hAnsi="Arial"/>
          <w:color w:val="1A1A2E"/>
          <w:sz w:val="20"/>
          <w:szCs w:val="20"/>
        </w:rPr>
        <w:t xml:space="preserve"> que protejan los términos negociados ante un IPO o adquisición.</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8.3.5 Valoraciones y Concentración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2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VALORACIÓN (Q4 2025)</w:t>
            </w:r>
          </w:p>
        </w:tc>
        <w:tc>
          <w:tcPr>
            <w:tcW w:type="dxa" w:w="4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CONTEXTO E IMPLICACIÓN</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OpenAI</w:t>
            </w:r>
          </w:p>
        </w:tc>
        <w:tc>
          <w:tcPr>
            <w:tcW w:type="dxa" w:w="24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5"/>
                <w:szCs w:val="15"/>
              </w:rPr>
              <w:t xml:space="preserve">$500B (oct. 2025); buscando $750-830B en Q1 2026</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Valoración 300% superior a oct. 2024. Empresa más valiosa del mercado privado global si alcanza el target. El tamaño no garantiza estabilidad ética — tamaño crea presión por monetización.</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Anthropic</w:t>
            </w:r>
          </w:p>
        </w:tc>
        <w:tc>
          <w:tcPr>
            <w:tcW w:type="dxa" w:w="24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5"/>
                <w:szCs w:val="15"/>
              </w:rPr>
              <w:t xml:space="preserve">$350B (nov. 2025) — Series G $15B liderado por ICONIQ, con Microsoft y Nvidia</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Crecimiento de $183B a $350B en 60 días (sep-nov 2025) — la apreciación de valoración a gran escala más rápida en la historia del venture. Revenue: de $87M a $7B anualizado en &lt;2 años.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xAI / Grok</w:t>
            </w:r>
          </w:p>
        </w:tc>
        <w:tc>
          <w:tcPr>
            <w:tcW w:type="dxa" w:w="24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5"/>
                <w:szCs w:val="15"/>
              </w:rPr>
              <w:t xml:space="preserve">$230B (dic. 2025) — Serie +$15B</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Cerrando la brecha de rendimiento de modelos. Control total de Elon Musk. Integración con X (Twitter) genera datos de entrenamiento únicos pero con consideraciones éticas sobre privacidad de usuarios.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Microsoft (Azure OpenAI)</w:t>
            </w:r>
          </w:p>
        </w:tc>
        <w:tc>
          <w:tcPr>
            <w:tcW w:type="dxa" w:w="24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5"/>
                <w:szCs w:val="15"/>
              </w:rPr>
              <w:t xml:space="preserve">Empresa pública — capitalización &gt;$3T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inversión en OpenAI ($13B) convierte a Microsoft en stakeholder clave de la evolución estratégica de OpenAI. La relación se ha descrito como 'frenemies' — tensión entre colaboración e intereses propios.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Google</w:t>
            </w:r>
          </w:p>
        </w:tc>
        <w:tc>
          <w:tcPr>
            <w:tcW w:type="dxa" w:w="24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5"/>
                <w:szCs w:val="15"/>
              </w:rPr>
              <w:t xml:space="preserve">Empresa pública — capitalización &gt;$2T</w:t>
            </w:r>
          </w:p>
        </w:tc>
        <w:tc>
          <w:tcPr>
            <w:tcW w:type="dxa" w:w="4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Google Cloud Q4 2025: revenue de $17.7B, +48% YoY. Uso de Gemini 'en aumento pronunciado'. La posición financiera más sólida de todos los proveedores, con menor presión por ROI a corto plazo.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8.4 10 CONCLUSIONES ESTRATÉGICAS DEL INFORME COMPLETO</w:t>
      </w:r>
    </w:p>
    <w:p>
      <w:pPr>
        <w:pBdr>
          <w:bottom w:val="single" w:color="BDD7EE" w:sz="4"/>
        </w:pBdr>
        <w:spacing w:before="80" w:after="80"/>
      </w:pPr>
    </w:p>
    <w:p>
      <w:pPr>
        <w:spacing w:before="60" w:after="100"/>
      </w:pPr>
      <w:r>
        <w:rPr>
          <w:rFonts w:ascii="Arial" w:cs="Arial" w:eastAsia="Arial" w:hAnsi="Arial"/>
          <w:color w:val="1A1A2E"/>
          <w:sz w:val="20"/>
          <w:szCs w:val="20"/>
        </w:rPr>
        <w:t xml:space="preserve">Las siguientes 10 conclusiones sintetizan los hallazgos más accionables de las 8 fases del análisis. Son el destilado ejecutivo de más de 150 referencias, 6 dimensiones de due diligence y el análisis de 16 proveedores en un contexto regulatorio y de mercado en transformación acelerada.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FILOSOFÍA SIN IMPLEMENTACIÓN VERIFICABLE NO TIENE VALOR EN DUE DILIGENCE</w:t>
            </w:r>
          </w:p>
        </w:tc>
      </w:tr>
    </w:tbl>
    <w:p>
      <w:pPr>
        <w:spacing w:before="60" w:after="120"/>
        <w:ind w:left="700"/>
      </w:pPr>
      <w:r>
        <w:rPr>
          <w:rFonts w:ascii="Arial" w:cs="Arial" w:eastAsia="Arial" w:hAnsi="Arial"/>
          <w:color w:val="1A1A2E"/>
          <w:sz w:val="18"/>
          <w:szCs w:val="18"/>
        </w:rPr>
        <w:t xml:space="preserve">Todos los proveedores del Tier 1-2 publican principios éticos elaborados. La diferencia entre Microsoft y DeepSeek no está en los principios publicados (DeepSeek no publica ninguno) sino en los mecanismos verificables de implementación: Constitutional AI con RSP (Anthropic), Responsible AI Standard con Transparency Notes (Microsoft), AI Principles con Model Cards (Google). La Fase 3 demostró que la transparencia operacional — no la retórica filosófica — es el predictor más fiable de madurez ética real.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2</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EL VACÍO DE INDEMNIZACIÓN IP ES EL RIESGO JURÍDICO #1 EN 2026</w:t>
            </w:r>
          </w:p>
        </w:tc>
      </w:tr>
    </w:tbl>
    <w:p>
      <w:pPr>
        <w:spacing w:before="60" w:after="120"/>
        <w:ind w:left="700"/>
      </w:pPr>
      <w:r>
        <w:rPr>
          <w:rFonts w:ascii="Arial" w:cs="Arial" w:eastAsia="Arial" w:hAnsi="Arial"/>
          <w:color w:val="1A1A2E"/>
          <w:sz w:val="18"/>
          <w:szCs w:val="18"/>
        </w:rPr>
        <w:t xml:space="preserve">La litigación activa en IA (NYT vs. OpenAI, Getty Images vs. Stability AI, Concord vs. Anthropic —resuelto en $1.5B agosto 2025—) convierte la indemnización IP en criterio de contratación no negociable para sectores regulados. Solo Microsoft y OpenAI tienen términos IP públicamente verificables con indemnización de outputs. Anthropic la ofrece en enterprise pero sin términos públicos. El 'modelo Bedrock' crea un vacío crítico: AWS indemniza solo Titan y CodeWhisperer — los clientes que usan Claude vía Bedrock no tienen la indemnización de Anthropic Enterprise.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3</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ZERO DATA RETENTION ES EL DIFERENCIADOR #1 PARA SALUD Y FINANCIERO</w:t>
            </w:r>
          </w:p>
        </w:tc>
      </w:tr>
    </w:tbl>
    <w:p>
      <w:pPr>
        <w:spacing w:before="60" w:after="120"/>
        <w:ind w:left="700"/>
      </w:pPr>
      <w:r>
        <w:rPr>
          <w:rFonts w:ascii="Arial" w:cs="Arial" w:eastAsia="Arial" w:hAnsi="Arial"/>
          <w:color w:val="1A1A2E"/>
          <w:sz w:val="18"/>
          <w:szCs w:val="18"/>
        </w:rPr>
        <w:t xml:space="preserve">Anthropic es el único proveedor con ZDR documentado a nivel N1 ('No prompts, outputs, or metadata are persisted'). Microsoft ofrece near-zero con monitoring override. OpenAI mantiene 30 días incluso en enterprise sin ZDR completo documentado. Para organizaciones con PHI (salud), datos de clientes (financiero) o privilegio attorney-client (legal), ZDR es pre-requisito, no diferenciador opcional.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4</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LA IA AGÉNTICA REQUIERE UN CAMBIO PARADIGMÁTICO EN CONTROLES DE SEGURIDAD</w:t>
            </w:r>
          </w:p>
        </w:tc>
      </w:tr>
    </w:tbl>
    <w:p>
      <w:pPr>
        <w:spacing w:before="60" w:after="120"/>
        <w:ind w:left="700"/>
      </w:pPr>
      <w:r>
        <w:rPr>
          <w:rFonts w:ascii="Arial" w:cs="Arial" w:eastAsia="Arial" w:hAnsi="Arial"/>
          <w:color w:val="1A1A2E"/>
          <w:sz w:val="18"/>
          <w:szCs w:val="18"/>
        </w:rPr>
        <w:t xml:space="preserve">El OWASP Agentic Top 10 (dic. 2025) documenta 10 vectores de ataque nuevos que los frameworks de seguridad tradicionales no fueron diseñados para manejar. El 48% de los profesionales de ciberseguridad identifican la IA agéntica como el vector de ataque #1 para 2026. El principio de 'Menor Agencia' — dar a los agentes solo el nivel mínimo de autonomía necesario — y la 'Observabilidad Fuerte' son controles obligatorios, no opcionales. Cualquier deployment de agentes sin estos controles es un riesgo operacional y regulatorio inmediato.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5</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SHADOW AI ES UNA CRISIS SILENCIOSA QUE YA TIENE COSTO MEDIDO</w:t>
            </w:r>
          </w:p>
        </w:tc>
      </w:tr>
    </w:tbl>
    <w:p>
      <w:pPr>
        <w:spacing w:before="60" w:after="120"/>
        <w:ind w:left="700"/>
      </w:pPr>
      <w:r>
        <w:rPr>
          <w:rFonts w:ascii="Arial" w:cs="Arial" w:eastAsia="Arial" w:hAnsi="Arial"/>
          <w:color w:val="1A1A2E"/>
          <w:sz w:val="18"/>
          <w:szCs w:val="18"/>
        </w:rPr>
        <w:t xml:space="preserve">El 65% de las herramientas de IA en organizaciones operan sin aprobación de TI o seguridad (IAPP 2025). Shadow AI ya representa el 20% de todas las brechas de datos con un costo diferencial de $670,000 por brecha (IBM 2025). La estrategia de solo bloquear genera resistencia y desplaza el Shadow AI a canales más ocultos. La estrategia efectiva combina bloqueo de herramientas no aprobadas con provisión de alternativas enterprise aprobadas que satisfagan las necesidades reales de los usuarios de negocio.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6</w:t>
            </w:r>
          </w:p>
        </w:tc>
        <w:tc>
          <w:tcPr>
            <w:tcW w:type="dxa" w:w="87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EL EU AI ACT ES URGENTE: 6 MESES PARA EL DEADLINE DE SISTEMAS ALTO RIESGO</w:t>
            </w:r>
          </w:p>
        </w:tc>
      </w:tr>
    </w:tbl>
    <w:p>
      <w:pPr>
        <w:spacing w:before="60" w:after="120"/>
        <w:ind w:left="700"/>
      </w:pPr>
      <w:r>
        <w:rPr>
          <w:rFonts w:ascii="Arial" w:cs="Arial" w:eastAsia="Arial" w:hAnsi="Arial"/>
          <w:color w:val="1A1A2E"/>
          <w:sz w:val="18"/>
          <w:szCs w:val="18"/>
        </w:rPr>
        <w:t xml:space="preserve">Agosto 2026 es el deadline para compliance de sistemas de IA de alto riesgo (Annex III). Las estimaciones de tiempo de implementación sugieren que organizaciones que comienzan hoy 'apenas tienen tiempo suficiente' (K&amp;L Gates, enero 2026). Las multas son de hasta €35M o 7% de facturación global. La aplicabilidad es extraterritorial — organizaciones LATAM con clientes o filiales en la UE están en scope. La estrategia 'Build Once, Comply Everywhere' (ISO 42001 + NIST AI RMF + EU AI Act) es 35-45% más eficiente que implementaciones independientes.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7</w:t>
            </w:r>
          </w:p>
        </w:tc>
        <w:tc>
          <w:tcPr>
            <w:tcW w:type="dxa" w:w="87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LA CONSOLIDACIÓN DEL MERCADO HACE MÁS CRÍTICA LA SELECCIÓN INICIAL</w:t>
            </w:r>
          </w:p>
        </w:tc>
      </w:tr>
    </w:tbl>
    <w:p>
      <w:pPr>
        <w:spacing w:before="60" w:after="120"/>
        <w:ind w:left="700"/>
      </w:pPr>
      <w:r>
        <w:rPr>
          <w:rFonts w:ascii="Arial" w:cs="Arial" w:eastAsia="Arial" w:hAnsi="Arial"/>
          <w:color w:val="1A1A2E"/>
          <w:sz w:val="18"/>
          <w:szCs w:val="18"/>
        </w:rPr>
        <w:t xml:space="preserve">2026 es el año en que las organizaciones pasan de experimentar con múltiples proveedores a concentrar apuesta en 1-2. Esta concentración hace que el costo de un error de selección sea significativamente mayor. El análisis de las 8 fases provee el framework para que esta decisión se tome con evidencia, no solo con el impulso del hype o las recomendaciones del proveedor. La portabilidad de datos y los planes de salida contractuales deben ser parte del contrato inicial — no una reflexión posterior.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8</w:t>
            </w:r>
          </w:p>
        </w:tc>
        <w:tc>
          <w:tcPr>
            <w:tcW w:type="dxa" w:w="87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LOS PROVEEDORES CHINOS SON INCOMPATIBLES CON REQUISITOS REGULADOS EN OCCIDENTE</w:t>
            </w:r>
          </w:p>
        </w:tc>
      </w:tr>
    </w:tbl>
    <w:p>
      <w:pPr>
        <w:spacing w:before="60" w:after="120"/>
        <w:ind w:left="700"/>
      </w:pPr>
      <w:r>
        <w:rPr>
          <w:rFonts w:ascii="Arial" w:cs="Arial" w:eastAsia="Arial" w:hAnsi="Arial"/>
          <w:color w:val="1A1A2E"/>
          <w:sz w:val="18"/>
          <w:szCs w:val="18"/>
        </w:rPr>
        <w:t xml:space="preserve">DeepSeek almacena datos en China (PIPL + CLOUD Act), no ofrece ZDR, comparte datos con terceros incluyendo socios publicitarios. Alibaba, Tencent y Huawei están sujetos al PIPL 2021, que permite acceso gubernamental chino a datos procesados por empresas chinas incluso en servidores externos. Esta incompatibilidad no es ideológica — es jurídica y regulatoria. El uso de estos proveedores para datos de ciudadanos europeos (GDPR) o datos de salud (HIPAA) expone a las organizaciones a sanciones regulatorias directas.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9</w:t>
            </w:r>
          </w:p>
        </w:tc>
        <w:tc>
          <w:tcPr>
            <w:tcW w:type="dxa" w:w="876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LOS IPOS INMINENTES CAMBIAN EL PERFIL DE RIESGO DE ANTHROPIC Y OPENAI</w:t>
            </w:r>
          </w:p>
        </w:tc>
      </w:tr>
    </w:tbl>
    <w:p>
      <w:pPr>
        <w:spacing w:before="60" w:after="120"/>
        <w:ind w:left="700"/>
      </w:pPr>
      <w:r>
        <w:rPr>
          <w:rFonts w:ascii="Arial" w:cs="Arial" w:eastAsia="Arial" w:hAnsi="Arial"/>
          <w:color w:val="1A1A2E"/>
          <w:sz w:val="18"/>
          <w:szCs w:val="18"/>
        </w:rPr>
        <w:t xml:space="preserve">Si OpenAI y Anthropic presentan S-1 en 2026, los compromisos éticos actuales — tomados como empresa privada con gobernanza de impact investing — quedarán bajo presión de las exigencias de los mercados públicos por rentabilidad. Los contratos enterprise firmados antes del IPO deben incluir cláusulas de cambio de control. Los equipos de gobernanza deben monitorear si los IPOs resultaron en cambios de política de entrenamiento, pricing o términos de servicio.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10</w:t>
            </w:r>
          </w:p>
        </w:tc>
        <w:tc>
          <w:tcPr>
            <w:tcW w:type="dxa" w:w="87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LA GOBERNANZA DE IA ES UNA CAPACIDAD ORGANIZACIONAL PERMANENTE, NO UN PROYECTO</w:t>
            </w:r>
          </w:p>
        </w:tc>
      </w:tr>
    </w:tbl>
    <w:p>
      <w:pPr>
        <w:spacing w:before="60" w:after="120"/>
        <w:ind w:left="700"/>
      </w:pPr>
      <w:r>
        <w:rPr>
          <w:rFonts w:ascii="Arial" w:cs="Arial" w:eastAsia="Arial" w:hAnsi="Arial"/>
          <w:color w:val="1A1A2E"/>
          <w:sz w:val="18"/>
          <w:szCs w:val="18"/>
        </w:rPr>
        <w:t xml:space="preserve">El error más común en 2024-2025 fue tratar la gobernanza de IA como un proyecto con inicio y fin. El análisis de las 8 fases demuestra que el contexto cambia continuamente: los proveedores actualizan sus modelos sin notificación, los marcos regulatorios evolucionan, los riesgos agénticos emergen con cada nueva capacidad. El comité de gobernanza de IA, el monitoreo continuo de proveedores, el scorecard de madurez y el AI IRP son capacidades permanentes que deben institucionalizarse, no proyectos puntuales que se 'completan'.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8.5 HOJA DE RUTA DE IMPLEMENTACIÓN: 90 / 180 / 365 DÍAS</w:t>
      </w:r>
    </w:p>
    <w:p>
      <w:pPr>
        <w:pBdr>
          <w:bottom w:val="single" w:color="BDD7EE" w:sz="4"/>
        </w:pBdr>
        <w:spacing w:before="80" w:after="80"/>
      </w:pPr>
    </w:p>
    <w:p>
      <w:pPr>
        <w:spacing w:before="60" w:after="100"/>
      </w:pPr>
      <w:r>
        <w:rPr>
          <w:rFonts w:ascii="Arial" w:cs="Arial" w:eastAsia="Arial" w:hAnsi="Arial"/>
          <w:color w:val="1A1A2E"/>
          <w:sz w:val="20"/>
          <w:szCs w:val="20"/>
        </w:rPr>
        <w:t xml:space="preserve">La hoja de ruta traduce los hallazgos del informe en acciones concretas secuenciadas. Está diseñada para una organización enterprise en sector regulado (financiero, salud o gobierno) que inicia o consolida su estrategia de IA en febrero de 2026. El timeline no es lineal — varias pistas corren en paralelo.</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PISTA A: Selección y Contratación de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1-90 (Q1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91-180 (Q2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181-365 (H2 2026)</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bCs/>
                <w:color w:val="1A1A2E"/>
                <w:sz w:val="16"/>
                <w:szCs w:val="16"/>
              </w:rPr>
              <w:t xml:space="preserve">Selección</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SEMANAS 1-2:</w:t>
            </w:r>
            <w:r>
              <w:rPr>
                <w:rFonts w:ascii="Arial" w:cs="Arial" w:eastAsia="Arial" w:hAnsi="Arial"/>
                <w:color w:val="1A1A2E"/>
                <w:sz w:val="20"/>
                <w:szCs w:val="20"/>
              </w:rPr>
              <w:t xml:space="preserve"> Aplicar Fase 5 (sectorial) para filtrar proveedores incompatibles con el sector.</w:t>
            </w:r>
          </w:p>
          <w:p>
            <w:pPr>
              <w:spacing w:before="0" w:after="40"/>
            </w:pPr>
            <w:r>
              <w:rPr>
                <w:rFonts w:ascii="Arial" w:cs="Arial" w:eastAsia="Arial" w:hAnsi="Arial"/>
                <w:b/>
                <w:bCs/>
                <w:color w:val="1A1A2E"/>
                <w:sz w:val="20"/>
                <w:szCs w:val="20"/>
              </w:rPr>
              <w:t xml:space="preserve">SEMANAS 3-6:</w:t>
            </w:r>
            <w:r>
              <w:rPr>
                <w:rFonts w:ascii="Arial" w:cs="Arial" w:eastAsia="Arial" w:hAnsi="Arial"/>
                <w:color w:val="1A1A2E"/>
                <w:sz w:val="20"/>
                <w:szCs w:val="20"/>
              </w:rPr>
              <w:t xml:space="preserve"> Solicitar RFP formal a Tier 1-2. Incluir: ZDR addendum, BAA/DPA, términos de indemnización IP, SLAs.</w:t>
            </w:r>
          </w:p>
          <w:p>
            <w:pPr>
              <w:spacing w:before="0" w:after="0"/>
            </w:pPr>
            <w:r>
              <w:rPr>
                <w:rFonts w:ascii="Arial" w:cs="Arial" w:eastAsia="Arial" w:hAnsi="Arial"/>
                <w:b/>
                <w:bCs/>
                <w:color w:val="1A1A2E"/>
                <w:sz w:val="20"/>
                <w:szCs w:val="20"/>
              </w:rPr>
              <w:t xml:space="preserve">SEMANAS 7-12:</w:t>
            </w:r>
            <w:r>
              <w:rPr>
                <w:rFonts w:ascii="Arial" w:cs="Arial" w:eastAsia="Arial" w:hAnsi="Arial"/>
                <w:color w:val="1A1A2E"/>
                <w:sz w:val="20"/>
                <w:szCs w:val="20"/>
              </w:rPr>
              <w:t xml:space="preserve"> Evaluar respuestas contra Fase 6 (contractual). Negociar cláusulas de cambio de control e IPO. Iniciar POC técnico.</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MES 4-5:</w:t>
            </w:r>
            <w:r>
              <w:rPr>
                <w:rFonts w:ascii="Arial" w:cs="Arial" w:eastAsia="Arial" w:hAnsi="Arial"/>
                <w:color w:val="1A1A2E"/>
                <w:sz w:val="20"/>
                <w:szCs w:val="20"/>
              </w:rPr>
              <w:t xml:space="preserve"> Firmar contrato enterprise con addenda de seguridad. Registrar en inventario de IA.</w:t>
            </w:r>
          </w:p>
          <w:p>
            <w:pPr>
              <w:spacing w:before="0" w:after="0"/>
            </w:pPr>
            <w:r>
              <w:rPr>
                <w:rFonts w:ascii="Arial" w:cs="Arial" w:eastAsia="Arial" w:hAnsi="Arial"/>
                <w:b/>
                <w:bCs/>
                <w:color w:val="1A1A2E"/>
                <w:sz w:val="20"/>
                <w:szCs w:val="20"/>
              </w:rPr>
              <w:t xml:space="preserve">MES 6:</w:t>
            </w:r>
            <w:r>
              <w:rPr>
                <w:rFonts w:ascii="Arial" w:cs="Arial" w:eastAsia="Arial" w:hAnsi="Arial"/>
                <w:color w:val="1A1A2E"/>
                <w:sz w:val="20"/>
                <w:szCs w:val="20"/>
              </w:rPr>
              <w:t xml:space="preserve"> Completar implementación técnica. Configurar ZDR si aplica. Activar SSO/SAML.</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MES 7-9:</w:t>
            </w:r>
            <w:r>
              <w:rPr>
                <w:rFonts w:ascii="Arial" w:cs="Arial" w:eastAsia="Arial" w:hAnsi="Arial"/>
                <w:color w:val="1A1A2E"/>
                <w:sz w:val="20"/>
                <w:szCs w:val="20"/>
              </w:rPr>
              <w:t xml:space="preserve"> Primera revisión de rendimiento vs. SLA negociado. Actualizar scoring de proveedor.</w:t>
            </w:r>
          </w:p>
          <w:p>
            <w:pPr>
              <w:spacing w:before="0" w:after="0"/>
            </w:pPr>
            <w:r>
              <w:rPr>
                <w:rFonts w:ascii="Arial" w:cs="Arial" w:eastAsia="Arial" w:hAnsi="Arial"/>
                <w:b/>
                <w:bCs/>
                <w:color w:val="1A1A2E"/>
                <w:sz w:val="20"/>
                <w:szCs w:val="20"/>
              </w:rPr>
              <w:t xml:space="preserve">MES 10-12:</w:t>
            </w:r>
            <w:r>
              <w:rPr>
                <w:rFonts w:ascii="Arial" w:cs="Arial" w:eastAsia="Arial" w:hAnsi="Arial"/>
                <w:color w:val="1A1A2E"/>
                <w:sz w:val="20"/>
                <w:szCs w:val="20"/>
              </w:rPr>
              <w:t xml:space="preserve"> Revisión contractual anual. Evaluar si el proveedor IPO afecta los términos. Re-evaluación del mercado.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PISTA B: Gobernanza 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1-90 (Q1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91-180 (Q2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181-365 (H2 2026)</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bCs/>
                <w:color w:val="1A1A2E"/>
                <w:sz w:val="16"/>
                <w:szCs w:val="16"/>
              </w:rPr>
              <w:t xml:space="preserve">Gobernanza</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SEMANA 1:</w:t>
            </w:r>
            <w:r>
              <w:rPr>
                <w:rFonts w:ascii="Arial" w:cs="Arial" w:eastAsia="Arial" w:hAnsi="Arial"/>
                <w:color w:val="1A1A2E"/>
                <w:sz w:val="20"/>
                <w:szCs w:val="20"/>
              </w:rPr>
              <w:t xml:space="preserve"> Constituir AI Governance Committee con RACI (CISO, Legal, Compliance, CTO, Negocio).</w:t>
            </w:r>
          </w:p>
          <w:p>
            <w:pPr>
              <w:spacing w:before="0" w:after="40"/>
            </w:pPr>
            <w:r>
              <w:rPr>
                <w:rFonts w:ascii="Arial" w:cs="Arial" w:eastAsia="Arial" w:hAnsi="Arial"/>
                <w:b/>
                <w:bCs/>
                <w:color w:val="1A1A2E"/>
                <w:sz w:val="20"/>
                <w:szCs w:val="20"/>
              </w:rPr>
              <w:t xml:space="preserve">SEMANA 2-4:</w:t>
            </w:r>
            <w:r>
              <w:rPr>
                <w:rFonts w:ascii="Arial" w:cs="Arial" w:eastAsia="Arial" w:hAnsi="Arial"/>
                <w:color w:val="1A1A2E"/>
                <w:sz w:val="20"/>
                <w:szCs w:val="20"/>
              </w:rPr>
              <w:t xml:space="preserve"> Completar inventario de todos los sistemas de IA en producción incluyendo Shadow AI. Clasificar EU AI Act.</w:t>
            </w:r>
          </w:p>
          <w:p>
            <w:pPr>
              <w:spacing w:before="0" w:after="0"/>
            </w:pPr>
            <w:r>
              <w:rPr>
                <w:rFonts w:ascii="Arial" w:cs="Arial" w:eastAsia="Arial" w:hAnsi="Arial"/>
                <w:b/>
                <w:bCs/>
                <w:color w:val="1A1A2E"/>
                <w:sz w:val="20"/>
                <w:szCs w:val="20"/>
              </w:rPr>
              <w:t xml:space="preserve">SEMANA 5-12:</w:t>
            </w:r>
            <w:r>
              <w:rPr>
                <w:rFonts w:ascii="Arial" w:cs="Arial" w:eastAsia="Arial" w:hAnsi="Arial"/>
                <w:color w:val="1A1A2E"/>
                <w:sz w:val="20"/>
                <w:szCs w:val="20"/>
              </w:rPr>
              <w:t xml:space="preserve"> Redactar AI Usage Policy. Implementar listas blancas/negras. Aplicar controles técnicos DLP para APIs de IA.</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MES 4-5:</w:t>
            </w:r>
            <w:r>
              <w:rPr>
                <w:rFonts w:ascii="Arial" w:cs="Arial" w:eastAsia="Arial" w:hAnsi="Arial"/>
                <w:color w:val="1A1A2E"/>
                <w:sz w:val="20"/>
                <w:szCs w:val="20"/>
              </w:rPr>
              <w:t xml:space="preserve"> Iniciar implementación ISO 42001 (o mapeo a NIST AI RMF si aún no está en el roadmap de certificación).</w:t>
            </w:r>
          </w:p>
          <w:p>
            <w:pPr>
              <w:spacing w:before="0" w:after="0"/>
            </w:pPr>
            <w:r>
              <w:rPr>
                <w:rFonts w:ascii="Arial" w:cs="Arial" w:eastAsia="Arial" w:hAnsi="Arial"/>
                <w:b/>
                <w:bCs/>
                <w:color w:val="1A1A2E"/>
                <w:sz w:val="20"/>
                <w:szCs w:val="20"/>
              </w:rPr>
              <w:t xml:space="preserve">MES 6:</w:t>
            </w:r>
            <w:r>
              <w:rPr>
                <w:rFonts w:ascii="Arial" w:cs="Arial" w:eastAsia="Arial" w:hAnsi="Arial"/>
                <w:color w:val="1A1A2E"/>
                <w:sz w:val="20"/>
                <w:szCs w:val="20"/>
              </w:rPr>
              <w:t xml:space="preserve"> Completar análisis de aplicabilidad EU AI Act. Clasificar sistemas alto riesgo. DEADLINE: preparar documentación técnica Art. 11 para sistemas clasificados.</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AGOSTO 2026 (MES 6-7):</w:t>
            </w:r>
            <w:r>
              <w:rPr>
                <w:rFonts w:ascii="Arial" w:cs="Arial" w:eastAsia="Arial" w:hAnsi="Arial"/>
                <w:b/>
                <w:bCs/>
                <w:color w:val="C00000"/>
                <w:sz w:val="20"/>
                <w:szCs w:val="20"/>
              </w:rPr>
              <w:t xml:space="preserve"> DEADLINE EU AI ACT sistemas alto riesgo.</w:t>
            </w:r>
          </w:p>
          <w:p>
            <w:pPr>
              <w:spacing w:before="0" w:after="40"/>
            </w:pPr>
            <w:r>
              <w:rPr>
                <w:rFonts w:ascii="Arial" w:cs="Arial" w:eastAsia="Arial" w:hAnsi="Arial"/>
                <w:b/>
                <w:bCs/>
                <w:color w:val="1A1A2E"/>
                <w:sz w:val="20"/>
                <w:szCs w:val="20"/>
              </w:rPr>
              <w:t xml:space="preserve">MES 8-10:</w:t>
            </w:r>
            <w:r>
              <w:rPr>
                <w:rFonts w:ascii="Arial" w:cs="Arial" w:eastAsia="Arial" w:hAnsi="Arial"/>
                <w:color w:val="1A1A2E"/>
                <w:sz w:val="20"/>
                <w:szCs w:val="20"/>
              </w:rPr>
              <w:t xml:space="preserve"> Primera auditoría formal contra ISO 42001 / NIST AI RMF. Actualizar AI IRP con lecciones de los primeros incidentes.</w:t>
            </w:r>
          </w:p>
          <w:p>
            <w:pPr>
              <w:spacing w:before="0" w:after="0"/>
            </w:pPr>
            <w:r>
              <w:rPr>
                <w:rFonts w:ascii="Arial" w:cs="Arial" w:eastAsia="Arial" w:hAnsi="Arial"/>
                <w:b/>
                <w:bCs/>
                <w:color w:val="1A1A2E"/>
                <w:sz w:val="20"/>
                <w:szCs w:val="20"/>
              </w:rPr>
              <w:t xml:space="preserve">MES 11-12:</w:t>
            </w:r>
            <w:r>
              <w:rPr>
                <w:rFonts w:ascii="Arial" w:cs="Arial" w:eastAsia="Arial" w:hAnsi="Arial"/>
                <w:color w:val="1A1A2E"/>
                <w:sz w:val="20"/>
                <w:szCs w:val="20"/>
              </w:rPr>
              <w:t xml:space="preserve"> Revisión anual del Scorecard de Madurez (Fase 7.8). Target: Nivel 3 en todas las dimensiones.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PISTA C: Seguridad Agéntica (OWASP)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FASE</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1-90 (Q1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91-180 (Q2 2026)</w:t>
            </w:r>
          </w:p>
        </w:tc>
        <w:tc>
          <w:tcPr>
            <w:tcW w:type="dxa" w:w="27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DÍA 181-365 (H2 2026)</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center"/>
            </w:pPr>
            <w:r>
              <w:rPr>
                <w:rFonts w:ascii="Arial" w:cs="Arial" w:eastAsia="Arial" w:hAnsi="Arial"/>
                <w:b/>
                <w:bCs/>
                <w:color w:val="1A1A2E"/>
                <w:sz w:val="16"/>
                <w:szCs w:val="16"/>
              </w:rPr>
              <w:t xml:space="preserve">Seguridad
Agéntica</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SEMANAS 1-4:</w:t>
            </w:r>
            <w:r>
              <w:rPr>
                <w:rFonts w:ascii="Arial" w:cs="Arial" w:eastAsia="Arial" w:hAnsi="Arial"/>
                <w:color w:val="1A1A2E"/>
                <w:sz w:val="20"/>
                <w:szCs w:val="20"/>
              </w:rPr>
              <w:t xml:space="preserve"> Inventariar todos los sistemas agénticos en producción o piloto. Identificar gaps vs. OWASP Agentic Top 10.</w:t>
            </w:r>
          </w:p>
          <w:p>
            <w:pPr>
              <w:spacing w:before="0" w:after="0"/>
            </w:pPr>
            <w:r>
              <w:rPr>
                <w:rFonts w:ascii="Arial" w:cs="Arial" w:eastAsia="Arial" w:hAnsi="Arial"/>
                <w:b/>
                <w:bCs/>
                <w:color w:val="1A1A2E"/>
                <w:sz w:val="20"/>
                <w:szCs w:val="20"/>
              </w:rPr>
              <w:t xml:space="preserve">SEMANAS 5-12:</w:t>
            </w:r>
            <w:r>
              <w:rPr>
                <w:rFonts w:ascii="Arial" w:cs="Arial" w:eastAsia="Arial" w:hAnsi="Arial"/>
                <w:color w:val="1A1A2E"/>
                <w:sz w:val="20"/>
                <w:szCs w:val="20"/>
              </w:rPr>
              <w:t xml:space="preserve"> Implementar controles ASI01-ASI03 (Goal Hijacking, Tool Misuse, Identity Abuse) — los tres críticos. Kill switches. Logging de agentes.</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MES 4-5:</w:t>
            </w:r>
            <w:r>
              <w:rPr>
                <w:rFonts w:ascii="Arial" w:cs="Arial" w:eastAsia="Arial" w:hAnsi="Arial"/>
                <w:color w:val="1A1A2E"/>
                <w:sz w:val="20"/>
                <w:szCs w:val="20"/>
              </w:rPr>
              <w:t xml:space="preserve"> Implementar controles ASI04-ASI07 (Supply Chain, Code Execution, Memory Poisoning, Multi-Agent Comms).</w:t>
            </w:r>
          </w:p>
          <w:p>
            <w:pPr>
              <w:spacing w:before="0" w:after="0"/>
            </w:pPr>
            <w:r>
              <w:rPr>
                <w:rFonts w:ascii="Arial" w:cs="Arial" w:eastAsia="Arial" w:hAnsi="Arial"/>
                <w:b/>
                <w:bCs/>
                <w:color w:val="1A1A2E"/>
                <w:sz w:val="20"/>
                <w:szCs w:val="20"/>
              </w:rPr>
              <w:t xml:space="preserve">MES 6:</w:t>
            </w:r>
            <w:r>
              <w:rPr>
                <w:rFonts w:ascii="Arial" w:cs="Arial" w:eastAsia="Arial" w:hAnsi="Arial"/>
                <w:color w:val="1A1A2E"/>
                <w:sz w:val="20"/>
                <w:szCs w:val="20"/>
              </w:rPr>
              <w:t xml:space="preserve"> Primer red team agéntico. Prueba de kill switches en entorno de staging.</w:t>
            </w:r>
          </w:p>
        </w:tc>
        <w:tc>
          <w:tcPr>
            <w:tcW w:type="dxa" w:w="27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40"/>
            </w:pPr>
            <w:r>
              <w:rPr>
                <w:rFonts w:ascii="Arial" w:cs="Arial" w:eastAsia="Arial" w:hAnsi="Arial"/>
                <w:b/>
                <w:bCs/>
                <w:color w:val="1A1A2E"/>
                <w:sz w:val="20"/>
                <w:szCs w:val="20"/>
              </w:rPr>
              <w:t xml:space="preserve">MES 7-9:</w:t>
            </w:r>
            <w:r>
              <w:rPr>
                <w:rFonts w:ascii="Arial" w:cs="Arial" w:eastAsia="Arial" w:hAnsi="Arial"/>
                <w:color w:val="1A1A2E"/>
                <w:sz w:val="20"/>
                <w:szCs w:val="20"/>
              </w:rPr>
              <w:t xml:space="preserve"> Implementar behavioral analytics para baseline de agentes. Alertas ante desvíos de ASI08-ASI10.</w:t>
            </w:r>
          </w:p>
          <w:p>
            <w:pPr>
              <w:spacing w:before="0" w:after="0"/>
            </w:pPr>
            <w:r>
              <w:rPr>
                <w:rFonts w:ascii="Arial" w:cs="Arial" w:eastAsia="Arial" w:hAnsi="Arial"/>
                <w:b/>
                <w:bCs/>
                <w:color w:val="1A1A2E"/>
                <w:sz w:val="20"/>
                <w:szCs w:val="20"/>
              </w:rPr>
              <w:t xml:space="preserve">MES 10-12:</w:t>
            </w:r>
            <w:r>
              <w:rPr>
                <w:rFonts w:ascii="Arial" w:cs="Arial" w:eastAsia="Arial" w:hAnsi="Arial"/>
                <w:color w:val="1A1A2E"/>
                <w:sz w:val="20"/>
                <w:szCs w:val="20"/>
              </w:rPr>
              <w:t xml:space="preserve"> Segundo red team agéntico anual. Actualizar controles según nuevas releases del OWASP framework.</w:t>
            </w:r>
          </w:p>
        </w:tc>
      </w:tr>
    </w:tbl>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Hito crítico: Agosto 2026: </w:t>
      </w:r>
      <w:r>
        <w:rPr>
          <w:rFonts w:ascii="Arial" w:cs="Arial" w:eastAsia="Arial" w:hAnsi="Arial"/>
          <w:color w:val="C00000"/>
          <w:sz w:val="18"/>
          <w:szCs w:val="18"/>
        </w:rPr>
        <w:t xml:space="preserve">El deadline EU AI Act para sistemas de alto riesgo es el 2 de agosto de 2026. Para una organización que comienza el proceso en febrero de 2026, quedan exactamente 6 meses. La documentación técnica (Art. 11), el sistema de gestión de riesgos (Art. 9), la supervisión humana (Art. 14) y el registro en la EU AI Database deben estar completados. Organizaciones en sectores financiero, salud y gobierno deben tratar este deadline como prioritario y no dependiente del backstop de diciembre 2027.</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8.6 GLOSARIO DE TÉRMINOS CLAVE</w:t>
      </w:r>
    </w:p>
    <w:p>
      <w:pPr>
        <w:pBdr>
          <w:bottom w:val="single" w:color="BDD7EE"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TÉRMINO</w:t>
            </w:r>
          </w:p>
        </w:tc>
        <w:tc>
          <w:tcPr>
            <w:tcW w:type="dxa" w:w="6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DEFINICIÓN EN CONTEXTO DEL INFORME</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Agentic AI / IA Agéntica</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Sistema de IA que no solo genera texto sino que planifica, decide, invoca herramientas externas (APIs, bases de datos, sistemas) y ejecuta acciones autónomas o semi-autónomas para alcanzar objetivos. Ejemplo: un agente que no solo redacta un email sino que lo envía, monitorea respuestas y actualiza el CRM.</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AI Alignment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Campo de investigación y conjunto de técnicas cuyo objetivo es asegurar que los sistemas de IA actúen en conformidad con los valores e intenciones humanas. Incluye RLHF, Constitutional AI y otras metodologías.</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BAA (Business Associate Agreement)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Acuerdo contractual requerido por HIPAA en EE.UU. entre una entidad cubierta y un proveedor de servicios que maneja PHI. Sin BAA firmado, el uso del proveedor para datos de salud es ilegal bajo HIPAA.</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BYOK (Bring Your Own Key)</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Capacidad de usar claves de cifrado propias en lugar de las manejadas por el proveedor, dando al cliente control total sobre la descifrado de sus datos. Anthropic lo anunció para H1 2026.</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Constitutional AI</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Técnica de alignment desarrollada por Anthropic en la que el modelo se entrena siguiendo un conjunto de principios (constitución) que guían su comportamiento, reduciendo la dependencia de feedback humano extensivo.</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DORA (Digital Operational Resilience Act)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Reglamento EU 2022/2554, vigente desde enero 2025. Establece requisitos de resiliencia operativa digital para entidades financieras, incluyendo contenido mínimo de contratos con proveedores TIC críticos (Art. 30).</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DPA (Data Processing Agreement)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Acuerdo contractual requerido por GDPR Art. 28 cuando un procesador (proveedor de IA) maneja datos personales en nombre del responsable (la organización cliente). Sin DPA firmado, el uso del proveedor para datos de ciudadanos europeos infringe el GDPR.</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EU AI Act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Reglamento EU 2024/1689. Primer marco regulatorio comprehensivo de IA a nivel mundial, con aplicación extraterritorial. Sistema de cuatro niveles de riesgo. Deadlines principales: feb. 2025 (prácticas prohibidas), ago. 2025 (GPAI), ago. 2026 (alto riesgo), ago. 2027 (plena aplicación).</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FedRAMP</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Federal Risk and Authorization Management Program. Estándar del gobierno federal de EE.UU. para la autorización de servicios cloud. FedRAMP High es el nivel más exigente, requerido para datos clasificados y sistemas de misión crítica.</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GPAI (General Purpose AI)</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Modelo de IA de propósito general — como los LLMs frontier (GPT-4, Claude, Gemini) — que puede realizar múltiples tareas sin ser diseñado para una sola aplicación. Sujeto a obligaciones específicas bajo el EU AI Act desde agosto 2025.</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IP Indemnity / Indemnización IP</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Compromiso contractual por el cual el proveedor asume la responsabilidad legal y financiera si un cliente es demandado por infracción de derechos de propiedad intelectual en los outputs generados por el sistema de IA.</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ISO 42001</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ISO/IEC 42001:2023. Primera norma internacional certificable dedicada a sistemas de gestión de IA. Se integra con ISO 27001. Puede ser evidencia de compliance para el EU AI Act.</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Kill Switch</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Mecanismo de control que permite detener inmediatamente el funcionamiento de un sistema de IA agéntico ante comportamiento anómalo, compromiso de seguridad o decisión de emergencia. Considerado control no negociable por el OWASP Agentic Top 10.</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Least Agency / Menor Agencia</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Principio de diseño para sistemas agénticos: dar al agente solo el nivel mínimo de autonomía necesario para completar su tarea definida. Extensión del Principio de Menor Privilegio (Least Privilege) al espacio de IA autónoma. Definido por OWASP Agentic Top 10 2026.</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LLM (Large Language Model)</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Modelo de lenguaje de gran escala — red neuronal entrenada en volúmenes masivos de texto para generar texto coherente. Base técnica de los sistemas como Claude, GPT-4, Gemini. Distinto de los sistemas agénticos que usan LLMs como componente cognitivo.</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MCP (Model Context Protocol)</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Protocolo abierto (Anthropic, 2024) para conexión estandarizada entre LLMs y sistemas externos (herramientas, fuentes de datos, servicios). Pieza central de arquitecturas agénticas. El primer MCP server malicioso fue descubierto en npm en septiembre de 2025.</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NIST AI RMF</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National Institute of Standards and Technology AI Risk Management Framework. Marco voluntario (EE.UU.) para la gestión de riesgos de IA. Cuatro funciones: Govern, Map, Measure, Manage. Versión 1.0 publicada enero 2023.</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PIPL</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Personal Information Protection Law (China, 2021). Ley de protección de datos personales de China. Permite el acceso gubernamental chino a datos personales procesados por empresas chinas. Incompatible con transferencias de datos de ciudadanos europeos bajo GDPR.</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RLHF (Reinforcement Learning from Human Feedback)</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Técnica de alignment en la que el modelo se entrena usando feedback de evaluadores humanos que comparan y clasifican respuestas del modelo. Base del entrenamiento de ChatGPT y muchos modelos comerciales.</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RSP (Responsible Scaling Policy)</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Política de escalado responsable de Anthropic que establece compromisos de no escalar capacidades del modelo antes de implementar medidas de seguridad adecuadas. Compromisos similares en otros labs: 'safety levels' en OpenAI, 'model cards + red teaming' en Google.</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Shadow AI</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Herramientas y modelos de IA desplegados dentro de una organización sin la aprobación o conocimiento de los equipos de TI y seguridad. El 65% de las herramientas de IA en organizaciones son Shadow AI (IAPP 2025).</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SLA (Service Level Agreement)</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Acuerdo de nivel de servicio que define las métricas de rendimiento y disponibilidad comprometidas por el proveedor, incluyendo consecuencias (service credits) ante incumplimiento. Solo Microsoft Azure OpenAI y AWS Bedrock publican SLAs de uptime (99.9%) verificables N1.</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SOC 2 Type II</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Auditoría de controles de seguridad realizada por un auditor independiente acreditado (AICPA) que verifica que los controles declarados por el proveedor operaron efectivamente durante un período de tiempo (típicamente 6-12 meses). Distinto del SOC 2 Type I que solo verifica diseño.</w:t>
            </w:r>
          </w:p>
        </w:tc>
      </w:tr>
      <w:tr>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2E75B6"/>
                <w:sz w:val="16"/>
                <w:szCs w:val="16"/>
              </w:rPr>
              <w:t xml:space="preserve">ZDR (Zero Data Retention)</w:t>
            </w:r>
          </w:p>
        </w:tc>
        <w:tc>
          <w:tcPr>
            <w:tcW w:type="dxa" w:w="6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Política bajo la cual el proveedor procesa las solicitudes de forma efímera sin persistir prompts, outputs ni metadatos tras completar la respuesta. Distinto de 'no usar datos para entrenamiento' — ZDR implica ambas garantías. Anthropic es el proveedor con ZDR mejor documentado públicamente (N1).</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8.7 REFERENCIAS (R181–R210)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Consolidación de Mercado y Tendencias Enterprise 2026:</w:t>
      </w:r>
    </w:p>
    <w:p>
      <w:pPr>
        <w:pStyle w:val="ListParagraph"/>
        <w:numPr>
          <w:ilvl w:val="0"/>
          <w:numId w:val="2"/>
        </w:numPr>
        <w:spacing w:before="30" w:after="40"/>
      </w:pPr>
      <w:r>
        <w:rPr>
          <w:rFonts w:ascii="Arial" w:cs="Arial" w:eastAsia="Arial" w:hAnsi="Arial"/>
          <w:color w:val="1A1A2E"/>
          <w:sz w:val="17"/>
          <w:szCs w:val="17"/>
        </w:rPr>
        <w:t xml:space="preserve">R181. TechCrunch, 'VCs predict enterprises will spend more on AI in 2026 — through fewer vendors', Becca Szkutak, diciembre 2025. Predicciones de Andrew Ferguson (Databricks Ventures), Harsha Kapre (Snowflake Ventures) y Rob Biederman (Asymmetric Capital Partners) sobre concentración de gasto.</w:t>
      </w:r>
    </w:p>
    <w:p>
      <w:pPr>
        <w:pStyle w:val="ListParagraph"/>
        <w:numPr>
          <w:ilvl w:val="0"/>
          <w:numId w:val="2"/>
        </w:numPr>
        <w:spacing w:before="30" w:after="40"/>
      </w:pPr>
      <w:r>
        <w:rPr>
          <w:rFonts w:ascii="Arial" w:cs="Arial" w:eastAsia="Arial" w:hAnsi="Arial"/>
          <w:color w:val="1A1A2E"/>
          <w:sz w:val="17"/>
          <w:szCs w:val="17"/>
        </w:rPr>
        <w:t xml:space="preserve">R182. Sapphire Ventures, '2026 Outlook: 10 AI Predictions Shaping Enterprise, Infrastructure &amp; the Next Wave of Innovation', diciembre 2025. Valoraciones: OpenAI $500B, Anthropic $350B, xAI $230B. IPOs previstos OpenAI y Anthropic.</w:t>
      </w:r>
    </w:p>
    <w:p>
      <w:pPr>
        <w:pStyle w:val="ListParagraph"/>
        <w:numPr>
          <w:ilvl w:val="0"/>
          <w:numId w:val="2"/>
        </w:numPr>
        <w:spacing w:before="30" w:after="40"/>
      </w:pPr>
      <w:r>
        <w:rPr>
          <w:rFonts w:ascii="Arial" w:cs="Arial" w:eastAsia="Arial" w:hAnsi="Arial"/>
          <w:color w:val="1A1A2E"/>
          <w:sz w:val="17"/>
          <w:szCs w:val="17"/>
        </w:rPr>
        <w:t xml:space="preserve">R183. InformationWeek, '2026 Enterprise AI Predictions: Fragmentation, Commodification and the Agent Push Facing CIOs', febrero 2026. LAMs vs. LLMs, modelos open source, estrategia de arquitectura modular.</w:t>
      </w:r>
    </w:p>
    <w:p>
      <w:pPr>
        <w:pStyle w:val="ListParagraph"/>
        <w:numPr>
          <w:ilvl w:val="0"/>
          <w:numId w:val="2"/>
        </w:numPr>
        <w:spacing w:before="30" w:after="40"/>
      </w:pPr>
      <w:r>
        <w:rPr>
          <w:rFonts w:ascii="Arial" w:cs="Arial" w:eastAsia="Arial" w:hAnsi="Arial"/>
          <w:color w:val="1A1A2E"/>
          <w:sz w:val="17"/>
          <w:szCs w:val="17"/>
        </w:rPr>
        <w:t xml:space="preserve">R184. Constellation Research, 'Enterprise Technology 2026: 15 AI, SaaS, Data, Business Trends to Watch'. ALEAs (Agentic License Enterprise Agreements). IPOs Databricks, Anthropic, OpenAI, SpaceX, Stripe.</w:t>
      </w:r>
    </w:p>
    <w:p>
      <w:pPr>
        <w:pStyle w:val="ListParagraph"/>
        <w:numPr>
          <w:ilvl w:val="0"/>
          <w:numId w:val="2"/>
        </w:numPr>
        <w:spacing w:before="30" w:after="40"/>
      </w:pPr>
      <w:r>
        <w:rPr>
          <w:rFonts w:ascii="Arial" w:cs="Arial" w:eastAsia="Arial" w:hAnsi="Arial"/>
          <w:color w:val="1A1A2E"/>
          <w:sz w:val="17"/>
          <w:szCs w:val="17"/>
        </w:rPr>
        <w:t xml:space="preserve">R185. Ecosystm, 'Intelligence: Top 5 Enterprise AI Trends for 2026', diciembre 2025. Consolidación de aplicaciones. Exceso de confianza en outputs de IA.</w:t>
      </w:r>
    </w:p>
    <w:p>
      <w:pPr>
        <w:pStyle w:val="ListParagraph"/>
        <w:numPr>
          <w:ilvl w:val="0"/>
          <w:numId w:val="2"/>
        </w:numPr>
        <w:spacing w:before="30" w:after="40"/>
      </w:pPr>
      <w:r>
        <w:rPr>
          <w:rFonts w:ascii="Arial" w:cs="Arial" w:eastAsia="Arial" w:hAnsi="Arial"/>
          <w:color w:val="1A1A2E"/>
          <w:sz w:val="17"/>
          <w:szCs w:val="17"/>
        </w:rPr>
        <w:t xml:space="preserve">R186. France Epargne Research, 'State of AI Entering 2026: Comprehensive Market &amp; Technology Analysis', diciembre 2025. Inversión global en IA: $202.3B en 2025 = 50% de todo el VC mundial. Anthropic revenue: $87M a $7B en &lt;2 años.</w:t>
      </w:r>
    </w:p>
    <w:p>
      <w:pPr>
        <w:pStyle w:val="ListParagraph"/>
        <w:numPr>
          <w:ilvl w:val="0"/>
          <w:numId w:val="2"/>
        </w:numPr>
        <w:spacing w:before="30" w:after="40"/>
      </w:pPr>
      <w:r>
        <w:rPr>
          <w:rFonts w:ascii="Arial" w:cs="Arial" w:eastAsia="Arial" w:hAnsi="Arial"/>
          <w:color w:val="1A1A2E"/>
          <w:sz w:val="17"/>
          <w:szCs w:val="17"/>
        </w:rPr>
        <w:t xml:space="preserve">R187. Swfte AI, 'Enterprise AI Predictions 2026: The Agentic Era Begins'. Proyección mercado AI agents: $5.25B (2024) a $52.62B (2030). Gartner: 40% de apps enterprise con agentes IA para 2026.</w:t>
      </w:r>
    </w:p>
    <w:p>
      <w:pPr>
        <w:spacing w:before="30" w:after="30"/>
      </w:pPr>
      <w:r>
        <w:t xml:space="preserve"/>
      </w:r>
    </w:p>
    <w:p>
      <w:pPr>
        <w:spacing w:before="60" w:after="100"/>
      </w:pPr>
      <w:r>
        <w:rPr>
          <w:rFonts w:ascii="Arial" w:cs="Arial" w:eastAsia="Arial" w:hAnsi="Arial"/>
          <w:b/>
          <w:bCs/>
          <w:color w:val="1A1A2E"/>
          <w:sz w:val="20"/>
          <w:szCs w:val="20"/>
        </w:rPr>
        <w:t xml:space="preserve">Ética y Gobernanza Responsable de IA — Fuentes Académicas y de Industria 2025-2026:</w:t>
      </w:r>
    </w:p>
    <w:p>
      <w:pPr>
        <w:pStyle w:val="ListParagraph"/>
        <w:numPr>
          <w:ilvl w:val="0"/>
          <w:numId w:val="3"/>
        </w:numPr>
        <w:spacing w:before="30" w:after="40"/>
      </w:pPr>
      <w:r>
        <w:rPr>
          <w:rFonts w:ascii="Arial" w:cs="Arial" w:eastAsia="Arial" w:hAnsi="Arial"/>
          <w:color w:val="1A1A2E"/>
          <w:sz w:val="17"/>
          <w:szCs w:val="17"/>
        </w:rPr>
        <w:t xml:space="preserve">R188. Frontiers in Artificial Intelligence, 'Ethical theories, governance models, and strategic frameworks for responsible AI adoption', julio 2025. Síntesis de utilitarismo, deontología y ética de virtud aplicados a IA enterprise.</w:t>
      </w:r>
    </w:p>
    <w:p>
      <w:pPr>
        <w:pStyle w:val="ListParagraph"/>
        <w:numPr>
          <w:ilvl w:val="0"/>
          <w:numId w:val="3"/>
        </w:numPr>
        <w:spacing w:before="30" w:after="40"/>
      </w:pPr>
      <w:r>
        <w:rPr>
          <w:rFonts w:ascii="Arial" w:cs="Arial" w:eastAsia="Arial" w:hAnsi="Arial"/>
          <w:color w:val="1A1A2E"/>
          <w:sz w:val="17"/>
          <w:szCs w:val="17"/>
        </w:rPr>
        <w:t xml:space="preserve">R189. KNMPLACE LLC, 'Responsible AI Trends 2026: How Ethics Will Shape the Future', 2026. Forrester: 2026 como 'year of proof' — demanda de evidencia verificable, no solo políticas.</w:t>
      </w:r>
    </w:p>
    <w:p>
      <w:pPr>
        <w:pStyle w:val="ListParagraph"/>
        <w:numPr>
          <w:ilvl w:val="0"/>
          <w:numId w:val="3"/>
        </w:numPr>
        <w:spacing w:before="30" w:after="40"/>
      </w:pPr>
      <w:r>
        <w:rPr>
          <w:rFonts w:ascii="Arial" w:cs="Arial" w:eastAsia="Arial" w:hAnsi="Arial"/>
          <w:color w:val="1A1A2E"/>
          <w:sz w:val="17"/>
          <w:szCs w:val="17"/>
        </w:rPr>
        <w:t xml:space="preserve">R190. Harvard Division of Continuing Education, 'Building a Responsible AI Framework: 5 Key Principles', junio 2025.</w:t>
      </w:r>
    </w:p>
    <w:p>
      <w:pPr>
        <w:pStyle w:val="ListParagraph"/>
        <w:numPr>
          <w:ilvl w:val="0"/>
          <w:numId w:val="3"/>
        </w:numPr>
        <w:spacing w:before="30" w:after="40"/>
      </w:pPr>
      <w:r>
        <w:rPr>
          <w:rFonts w:ascii="Arial" w:cs="Arial" w:eastAsia="Arial" w:hAnsi="Arial"/>
          <w:color w:val="1A1A2E"/>
          <w:sz w:val="17"/>
          <w:szCs w:val="17"/>
        </w:rPr>
        <w:t xml:space="preserve">R191. Kanerika, 'Responsible AI 2026: Ethical AI Design, Governance and Best Practices', febrero 2026.</w:t>
      </w:r>
    </w:p>
    <w:p>
      <w:pPr>
        <w:pStyle w:val="ListParagraph"/>
        <w:numPr>
          <w:ilvl w:val="0"/>
          <w:numId w:val="3"/>
        </w:numPr>
        <w:spacing w:before="30" w:after="40"/>
      </w:pPr>
      <w:r>
        <w:rPr>
          <w:rFonts w:ascii="Arial" w:cs="Arial" w:eastAsia="Arial" w:hAnsi="Arial"/>
          <w:color w:val="1A1A2E"/>
          <w:sz w:val="17"/>
          <w:szCs w:val="17"/>
        </w:rPr>
        <w:t xml:space="preserve">R192. ScienceDirect, 'Responsible artificial intelligence governance: A review and research framework', 2025.</w:t>
      </w:r>
    </w:p>
    <w:p>
      <w:pPr>
        <w:pStyle w:val="ListParagraph"/>
        <w:numPr>
          <w:ilvl w:val="0"/>
          <w:numId w:val="3"/>
        </w:numPr>
        <w:spacing w:before="30" w:after="40"/>
      </w:pPr>
      <w:r>
        <w:rPr>
          <w:rFonts w:ascii="Arial" w:cs="Arial" w:eastAsia="Arial" w:hAnsi="Arial"/>
          <w:color w:val="1A1A2E"/>
          <w:sz w:val="17"/>
          <w:szCs w:val="17"/>
        </w:rPr>
        <w:t xml:space="preserve">R193. VisioneerIT, 'Building a Robust AI Governance Framework: Essential Strategies for 2026'. Componentes de programa de gobernanza. Integración de ISO 42001 y NIST AI RMF.</w:t>
      </w:r>
    </w:p>
    <w:p>
      <w:pPr>
        <w:pStyle w:val="ListParagraph"/>
        <w:numPr>
          <w:ilvl w:val="0"/>
          <w:numId w:val="3"/>
        </w:numPr>
        <w:spacing w:before="30" w:after="40"/>
      </w:pPr>
      <w:r>
        <w:rPr>
          <w:rFonts w:ascii="Arial" w:cs="Arial" w:eastAsia="Arial" w:hAnsi="Arial"/>
          <w:color w:val="1A1A2E"/>
          <w:sz w:val="17"/>
          <w:szCs w:val="17"/>
        </w:rPr>
        <w:t xml:space="preserve">R194. Liminal AI, 'Enterprise AI Governance: Complete Implementation Guide 2025'. Estructura de comités. Costo inicial: 0.5-1% del gasto en IA; operativo: 0.3-0.5% anual.</w:t>
      </w:r>
    </w:p>
    <w:p>
      <w:pPr>
        <w:pStyle w:val="ListParagraph"/>
        <w:numPr>
          <w:ilvl w:val="0"/>
          <w:numId w:val="3"/>
        </w:numPr>
        <w:spacing w:before="30" w:after="40"/>
      </w:pPr>
      <w:r>
        <w:rPr>
          <w:rFonts w:ascii="Arial" w:cs="Arial" w:eastAsia="Arial" w:hAnsi="Arial"/>
          <w:color w:val="1A1A2E"/>
          <w:sz w:val="17"/>
          <w:szCs w:val="17"/>
        </w:rPr>
        <w:t xml:space="preserve">R195. Consilien, 'AI Governance Frameworks: Guide to Ethical AI Implementation'. Gartner: 50% de gobiernos mundiales aplicarán regulaciones de IA responsable para 2026.</w:t>
      </w:r>
    </w:p>
    <w:p>
      <w:pPr>
        <w:pStyle w:val="ListParagraph"/>
        <w:numPr>
          <w:ilvl w:val="0"/>
          <w:numId w:val="3"/>
        </w:numPr>
        <w:spacing w:before="30" w:after="40"/>
      </w:pPr>
      <w:r>
        <w:rPr>
          <w:rFonts w:ascii="Arial" w:cs="Arial" w:eastAsia="Arial" w:hAnsi="Arial"/>
          <w:color w:val="1A1A2E"/>
          <w:sz w:val="17"/>
          <w:szCs w:val="17"/>
        </w:rPr>
        <w:t xml:space="preserve">R196. OneReach AI, 'AI Governance Frameworks &amp; Best Practices for Enterprises 2026', diciembre 2025. 9 principios de gobernanza operacional.</w:t>
      </w:r>
    </w:p>
    <w:p>
      <w:pPr>
        <w:pStyle w:val="ListParagraph"/>
        <w:numPr>
          <w:ilvl w:val="0"/>
          <w:numId w:val="3"/>
        </w:numPr>
        <w:spacing w:before="30" w:after="40"/>
      </w:pPr>
      <w:r>
        <w:rPr>
          <w:rFonts w:ascii="Arial" w:cs="Arial" w:eastAsia="Arial" w:hAnsi="Arial"/>
          <w:color w:val="1A1A2E"/>
          <w:sz w:val="17"/>
          <w:szCs w:val="17"/>
        </w:rPr>
        <w:t xml:space="preserve">R197. Microsoft, 'Responsible AI Principles and Approach'. Responsible AI Standard. Transparency Notes. Reporte Anual RAI 2025.</w:t>
      </w:r>
    </w:p>
    <w:p>
      <w:pPr>
        <w:spacing w:before="30" w:after="30"/>
      </w:pPr>
      <w:r>
        <w:t xml:space="preserve"/>
      </w:r>
    </w:p>
    <w:p>
      <w:pPr>
        <w:spacing w:before="60" w:after="100"/>
      </w:pPr>
      <w:r>
        <w:rPr>
          <w:rFonts w:ascii="Arial" w:cs="Arial" w:eastAsia="Arial" w:hAnsi="Arial"/>
          <w:b/>
          <w:bCs/>
          <w:color w:val="1A1A2E"/>
          <w:sz w:val="20"/>
          <w:szCs w:val="20"/>
        </w:rPr>
        <w:t xml:space="preserve">Marcos Regulatorios y Valoraciones de Mercado — Complementarios:</w:t>
      </w:r>
    </w:p>
    <w:p>
      <w:pPr>
        <w:pStyle w:val="ListParagraph"/>
        <w:numPr>
          <w:ilvl w:val="0"/>
          <w:numId w:val="4"/>
        </w:numPr>
        <w:spacing w:before="30" w:after="40"/>
      </w:pPr>
      <w:r>
        <w:rPr>
          <w:rFonts w:ascii="Arial" w:cs="Arial" w:eastAsia="Arial" w:hAnsi="Arial"/>
          <w:color w:val="1A1A2E"/>
          <w:sz w:val="17"/>
          <w:szCs w:val="17"/>
        </w:rPr>
        <w:t xml:space="preserve">R198. Channel Insider, 'Experts Weigh In: AI Trends for the IT Channel in 2026', diciembre 2025. IA agéntica en operaciones reales. ROI como métrica definitoria 2026.</w:t>
      </w:r>
    </w:p>
    <w:p>
      <w:pPr>
        <w:pStyle w:val="ListParagraph"/>
        <w:numPr>
          <w:ilvl w:val="0"/>
          <w:numId w:val="4"/>
        </w:numPr>
        <w:spacing w:before="30" w:after="40"/>
      </w:pPr>
      <w:r>
        <w:rPr>
          <w:rFonts w:ascii="Arial" w:cs="Arial" w:eastAsia="Arial" w:hAnsi="Arial"/>
          <w:color w:val="1A1A2E"/>
          <w:sz w:val="17"/>
          <w:szCs w:val="17"/>
        </w:rPr>
        <w:t xml:space="preserve">R199. Bismart, 'Data Landscape 2026: 25 Trends on Data Platforms, AI &amp; More'. Multi-cloud: 4 de 5 empresas usan 2+ proveedores IaaS. Metadata y observabilidad como estándar.</w:t>
      </w:r>
    </w:p>
    <w:p>
      <w:pPr>
        <w:pStyle w:val="ListParagraph"/>
        <w:numPr>
          <w:ilvl w:val="0"/>
          <w:numId w:val="4"/>
        </w:numPr>
        <w:spacing w:before="30" w:after="40"/>
      </w:pPr>
      <w:r>
        <w:rPr>
          <w:rFonts w:ascii="Arial" w:cs="Arial" w:eastAsia="Arial" w:hAnsi="Arial"/>
          <w:color w:val="1A1A2E"/>
          <w:sz w:val="17"/>
          <w:szCs w:val="17"/>
        </w:rPr>
        <w:t xml:space="preserve">R200. IAPP, 'AI Governance Vendor Report', enero 2026. Ecosistema completo de proveedores de gobernanza de IA.</w:t>
      </w:r>
    </w:p>
    <w:p>
      <w:pPr>
        <w:pStyle w:val="ListParagraph"/>
        <w:numPr>
          <w:ilvl w:val="0"/>
          <w:numId w:val="4"/>
        </w:numPr>
        <w:spacing w:before="30" w:after="40"/>
      </w:pPr>
      <w:r>
        <w:rPr>
          <w:rFonts w:ascii="Arial" w:cs="Arial" w:eastAsia="Arial" w:hAnsi="Arial"/>
          <w:color w:val="1A1A2E"/>
          <w:sz w:val="17"/>
          <w:szCs w:val="17"/>
        </w:rPr>
        <w:t xml:space="preserve">R201. OCC/Fed/FDIC, SR 11-7 Model Risk Management Guidance (2011, actualizado aplicación a IA 2023+). Referencia regulatoria clave para sector financiero EE.UU.</w:t>
      </w:r>
    </w:p>
    <w:p>
      <w:pPr>
        <w:pStyle w:val="ListParagraph"/>
        <w:numPr>
          <w:ilvl w:val="0"/>
          <w:numId w:val="4"/>
        </w:numPr>
        <w:spacing w:before="30" w:after="40"/>
      </w:pPr>
      <w:r>
        <w:rPr>
          <w:rFonts w:ascii="Arial" w:cs="Arial" w:eastAsia="Arial" w:hAnsi="Arial"/>
          <w:color w:val="1A1A2E"/>
          <w:sz w:val="17"/>
          <w:szCs w:val="17"/>
        </w:rPr>
        <w:t xml:space="preserve">R202. BIS (Bank for International Settlements), 'Principles for the Sound Management of Operational Risk', actualización AI-readiness 2025. Referencia para gestión de riesgo operacional con IA en banca internacional.</w:t>
      </w:r>
    </w:p>
    <w:p>
      <w:pPr>
        <w:pStyle w:val="ListParagraph"/>
        <w:numPr>
          <w:ilvl w:val="0"/>
          <w:numId w:val="4"/>
        </w:numPr>
        <w:spacing w:before="30" w:after="40"/>
      </w:pPr>
      <w:r>
        <w:rPr>
          <w:rFonts w:ascii="Arial" w:cs="Arial" w:eastAsia="Arial" w:hAnsi="Arial"/>
          <w:color w:val="1A1A2E"/>
          <w:sz w:val="17"/>
          <w:szCs w:val="17"/>
        </w:rPr>
        <w:t xml:space="preserve">R203. Anthropic, Claude Model Card (más reciente versión pública). Limitaciones documentadas, casos de uso recomendados y contraindicados.</w:t>
      </w:r>
    </w:p>
    <w:p>
      <w:pPr>
        <w:pStyle w:val="ListParagraph"/>
        <w:numPr>
          <w:ilvl w:val="0"/>
          <w:numId w:val="4"/>
        </w:numPr>
        <w:spacing w:before="30" w:after="40"/>
      </w:pPr>
      <w:r>
        <w:rPr>
          <w:rFonts w:ascii="Arial" w:cs="Arial" w:eastAsia="Arial" w:hAnsi="Arial"/>
          <w:color w:val="1A1A2E"/>
          <w:sz w:val="17"/>
          <w:szCs w:val="17"/>
        </w:rPr>
        <w:t xml:space="preserve">R204. OpenAI, System Card GPT-4o (2024). Evaluaciones de seguridad, benchmarks de riesgo, medidas de mitigación.</w:t>
      </w:r>
    </w:p>
    <w:p>
      <w:pPr>
        <w:pStyle w:val="ListParagraph"/>
        <w:numPr>
          <w:ilvl w:val="0"/>
          <w:numId w:val="4"/>
        </w:numPr>
        <w:spacing w:before="30" w:after="40"/>
      </w:pPr>
      <w:r>
        <w:rPr>
          <w:rFonts w:ascii="Arial" w:cs="Arial" w:eastAsia="Arial" w:hAnsi="Arial"/>
          <w:color w:val="1A1A2E"/>
          <w:sz w:val="17"/>
          <w:szCs w:val="17"/>
        </w:rPr>
        <w:t xml:space="preserve">R205. Google DeepMind, Gemini Technical Report (2024). Evaluaciones de seguridad y capacidades.</w:t>
      </w:r>
    </w:p>
    <w:p>
      <w:pPr>
        <w:pStyle w:val="ListParagraph"/>
        <w:numPr>
          <w:ilvl w:val="0"/>
          <w:numId w:val="4"/>
        </w:numPr>
        <w:spacing w:before="30" w:after="40"/>
      </w:pPr>
      <w:r>
        <w:rPr>
          <w:rFonts w:ascii="Arial" w:cs="Arial" w:eastAsia="Arial" w:hAnsi="Arial"/>
          <w:color w:val="1A1A2E"/>
          <w:sz w:val="17"/>
          <w:szCs w:val="17"/>
        </w:rPr>
        <w:t xml:space="preserve">R206. Future of Life Institute, AI Safety Index Summer 2025. IBM Watsonx: mayor transparencia FMTI. Meta: único laboratorio frontier que rechazó participar.</w:t>
      </w:r>
    </w:p>
    <w:p>
      <w:pPr>
        <w:pStyle w:val="ListParagraph"/>
        <w:numPr>
          <w:ilvl w:val="0"/>
          <w:numId w:val="4"/>
        </w:numPr>
        <w:spacing w:before="30" w:after="40"/>
      </w:pPr>
      <w:r>
        <w:rPr>
          <w:rFonts w:ascii="Arial" w:cs="Arial" w:eastAsia="Arial" w:hAnsi="Arial"/>
          <w:color w:val="1A1A2E"/>
          <w:sz w:val="17"/>
          <w:szCs w:val="17"/>
        </w:rPr>
        <w:t xml:space="preserve">R207. Baker Donelson, 'Legal Forecast: AI Statutes including TRAIGA shaping Responsible AI 2026'. Evolución del marco legal en EE.UU.</w:t>
      </w:r>
    </w:p>
    <w:p>
      <w:pPr>
        <w:pStyle w:val="ListParagraph"/>
        <w:numPr>
          <w:ilvl w:val="0"/>
          <w:numId w:val="4"/>
        </w:numPr>
        <w:spacing w:before="30" w:after="40"/>
      </w:pPr>
      <w:r>
        <w:rPr>
          <w:rFonts w:ascii="Arial" w:cs="Arial" w:eastAsia="Arial" w:hAnsi="Arial"/>
          <w:color w:val="1A1A2E"/>
          <w:sz w:val="17"/>
          <w:szCs w:val="17"/>
        </w:rPr>
        <w:t xml:space="preserve">R208. MITRE ATLAS, Adversarial Threat Landscape for AI Systems (versión 2025). Complementario al OWASP Agentic Top 10 para threat modeling.</w:t>
      </w:r>
    </w:p>
    <w:p>
      <w:pPr>
        <w:pStyle w:val="ListParagraph"/>
        <w:numPr>
          <w:ilvl w:val="0"/>
          <w:numId w:val="4"/>
        </w:numPr>
        <w:spacing w:before="30" w:after="40"/>
      </w:pPr>
      <w:r>
        <w:rPr>
          <w:rFonts w:ascii="Arial" w:cs="Arial" w:eastAsia="Arial" w:hAnsi="Arial"/>
          <w:color w:val="1A1A2E"/>
          <w:sz w:val="17"/>
          <w:szCs w:val="17"/>
        </w:rPr>
        <w:t xml:space="preserve">R209. NIST, 'Managing Misuse Risk for Dual-Use Foundation Models', julio 2024. Referencia para evaluación de riesgos de modelos de propósito general.</w:t>
      </w:r>
    </w:p>
    <w:p>
      <w:pPr>
        <w:pStyle w:val="ListParagraph"/>
        <w:numPr>
          <w:ilvl w:val="0"/>
          <w:numId w:val="4"/>
        </w:numPr>
        <w:spacing w:before="30" w:after="40"/>
      </w:pPr>
      <w:r>
        <w:rPr>
          <w:rFonts w:ascii="Arial" w:cs="Arial" w:eastAsia="Arial" w:hAnsi="Arial"/>
          <w:color w:val="1A1A2E"/>
          <w:sz w:val="17"/>
          <w:szCs w:val="17"/>
        </w:rPr>
        <w:t xml:space="preserve">R210. Wilson Sonsini / Ropes &amp; Gray, análisis actualizados de IP indemnity y litigación en IA 2025-2026 (referenciados en Fase 6). Contexto legal para el vacío de indemnización documentado.</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DEL INFORME — PROYECTO COMPLETADO</w:t>
      </w:r>
    </w:p>
    <w:p>
      <w:pPr>
        <w:spacing w:before="0" w:after="60"/>
        <w:jc w:val="center"/>
      </w:pPr>
      <w:r>
        <w:rPr>
          <w:rFonts w:ascii="Arial" w:cs="Arial" w:eastAsia="Arial" w:hAnsi="Arial"/>
          <w:b w:val="false"/>
          <w:bCs w:val="false"/>
          <w:color w:val="2E75B6"/>
          <w:sz w:val="22"/>
          <w:szCs w:val="22"/>
        </w:rPr>
        <w:t xml:space="preserve">Análisis de Ética y Responsabilidad en IA — 16 Proveedores Globales</w:t>
      </w:r>
    </w:p>
    <w:p>
      <w:pPr>
        <w:spacing w:before="0" w:after="60"/>
        <w:jc w:val="center"/>
      </w:pPr>
      <w:r>
        <w:rPr>
          <w:rFonts w:ascii="Arial" w:cs="Arial" w:eastAsia="Arial" w:hAnsi="Arial"/>
          <w:b w:val="false"/>
          <w:bCs w:val="false"/>
          <w:color w:val="1A1A2E"/>
          <w:sz w:val="18"/>
          <w:szCs w:val="18"/>
        </w:rPr>
        <w:t xml:space="preserve">Fase 1: Filosofías · Fase 2: Alignment · Fase 3: Transparencia · Fase 4: Dilemas</w:t>
      </w:r>
    </w:p>
    <w:p>
      <w:pPr>
        <w:spacing w:before="0" w:after="60"/>
        <w:jc w:val="center"/>
      </w:pPr>
      <w:r>
        <w:rPr>
          <w:rFonts w:ascii="Arial" w:cs="Arial" w:eastAsia="Arial" w:hAnsi="Arial"/>
          <w:b w:val="false"/>
          <w:bCs w:val="false"/>
          <w:color w:val="1A1A2E"/>
          <w:sz w:val="18"/>
          <w:szCs w:val="18"/>
        </w:rPr>
        <w:t xml:space="preserve">Fase 5: Sectorial · Fase 6: Contractual · Fase 7: Gobernanza · Fase 8: Síntesis</w:t>
      </w:r>
    </w:p>
    <w:p>
      <w:pPr>
        <w:spacing w:before="40" w:after="40"/>
        <w:jc w:val="center"/>
      </w:pPr>
      <w:r>
        <w:rPr>
          <w:rFonts w:ascii="Arial" w:cs="Arial" w:eastAsia="Arial" w:hAnsi="Arial"/>
          <w:b/>
          <w:bCs/>
          <w:color w:val="888888"/>
          <w:sz w:val="17"/>
          <w:szCs w:val="17"/>
        </w:rPr>
        <w:t xml:space="preserve">210 referencias · Metodología de 4 niveles de evidencia (N1-N4)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2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2026-02-21T02:22:52.206Z</dcterms:created>
  <dcterms:modified xsi:type="dcterms:W3CDTF">2026-02-21T02:22:52.207Z</dcterms:modified>
</cp:coreProperties>
</file>

<file path=docProps/custom.xml><?xml version="1.0" encoding="utf-8"?>
<Properties xmlns="http://schemas.openxmlformats.org/officeDocument/2006/custom-properties" xmlns:vt="http://schemas.openxmlformats.org/officeDocument/2006/docPropsVTypes"/>
</file>