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b w:val="false"/>
          <w:bCs w:val="false"/>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9</w:t>
      </w:r>
    </w:p>
    <w:p>
      <w:pPr>
        <w:spacing w:before="0" w:after="60"/>
        <w:jc w:val="center"/>
      </w:pPr>
      <w:r>
        <w:rPr>
          <w:rFonts w:ascii="Arial" w:cs="Arial" w:eastAsia="Arial" w:hAnsi="Arial"/>
          <w:b/>
          <w:bCs/>
          <w:color w:val="2E75B6"/>
          <w:sz w:val="28"/>
          <w:szCs w:val="28"/>
        </w:rPr>
        <w:t xml:space="preserve">ROI, TCO y Caso de Negocio para IA Enterprise</w:t>
      </w:r>
    </w:p>
    <w:p>
      <w:pPr>
        <w:spacing w:before="0" w:after="140"/>
        <w:jc w:val="center"/>
      </w:pPr>
      <w:r>
        <w:rPr>
          <w:rFonts w:ascii="Arial" w:cs="Arial" w:eastAsia="Arial" w:hAnsi="Arial"/>
          <w:b w:val="false"/>
          <w:bCs w:val="false"/>
          <w:color w:val="1A1A2E"/>
          <w:sz w:val="20"/>
          <w:szCs w:val="20"/>
        </w:rPr>
        <w:t xml:space="preserve">Frameworks de Medición · TCO Real · Modelos de Pricing · Caso de Negocio CISO → C-Suite · Anti-patrones · KPIs por Sector</w:t>
      </w:r>
    </w:p>
    <w:p>
      <w:pPr>
        <w:spacing w:before="30" w:after="30"/>
      </w:pPr>
      <w:r>
        <w:t xml:space="preserve"/>
      </w:r>
    </w:p>
    <w:p>
      <w:pPr>
        <w:spacing w:before="18" w:after="18"/>
        <w:jc w:val="center"/>
      </w:pPr>
      <w:r>
        <w:rPr>
          <w:rFonts w:ascii="Arial" w:cs="Arial" w:eastAsia="Arial" w:hAnsi="Arial"/>
          <w:b w:val="false"/>
          <w:bCs w:val="false"/>
          <w:color w:val="1A1A2E"/>
          <w:sz w:val="18"/>
          <w:szCs w:val="18"/>
        </w:rPr>
        <w:t xml:space="preserve">9.0  El Imperativo del ROI: 2026 como 'Año de la Prueba'</w:t>
      </w:r>
    </w:p>
    <w:p>
      <w:pPr>
        <w:spacing w:before="18" w:after="18"/>
        <w:jc w:val="center"/>
      </w:pPr>
      <w:r>
        <w:rPr>
          <w:rFonts w:ascii="Arial" w:cs="Arial" w:eastAsia="Arial" w:hAnsi="Arial"/>
          <w:b w:val="false"/>
          <w:bCs w:val="false"/>
          <w:color w:val="1A1A2E"/>
          <w:sz w:val="18"/>
          <w:szCs w:val="18"/>
        </w:rPr>
        <w:t xml:space="preserve">9.1  Framework de Medición: Hard ROI, Soft ROI, Strategic ROI</w:t>
      </w:r>
    </w:p>
    <w:p>
      <w:pPr>
        <w:spacing w:before="18" w:after="18"/>
        <w:jc w:val="center"/>
      </w:pPr>
      <w:r>
        <w:rPr>
          <w:rFonts w:ascii="Arial" w:cs="Arial" w:eastAsia="Arial" w:hAnsi="Arial"/>
          <w:b w:val="false"/>
          <w:bCs w:val="false"/>
          <w:color w:val="1A1A2E"/>
          <w:sz w:val="18"/>
          <w:szCs w:val="18"/>
        </w:rPr>
        <w:t xml:space="preserve">9.2  TCO Real: Los Costos Visibles e Invisibles del 85%</w:t>
      </w:r>
    </w:p>
    <w:p>
      <w:pPr>
        <w:spacing w:before="18" w:after="18"/>
        <w:jc w:val="center"/>
      </w:pPr>
      <w:r>
        <w:rPr>
          <w:rFonts w:ascii="Arial" w:cs="Arial" w:eastAsia="Arial" w:hAnsi="Arial"/>
          <w:b w:val="false"/>
          <w:bCs w:val="false"/>
          <w:color w:val="1A1A2E"/>
          <w:sz w:val="18"/>
          <w:szCs w:val="18"/>
        </w:rPr>
        <w:t xml:space="preserve">9.3  Modelos de Pricing por Proveedor: Análisis Comparativo</w:t>
      </w:r>
    </w:p>
    <w:p>
      <w:pPr>
        <w:spacing w:before="18" w:after="18"/>
        <w:jc w:val="center"/>
      </w:pPr>
      <w:r>
        <w:rPr>
          <w:rFonts w:ascii="Arial" w:cs="Arial" w:eastAsia="Arial" w:hAnsi="Arial"/>
          <w:b w:val="false"/>
          <w:bCs w:val="false"/>
          <w:color w:val="1A1A2E"/>
          <w:sz w:val="18"/>
          <w:szCs w:val="18"/>
        </w:rPr>
        <w:t xml:space="preserve">9.4  Benchmarks de Mercado: Datos de ROI por Dimensión</w:t>
      </w:r>
    </w:p>
    <w:p>
      <w:pPr>
        <w:spacing w:before="18" w:after="18"/>
        <w:jc w:val="center"/>
      </w:pPr>
      <w:r>
        <w:rPr>
          <w:rFonts w:ascii="Arial" w:cs="Arial" w:eastAsia="Arial" w:hAnsi="Arial"/>
          <w:b w:val="false"/>
          <w:bCs w:val="false"/>
          <w:color w:val="1A1A2E"/>
          <w:sz w:val="18"/>
          <w:szCs w:val="18"/>
        </w:rPr>
        <w:t xml:space="preserve">9.5  El Caso de Negocio desde el CISO hacia el C-Suite</w:t>
      </w:r>
    </w:p>
    <w:p>
      <w:pPr>
        <w:spacing w:before="18" w:after="18"/>
        <w:jc w:val="center"/>
      </w:pPr>
      <w:r>
        <w:rPr>
          <w:rFonts w:ascii="Arial" w:cs="Arial" w:eastAsia="Arial" w:hAnsi="Arial"/>
          <w:b w:val="false"/>
          <w:bCs w:val="false"/>
          <w:color w:val="1A1A2E"/>
          <w:sz w:val="18"/>
          <w:szCs w:val="18"/>
        </w:rPr>
        <w:t xml:space="preserve">9.6  Anti-Patrones: Por Qué Falla el ROI en el 95% de los Proyectos</w:t>
      </w:r>
    </w:p>
    <w:p>
      <w:pPr>
        <w:spacing w:before="18" w:after="18"/>
        <w:jc w:val="center"/>
      </w:pPr>
      <w:r>
        <w:rPr>
          <w:rFonts w:ascii="Arial" w:cs="Arial" w:eastAsia="Arial" w:hAnsi="Arial"/>
          <w:b w:val="false"/>
          <w:bCs w:val="false"/>
          <w:color w:val="1A1A2E"/>
          <w:sz w:val="18"/>
          <w:szCs w:val="18"/>
        </w:rPr>
        <w:t xml:space="preserve">9.7  KPIs y Métricas de Éxito por Caso de Uso y Sector</w:t>
      </w:r>
    </w:p>
    <w:p>
      <w:pPr>
        <w:spacing w:before="18" w:after="18"/>
        <w:jc w:val="center"/>
      </w:pPr>
      <w:r>
        <w:rPr>
          <w:rFonts w:ascii="Arial" w:cs="Arial" w:eastAsia="Arial" w:hAnsi="Arial"/>
          <w:b w:val="false"/>
          <w:bCs w:val="false"/>
          <w:color w:val="1A1A2E"/>
          <w:sz w:val="18"/>
          <w:szCs w:val="18"/>
        </w:rPr>
        <w:t xml:space="preserve">9.8  Referencias (R211–R240)</w:t>
      </w:r>
    </w:p>
    <w:p>
      <w:pPr>
        <w:spacing w:before="30" w:after="30"/>
      </w:pPr>
      <w:r>
        <w:t xml:space="preserve"/>
      </w:r>
    </w:p>
    <w:p>
      <w:pPr>
        <w:spacing w:before="30" w:after="30"/>
      </w:pPr>
      <w:r>
        <w:t xml:space="preserve"/>
      </w:r>
    </w:p>
    <w:p>
      <w:pPr>
        <w:jc w:val="center"/>
      </w:pPr>
      <w:r>
        <w:rPr>
          <w:rFonts w:ascii="Arial" w:cs="Arial" w:eastAsia="Arial" w:hAnsi="Arial"/>
          <w:b/>
          <w:bCs/>
          <w:color w:val="2E75B6"/>
          <w:sz w:val="18"/>
          <w:szCs w:val="18"/>
        </w:rPr>
        <w:t xml:space="preserve">Correlativo con Fases 1-8 del análisis completo de due diligence de IA</w:t>
      </w:r>
    </w:p>
    <w:p>
      <w:pPr>
        <w:spacing w:before="30" w:after="30"/>
      </w:pPr>
      <w:r>
        <w:t xml:space="preserve"/>
      </w:r>
    </w:p>
    <w:p>
      <w:pPr>
        <w:jc w:val="center"/>
      </w:pPr>
      <w:r>
        <w:rPr>
          <w:rFonts w:ascii="Arial" w:cs="Arial" w:eastAsia="Arial" w:hAnsi="Arial"/>
          <w:b/>
          <w:bCs/>
          <w:color w:val="666666"/>
          <w:sz w:val="18"/>
          <w:szCs w:val="18"/>
        </w:rPr>
        <w:t xml:space="preserve">Fecha de corte informativo: 20 de febrero de 2026</w:t>
      </w:r>
    </w:p>
    <w:p>
      <w:r>
        <w:br w:type="page"/>
      </w:r>
    </w:p>
    <w:p>
      <w:pPr>
        <w:pStyle w:val="Heading1"/>
        <w:spacing w:before="360" w:after="120"/>
      </w:pPr>
      <w:r>
        <w:rPr>
          <w:rFonts w:ascii="Arial" w:cs="Arial" w:eastAsia="Arial" w:hAnsi="Arial"/>
          <w:b/>
          <w:bCs/>
          <w:color w:val="1F3864"/>
          <w:sz w:val="34"/>
          <w:szCs w:val="34"/>
        </w:rPr>
        <w:t xml:space="preserve">9.0 EL IMPERATIVO DEL ROI: 2026 COMO 'AÑO DE LA PRUEBA'</w:t>
      </w:r>
    </w:p>
    <w:p>
      <w:pPr>
        <w:pBdr>
          <w:bottom w:val="single" w:color="BDD7EE" w:sz="4"/>
        </w:pBdr>
        <w:spacing w:before="80" w:after="80"/>
      </w:pPr>
    </w:p>
    <w:p>
      <w:pPr>
        <w:spacing w:before="60" w:after="100"/>
      </w:pPr>
      <w:r>
        <w:rPr>
          <w:rFonts w:ascii="Arial" w:cs="Arial" w:eastAsia="Arial" w:hAnsi="Arial"/>
          <w:color w:val="1A1A2E"/>
          <w:sz w:val="20"/>
          <w:szCs w:val="20"/>
        </w:rPr>
        <w:t xml:space="preserve">La Fase 8 completó el análisis de selección y gobernanza de proveedores. La Fase 9 aborda la pregunta que inevitablemente sigue en toda organización que ha avanzado en ese proceso: </w:t>
      </w:r>
      <w:r>
        <w:rPr>
          <w:rFonts w:ascii="Arial" w:cs="Arial" w:eastAsia="Arial" w:hAnsi="Arial"/>
          <w:b/>
          <w:bCs/>
          <w:color w:val="1A1A2E"/>
          <w:sz w:val="20"/>
          <w:szCs w:val="20"/>
        </w:rPr>
        <w:t xml:space="preserve">¿cómo se justifica y demuestra el valor de estas inversiones ante el C-Suite?</w:t>
      </w:r>
    </w:p>
    <w:p>
      <w:pPr>
        <w:spacing w:before="60" w:after="100"/>
      </w:pPr>
      <w:r>
        <w:rPr>
          <w:rFonts w:ascii="Arial" w:cs="Arial" w:eastAsia="Arial" w:hAnsi="Arial"/>
          <w:color w:val="1A1A2E"/>
          <w:sz w:val="20"/>
          <w:szCs w:val="20"/>
        </w:rPr>
        <w:t xml:space="preserve">La respuesta no es trivial. El fracaso en demostrar ROI — no el fracaso tecnológico — es la razón principal por la que el 95% de los proyectos de IA generativa no muestran retorno financiero medible en los primeros seis meses (MIT GenAI Divide Study 2025). Forrester Research denomina 2026 como el </w:t>
      </w:r>
      <w:r>
        <w:rPr>
          <w:rFonts w:ascii="Arial" w:cs="Arial" w:eastAsia="Arial" w:hAnsi="Arial"/>
          <w:b/>
          <w:bCs/>
          <w:color w:val="1A1A2E"/>
          <w:sz w:val="20"/>
          <w:szCs w:val="20"/>
        </w:rPr>
        <w:t xml:space="preserve">'año de la prueba'</w:t>
      </w:r>
      <w:r>
        <w:rPr>
          <w:rFonts w:ascii="Arial" w:cs="Arial" w:eastAsia="Arial" w:hAnsi="Arial"/>
          <w:color w:val="1A1A2E"/>
          <w:sz w:val="20"/>
          <w:szCs w:val="20"/>
        </w:rPr>
        <w:t xml:space="preserve">: las organizaciones ya no aceptan promesas de potencial — exigen evidencia verificable de impacto en negocio.</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INDICADOR</w:t>
            </w:r>
          </w:p>
        </w:tc>
        <w:tc>
          <w:tcPr>
            <w:tcW w:type="dxa" w:w="35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DATO</w:t>
            </w:r>
          </w:p>
        </w:tc>
        <w:tc>
          <w:tcPr>
            <w:tcW w:type="dxa" w:w="35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FUENTE</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Proyectos sin ROI medible en 6 meses</w:t>
            </w:r>
          </w:p>
        </w:tc>
        <w:tc>
          <w:tcPr>
            <w:tcW w:type="dxa" w:w="35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95% de proyectos GenAI enterprise</w:t>
            </w:r>
          </w:p>
        </w:tc>
        <w:tc>
          <w:tcPr>
            <w:tcW w:type="dxa" w:w="35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MIT GenAI Divide Study 2025</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Organizaciones bajo presión por ROI</w:t>
            </w:r>
          </w:p>
        </w:tc>
        <w:tc>
          <w:tcPr>
            <w:tcW w:type="dxa" w:w="35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61% de líderes senior sienten más presión ahora vs. hace un año</w:t>
            </w:r>
          </w:p>
        </w:tc>
        <w:tc>
          <w:tcPr>
            <w:tcW w:type="dxa" w:w="35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Kyndryl Readiness Report 2025</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Expectativa de inversores</w:t>
            </w:r>
          </w:p>
        </w:tc>
        <w:tc>
          <w:tcPr>
            <w:tcW w:type="dxa" w:w="35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53% espera ROI positivo en 6 meses o menos</w:t>
            </w:r>
          </w:p>
        </w:tc>
        <w:tc>
          <w:tcPr>
            <w:tcW w:type="dxa" w:w="35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Teneo Vision 2026 CEO &amp; Investor Survey</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Proyectos con iniciativas avanzadas que cumplen ROI</w:t>
            </w:r>
          </w:p>
        </w:tc>
        <w:tc>
          <w:tcPr>
            <w:tcW w:type="dxa" w:w="35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74% de las iniciativas GenAI más avanzadas cumplen o superan ROI</w:t>
            </w:r>
          </w:p>
        </w:tc>
        <w:tc>
          <w:tcPr>
            <w:tcW w:type="dxa" w:w="35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Deloitte State of Gen AI Q4 2024</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Empresas que abandonaron mayoría de proyectos IA</w:t>
            </w:r>
          </w:p>
        </w:tc>
        <w:tc>
          <w:tcPr>
            <w:tcW w:type="dxa" w:w="35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42% en 2025 (vs. 17% el año anterior) — por costo e impacto poco claro</w:t>
            </w:r>
          </w:p>
        </w:tc>
        <w:tc>
          <w:tcPr>
            <w:tcW w:type="dxa" w:w="35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S&amp;P Global 2025</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Empresas con gobernanza de IA que duplican ROI</w:t>
            </w:r>
          </w:p>
        </w:tc>
        <w:tc>
          <w:tcPr>
            <w:tcW w:type="dxa" w:w="35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60% más probable de duplicar ROI con IA confiable</w:t>
            </w:r>
          </w:p>
        </w:tc>
        <w:tc>
          <w:tcPr>
            <w:tcW w:type="dxa" w:w="35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IDC Research 2025</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Líderes con C-suite sponsorship que reportan ROI</w:t>
            </w:r>
          </w:p>
        </w:tc>
        <w:tc>
          <w:tcPr>
            <w:tcW w:type="dxa" w:w="35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78% con apoyo C-suite reportan ROI vs. mucho menos sin él</w:t>
            </w:r>
          </w:p>
        </w:tc>
        <w:tc>
          <w:tcPr>
            <w:tcW w:type="dxa" w:w="35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Google Cloud ROI of AI 2025</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Productividad duplicada en implementaciones agénticas</w:t>
            </w:r>
          </w:p>
        </w:tc>
        <w:tc>
          <w:tcPr>
            <w:tcW w:type="dxa" w:w="35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39% de quienes reportan ganancias de productividad</w:t>
            </w:r>
          </w:p>
        </w:tc>
        <w:tc>
          <w:tcPr>
            <w:tcW w:type="dxa" w:w="35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Google Cloud ROI of AI 2025</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Organizaciones con governance implementada</w:t>
            </w:r>
          </w:p>
        </w:tc>
        <w:tc>
          <w:tcPr>
            <w:tcW w:type="dxa" w:w="35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Solo 25% con programas de gobernanza completamente implementados</w:t>
            </w:r>
          </w:p>
        </w:tc>
        <w:tc>
          <w:tcPr>
            <w:tcW w:type="dxa" w:w="35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AuditBoard 2025</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Tiempo de payback típico por caso de uso</w:t>
            </w:r>
          </w:p>
        </w:tc>
        <w:tc>
          <w:tcPr>
            <w:tcW w:type="dxa" w:w="35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Chatbots: 6-12 meses | Copilots: 12-18 meses | Soluciones avanzadas: 18-24 meses</w:t>
            </w:r>
          </w:p>
        </w:tc>
        <w:tc>
          <w:tcPr>
            <w:tcW w:type="dxa" w:w="35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TRooTech Enterprise AI Cost 2026</w:t>
            </w:r>
          </w:p>
        </w:tc>
      </w:tr>
    </w:tbl>
    <w:p>
      <w:pPr>
        <w:spacing w:before="30" w:after="30"/>
      </w:pPr>
      <w:r>
        <w:t xml:space="preserve"/>
      </w:r>
    </w:p>
    <w:p>
      <w:pPr>
        <w:shd w:fill="D9EAD3" w:val="clear"/>
        <w:spacing w:before="100" w:after="100"/>
        <w:ind w:left="280" w:right="280"/>
      </w:pPr>
      <w:r>
        <w:rPr>
          <w:rFonts w:ascii="Arial" w:cs="Arial" w:eastAsia="Arial" w:hAnsi="Arial"/>
          <w:b/>
          <w:bCs/>
          <w:color w:val="1A6E23"/>
          <w:sz w:val="18"/>
          <w:szCs w:val="18"/>
        </w:rPr>
        <w:t xml:space="preserve">💡 Paradoja del ROI de IA: </w:t>
      </w:r>
      <w:r>
        <w:rPr>
          <w:rFonts w:ascii="Arial" w:cs="Arial" w:eastAsia="Arial" w:hAnsi="Arial"/>
          <w:color w:val="1A6E23"/>
          <w:sz w:val="18"/>
          <w:szCs w:val="18"/>
        </w:rPr>
        <w:t xml:space="preserve">La gobernanza de IA — documentada en las Fases 7 y 8 de este informe — no solo protege a la organización: es un multiplicador directo de ROI. IDC (2025) demuestra que las organizaciones que construyen IA confiable son 60% más propensas a duplicar el ROI de sus proyectos. Esto convierte la inversión en ética, compliance y gobernanza de un costo de cumplimiento a una palanca de valor económico.</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9.1 FRAMEWORK DE MEDICIÓN: HARD ROI, SOFT ROI, STRATEGIC ROI</w:t>
      </w:r>
    </w:p>
    <w:p>
      <w:pPr>
        <w:pBdr>
          <w:bottom w:val="single" w:color="BDD7EE" w:sz="4"/>
        </w:pBdr>
        <w:spacing w:before="80" w:after="80"/>
      </w:pPr>
    </w:p>
    <w:p>
      <w:pPr>
        <w:spacing w:before="60" w:after="100"/>
      </w:pPr>
      <w:r>
        <w:rPr>
          <w:rFonts w:ascii="Arial" w:cs="Arial" w:eastAsia="Arial" w:hAnsi="Arial"/>
          <w:color w:val="1A1A2E"/>
          <w:sz w:val="20"/>
          <w:szCs w:val="20"/>
        </w:rPr>
        <w:t xml:space="preserve">El error más común en la justificación de inversiones en IA es intentar expresar todo el valor en términos financieros directos. El ROI de la IA tiene tres dimensiones que se consolidan en períodos de tiempo distintos y se comunican a audiencias distintas del C-Suite. El framework de tres dimensiones permite construir una narrativa completa sin distorsionar las expectativas.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220"/>
        <w:gridCol w:w="2220"/>
        <w:gridCol w:w="2220"/>
      </w:tblGrid>
      <w:tr>
        <w:tc>
          <w:tcPr>
            <w:tcW w:type="dxa" w:w="1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HORIZONTE</w:t>
            </w:r>
          </w:p>
        </w:tc>
        <w:tc>
          <w:tcPr>
            <w:tcW w:type="dxa" w:w="22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EJEMPLOS DE MÉTRICAS</w:t>
            </w:r>
          </w:p>
        </w:tc>
        <w:tc>
          <w:tcPr>
            <w:tcW w:type="dxa" w:w="22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AUDIENCIA PRIMARIA</w:t>
            </w:r>
          </w:p>
        </w:tc>
        <w:tc>
          <w:tcPr>
            <w:tcW w:type="dxa" w:w="222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CÓMO MEDIRLO</w:t>
            </w:r>
          </w:p>
        </w:tc>
      </w:tr>
      <w:tr>
        <w:tc>
          <w:tcPr>
            <w:tcW w:type="dxa" w:w="15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6"/>
                <w:szCs w:val="16"/>
              </w:rPr>
              <w:t xml:space="preserve">HARD ROI
(Retorno Cuantificable)</w:t>
            </w:r>
          </w:p>
        </w:tc>
        <w:tc>
          <w:tcPr>
            <w:tcW w:type="dxa" w:w="12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val="false"/>
                <w:bCs w:val="false"/>
                <w:color w:val="1A6E23"/>
                <w:sz w:val="15"/>
                <w:szCs w:val="15"/>
              </w:rPr>
              <w:t xml:space="preserve">0-12 meses</w:t>
            </w:r>
          </w:p>
        </w:tc>
        <w:tc>
          <w:tcPr>
            <w:tcW w:type="dxa" w:w="22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20"/>
            </w:pPr>
            <w:r>
              <w:rPr>
                <w:rFonts w:ascii="Arial" w:cs="Arial" w:eastAsia="Arial" w:hAnsi="Arial"/>
                <w:color w:val="1A1A2E"/>
                <w:sz w:val="15"/>
                <w:szCs w:val="15"/>
              </w:rPr>
              <w:t xml:space="preserve">• Horas de trabajo ahorradas × costo/hora</w:t>
            </w:r>
          </w:p>
          <w:p>
            <w:pPr>
              <w:spacing w:before="0" w:after="20"/>
            </w:pPr>
            <w:r>
              <w:rPr>
                <w:rFonts w:ascii="Arial" w:cs="Arial" w:eastAsia="Arial" w:hAnsi="Arial"/>
                <w:color w:val="1A1A2E"/>
                <w:sz w:val="15"/>
                <w:szCs w:val="15"/>
              </w:rPr>
              <w:t xml:space="preserve">• Reducción de headcount en procesos específicos</w:t>
            </w:r>
          </w:p>
          <w:p>
            <w:pPr>
              <w:spacing w:before="0" w:after="20"/>
            </w:pPr>
            <w:r>
              <w:rPr>
                <w:rFonts w:ascii="Arial" w:cs="Arial" w:eastAsia="Arial" w:hAnsi="Arial"/>
                <w:color w:val="1A1A2E"/>
                <w:sz w:val="15"/>
                <w:szCs w:val="15"/>
              </w:rPr>
              <w:t xml:space="preserve">• Reducción de costo por ticket de soporte</w:t>
            </w:r>
          </w:p>
          <w:p>
            <w:pPr>
              <w:spacing w:before="0" w:after="20"/>
            </w:pPr>
            <w:r>
              <w:rPr>
                <w:rFonts w:ascii="Arial" w:cs="Arial" w:eastAsia="Arial" w:hAnsi="Arial"/>
                <w:color w:val="1A1A2E"/>
                <w:sz w:val="15"/>
                <w:szCs w:val="15"/>
              </w:rPr>
              <w:t xml:space="preserve">• Reducción de tiempo de revisión de código</w:t>
            </w:r>
          </w:p>
          <w:p>
            <w:pPr>
              <w:spacing w:before="0" w:after="0"/>
            </w:pPr>
            <w:r>
              <w:rPr>
                <w:rFonts w:ascii="Arial" w:cs="Arial" w:eastAsia="Arial" w:hAnsi="Arial"/>
                <w:color w:val="1A1A2E"/>
                <w:sz w:val="15"/>
                <w:szCs w:val="15"/>
              </w:rPr>
              <w:t xml:space="preserve">• Costo diferencial de brechas evitadas ($670K/brecha con Shadow AI)</w:t>
            </w:r>
          </w:p>
        </w:tc>
        <w:tc>
          <w:tcPr>
            <w:tcW w:type="dxa" w:w="22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CFO, Board, CEO
(decisiones de presupuesto)</w:t>
            </w:r>
          </w:p>
        </w:tc>
        <w:tc>
          <w:tcPr>
            <w:tcW w:type="dxa" w:w="22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Baseline pre-implementación → medición post-implementación. Calculadora: ROI = (Δ ahorro + Δ revenue + costos evitados) − TCO.</w:t>
            </w:r>
          </w:p>
        </w:tc>
      </w:tr>
      <w:tr>
        <w:tc>
          <w:tcPr>
            <w:tcW w:type="dxa" w:w="15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center"/>
          </w:tcPr>
          <w:p>
            <w:pPr>
              <w:jc w:val="center"/>
            </w:pPr>
            <w:r>
              <w:rPr>
                <w:rFonts w:ascii="Arial" w:cs="Arial" w:eastAsia="Arial" w:hAnsi="Arial"/>
                <w:b/>
                <w:bCs/>
                <w:color w:val="1F3864"/>
                <w:sz w:val="16"/>
                <w:szCs w:val="16"/>
              </w:rPr>
              <w:t xml:space="preserve">SOFT ROI
(Valor Indirecto)</w:t>
            </w:r>
          </w:p>
        </w:tc>
        <w:tc>
          <w:tcPr>
            <w:tcW w:type="dxa" w:w="12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center"/>
          </w:tcPr>
          <w:p>
            <w:pPr>
              <w:jc w:val="center"/>
            </w:pPr>
            <w:r>
              <w:rPr>
                <w:rFonts w:ascii="Arial" w:cs="Arial" w:eastAsia="Arial" w:hAnsi="Arial"/>
                <w:b w:val="false"/>
                <w:bCs w:val="false"/>
                <w:color w:val="1F3864"/>
                <w:sz w:val="15"/>
                <w:szCs w:val="15"/>
              </w:rPr>
              <w:t xml:space="preserve">3-18 meses</w:t>
            </w:r>
          </w:p>
        </w:tc>
        <w:tc>
          <w:tcPr>
            <w:tcW w:type="dxa" w:w="22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20"/>
            </w:pPr>
            <w:r>
              <w:rPr>
                <w:rFonts w:ascii="Arial" w:cs="Arial" w:eastAsia="Arial" w:hAnsi="Arial"/>
                <w:color w:val="1A1A2E"/>
                <w:sz w:val="15"/>
                <w:szCs w:val="15"/>
              </w:rPr>
              <w:t xml:space="preserve">• Net Promoter Score (NPS) de clientes y empleados</w:t>
            </w:r>
          </w:p>
          <w:p>
            <w:pPr>
              <w:spacing w:before="0" w:after="20"/>
            </w:pPr>
            <w:r>
              <w:rPr>
                <w:rFonts w:ascii="Arial" w:cs="Arial" w:eastAsia="Arial" w:hAnsi="Arial"/>
                <w:color w:val="1A1A2E"/>
                <w:sz w:val="15"/>
                <w:szCs w:val="15"/>
              </w:rPr>
              <w:t xml:space="preserve">• Velocidad de onboarding y capacitación</w:t>
            </w:r>
          </w:p>
          <w:p>
            <w:pPr>
              <w:spacing w:before="0" w:after="20"/>
            </w:pPr>
            <w:r>
              <w:rPr>
                <w:rFonts w:ascii="Arial" w:cs="Arial" w:eastAsia="Arial" w:hAnsi="Arial"/>
                <w:color w:val="1A1A2E"/>
                <w:sz w:val="15"/>
                <w:szCs w:val="15"/>
              </w:rPr>
              <w:t xml:space="preserve">• Satisfacción del analista de seguridad (reducción de fatiga de alertas)</w:t>
            </w:r>
          </w:p>
          <w:p>
            <w:pPr>
              <w:spacing w:before="0" w:after="20"/>
            </w:pPr>
            <w:r>
              <w:rPr>
                <w:rFonts w:ascii="Arial" w:cs="Arial" w:eastAsia="Arial" w:hAnsi="Arial"/>
                <w:color w:val="1A1A2E"/>
                <w:sz w:val="15"/>
                <w:szCs w:val="15"/>
              </w:rPr>
              <w:t xml:space="preserve">• Tasa de adopción de herramientas (proxy de valor percibido)</w:t>
            </w:r>
          </w:p>
          <w:p>
            <w:pPr>
              <w:spacing w:before="0" w:after="0"/>
            </w:pPr>
            <w:r>
              <w:rPr>
                <w:rFonts w:ascii="Arial" w:cs="Arial" w:eastAsia="Arial" w:hAnsi="Arial"/>
                <w:color w:val="1A1A2E"/>
                <w:sz w:val="15"/>
                <w:szCs w:val="15"/>
              </w:rPr>
              <w:t xml:space="preserve">• Velocidad de entrega (cycle time en desarrollo, cierre de incidentes)</w:t>
            </w:r>
          </w:p>
        </w:tc>
        <w:tc>
          <w:tcPr>
            <w:tcW w:type="dxa" w:w="22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CHRO, CTO, CISO
(casos de talento y operaciones)</w:t>
            </w:r>
          </w:p>
        </w:tc>
        <w:tc>
          <w:tcPr>
            <w:tcW w:type="dxa" w:w="22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Encuestas periódicas, análisis de logs de uso, tiempo de resolución de tickets. Establecer baseline antes del deployment.</w:t>
            </w:r>
          </w:p>
        </w:tc>
      </w:tr>
      <w:tr>
        <w:tc>
          <w:tcPr>
            <w:tcW w:type="dxa" w:w="15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bCs/>
                <w:color w:val="7F4F00"/>
                <w:sz w:val="16"/>
                <w:szCs w:val="16"/>
              </w:rPr>
              <w:t xml:space="preserve">STRATEGIC ROI
(Ventaja Competitiva)</w:t>
            </w:r>
          </w:p>
        </w:tc>
        <w:tc>
          <w:tcPr>
            <w:tcW w:type="dxa" w:w="12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7F4F00"/>
                <w:sz w:val="15"/>
                <w:szCs w:val="15"/>
              </w:rPr>
              <w:t xml:space="preserve">12-36 meses</w:t>
            </w:r>
          </w:p>
        </w:tc>
        <w:tc>
          <w:tcPr>
            <w:tcW w:type="dxa" w:w="22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20"/>
            </w:pPr>
            <w:r>
              <w:rPr>
                <w:rFonts w:ascii="Arial" w:cs="Arial" w:eastAsia="Arial" w:hAnsi="Arial"/>
                <w:color w:val="1A1A2E"/>
                <w:sz w:val="15"/>
                <w:szCs w:val="15"/>
              </w:rPr>
              <w:t xml:space="preserve">• Nuevos productos o servicios habilitados por IA</w:t>
            </w:r>
          </w:p>
          <w:p>
            <w:pPr>
              <w:spacing w:before="0" w:after="20"/>
            </w:pPr>
            <w:r>
              <w:rPr>
                <w:rFonts w:ascii="Arial" w:cs="Arial" w:eastAsia="Arial" w:hAnsi="Arial"/>
                <w:color w:val="1A1A2E"/>
                <w:sz w:val="15"/>
                <w:szCs w:val="15"/>
              </w:rPr>
              <w:t xml:space="preserve">• Posicionamiento regulatorio (compliance proactivo EU AI Act → ventaja en licitaciones)</w:t>
            </w:r>
          </w:p>
          <w:p>
            <w:pPr>
              <w:spacing w:before="0" w:after="20"/>
            </w:pPr>
            <w:r>
              <w:rPr>
                <w:rFonts w:ascii="Arial" w:cs="Arial" w:eastAsia="Arial" w:hAnsi="Arial"/>
                <w:color w:val="1A1A2E"/>
                <w:sz w:val="15"/>
                <w:szCs w:val="15"/>
              </w:rPr>
              <w:t xml:space="preserve">• Revenue por nuevos clientes que requieren IA responsable como prerequisito</w:t>
            </w:r>
          </w:p>
          <w:p>
            <w:pPr>
              <w:spacing w:before="0" w:after="20"/>
            </w:pPr>
            <w:r>
              <w:rPr>
                <w:rFonts w:ascii="Arial" w:cs="Arial" w:eastAsia="Arial" w:hAnsi="Arial"/>
                <w:color w:val="1A1A2E"/>
                <w:sz w:val="15"/>
                <w:szCs w:val="15"/>
              </w:rPr>
              <w:t xml:space="preserve">• Reducción de prima de seguro cibernético por madurez de gobernanza de IA</w:t>
            </w:r>
          </w:p>
          <w:p>
            <w:pPr>
              <w:spacing w:before="0" w:after="0"/>
            </w:pPr>
            <w:r>
              <w:rPr>
                <w:rFonts w:ascii="Arial" w:cs="Arial" w:eastAsia="Arial" w:hAnsi="Arial"/>
                <w:color w:val="1A1A2E"/>
                <w:sz w:val="15"/>
                <w:szCs w:val="15"/>
              </w:rPr>
              <w:t xml:space="preserve">• Retención de talento senior en rol de seguridad y datos</w:t>
            </w:r>
          </w:p>
        </w:tc>
        <w:tc>
          <w:tcPr>
            <w:tcW w:type="dxa" w:w="22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CEO, Board
(decisiones estratégicas de 3-5 años)</w:t>
            </w:r>
          </w:p>
        </w:tc>
        <w:tc>
          <w:tcPr>
            <w:tcW w:type="dxa" w:w="22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Análisis de mercado, win/loss de oportunidades comerciales, valoración actuarial de riesgo evitado.</w:t>
            </w:r>
          </w:p>
        </w:tc>
      </w:tr>
      <w:tr>
        <w:tc>
          <w:tcPr>
            <w:tcW w:type="dxa" w:w="15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bCs/>
                <w:color w:val="C00000"/>
                <w:sz w:val="16"/>
                <w:szCs w:val="16"/>
              </w:rPr>
              <w:t xml:space="preserve">RISK ROI
(Valor del Riesgo Evitado)</w:t>
            </w:r>
          </w:p>
        </w:tc>
        <w:tc>
          <w:tcPr>
            <w:tcW w:type="dxa" w:w="12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center"/>
          </w:tcPr>
          <w:p>
            <w:pPr>
              <w:jc w:val="center"/>
            </w:pPr>
            <w:r>
              <w:rPr>
                <w:rFonts w:ascii="Arial" w:cs="Arial" w:eastAsia="Arial" w:hAnsi="Arial"/>
                <w:b w:val="false"/>
                <w:bCs w:val="false"/>
                <w:color w:val="C00000"/>
                <w:sz w:val="15"/>
                <w:szCs w:val="15"/>
              </w:rPr>
              <w:t xml:space="preserve">Continuo</w:t>
            </w:r>
          </w:p>
        </w:tc>
        <w:tc>
          <w:tcPr>
            <w:tcW w:type="dxa" w:w="22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20"/>
            </w:pPr>
            <w:r>
              <w:rPr>
                <w:rFonts w:ascii="Arial" w:cs="Arial" w:eastAsia="Arial" w:hAnsi="Arial"/>
                <w:color w:val="1A1A2E"/>
                <w:sz w:val="15"/>
                <w:szCs w:val="15"/>
              </w:rPr>
              <w:t xml:space="preserve">• Multas EU AI Act evitadas (hasta €35M o 7% facturación global)</w:t>
            </w:r>
          </w:p>
          <w:p>
            <w:pPr>
              <w:spacing w:before="0" w:after="20"/>
            </w:pPr>
            <w:r>
              <w:rPr>
                <w:rFonts w:ascii="Arial" w:cs="Arial" w:eastAsia="Arial" w:hAnsi="Arial"/>
                <w:color w:val="1A1A2E"/>
                <w:sz w:val="15"/>
                <w:szCs w:val="15"/>
              </w:rPr>
              <w:t xml:space="preserve">• Costo diferencial de brechas con Shadow AI ($670K por evento)</w:t>
            </w:r>
          </w:p>
          <w:p>
            <w:pPr>
              <w:spacing w:before="0" w:after="20"/>
            </w:pPr>
            <w:r>
              <w:rPr>
                <w:rFonts w:ascii="Arial" w:cs="Arial" w:eastAsia="Arial" w:hAnsi="Arial"/>
                <w:color w:val="1A1A2E"/>
                <w:sz w:val="15"/>
                <w:szCs w:val="15"/>
              </w:rPr>
              <w:t xml:space="preserve">• Litigación evitada por indemnización IP del proveedor</w:t>
            </w:r>
          </w:p>
          <w:p>
            <w:pPr>
              <w:spacing w:before="0" w:after="20"/>
            </w:pPr>
            <w:r>
              <w:rPr>
                <w:rFonts w:ascii="Arial" w:cs="Arial" w:eastAsia="Arial" w:hAnsi="Arial"/>
                <w:color w:val="1A1A2E"/>
                <w:sz w:val="15"/>
                <w:szCs w:val="15"/>
              </w:rPr>
              <w:t xml:space="preserve">• Daño reputacional evitado (estimado en múltiplos del ingreso anual)</w:t>
            </w:r>
          </w:p>
          <w:p>
            <w:pPr>
              <w:spacing w:before="0" w:after="0"/>
            </w:pPr>
            <w:r>
              <w:rPr>
                <w:rFonts w:ascii="Arial" w:cs="Arial" w:eastAsia="Arial" w:hAnsi="Arial"/>
                <w:color w:val="1A1A2E"/>
                <w:sz w:val="15"/>
                <w:szCs w:val="15"/>
              </w:rPr>
              <w:t xml:space="preserve">• Costo de incidentes de seguridad de IA evitados ($4.5M promedio por brecha — IBM 2025)</w:t>
            </w:r>
          </w:p>
        </w:tc>
        <w:tc>
          <w:tcPr>
            <w:tcW w:type="dxa" w:w="22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CISO, CRO, Board
(gestión de riesgo enterprise)</w:t>
            </w:r>
          </w:p>
        </w:tc>
        <w:tc>
          <w:tcPr>
            <w:tcW w:type="dxa" w:w="22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Análisis de escenarios probabilísticos, Expected Loss = P(evento) × Costo(evento). Comparar con inversión en gobernanza.</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9.1.1 La Fórmula Base de ROI y su Aplicación al Contexto de IA</w:t>
      </w:r>
    </w:p>
    <w:p>
      <w:pPr>
        <w:spacing w:before="60" w:after="100"/>
      </w:pPr>
      <w:r>
        <w:rPr>
          <w:rFonts w:ascii="Arial" w:cs="Arial" w:eastAsia="Arial" w:hAnsi="Arial"/>
          <w:b/>
          <w:bCs/>
          <w:color w:val="1A1A2E"/>
          <w:sz w:val="20"/>
          <w:szCs w:val="20"/>
        </w:rPr>
        <w:t xml:space="preserve">ROI estándar: </w:t>
      </w:r>
      <w:r>
        <w:rPr>
          <w:rFonts w:ascii="Arial" w:cs="Arial" w:eastAsia="Arial" w:hAnsi="Arial"/>
          <w:color w:val="1A1A2E"/>
          <w:sz w:val="20"/>
          <w:szCs w:val="20"/>
        </w:rPr>
        <w:t xml:space="preserve">ROI = (Beneficios netos − Inversión total) / Inversión total × 100%</w:t>
      </w:r>
    </w:p>
    <w:p>
      <w:pPr>
        <w:spacing w:before="60" w:after="100"/>
      </w:pPr>
      <w:r>
        <w:rPr>
          <w:rFonts w:ascii="Arial" w:cs="Arial" w:eastAsia="Arial" w:hAnsi="Arial"/>
          <w:b/>
          <w:bCs/>
          <w:color w:val="1A1A2E"/>
          <w:sz w:val="20"/>
          <w:szCs w:val="20"/>
        </w:rPr>
        <w:t xml:space="preserve">Payback simple: </w:t>
      </w:r>
      <w:r>
        <w:rPr>
          <w:rFonts w:ascii="Arial" w:cs="Arial" w:eastAsia="Arial" w:hAnsi="Arial"/>
          <w:color w:val="1A1A2E"/>
          <w:sz w:val="20"/>
          <w:szCs w:val="20"/>
        </w:rPr>
        <w:t xml:space="preserve">Payback = Inversión total / Ahorro mensual = N meses hasta break-even</w:t>
      </w:r>
    </w:p>
    <w:p>
      <w:pPr>
        <w:spacing w:before="60" w:after="100"/>
      </w:pPr>
      <w:r>
        <w:rPr>
          <w:rFonts w:ascii="Arial" w:cs="Arial" w:eastAsia="Arial" w:hAnsi="Arial"/>
          <w:b/>
          <w:bCs/>
          <w:color w:val="1A1A2E"/>
          <w:sz w:val="20"/>
          <w:szCs w:val="20"/>
        </w:rPr>
        <w:t xml:space="preserve">Aplicación a IA enterprise: </w:t>
      </w:r>
      <w:r>
        <w:rPr>
          <w:rFonts w:ascii="Arial" w:cs="Arial" w:eastAsia="Arial" w:hAnsi="Arial"/>
          <w:color w:val="1A1A2E"/>
          <w:sz w:val="20"/>
          <w:szCs w:val="20"/>
        </w:rPr>
        <w:t xml:space="preserve">La mayoría de organizaciones aceptan el benchmark: ROI = (Δ revenue + Δ margen bruto + costos evitados) − TCO, con target de payback &lt;2 trimestres para casos operacionales y &lt;12 meses para plataformas de productividad desarrollador (CIO.com, dic. 2025).</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9.1.2 El Problema de la Atribución</w:t>
      </w:r>
    </w:p>
    <w:p>
      <w:pPr>
        <w:spacing w:before="60" w:after="100"/>
      </w:pPr>
      <w:r>
        <w:rPr>
          <w:rFonts w:ascii="Arial" w:cs="Arial" w:eastAsia="Arial" w:hAnsi="Arial"/>
          <w:color w:val="1A1A2E"/>
          <w:sz w:val="20"/>
          <w:szCs w:val="20"/>
        </w:rPr>
        <w:t xml:space="preserve">El mayor desafío en la medición de ROI de IA no es el cálculo — es la atribución. Cuando un agente de IA reduce los tickets de soporte, ¿cuánto se debe a la IA, a la mejora de la base de conocimientos que se hizo en paralelo, o al rediseño del proceso de escalación? Tres principios para resolver la atribución: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w:t>
            </w:r>
          </w:p>
        </w:tc>
        <w:tc>
          <w:tcPr>
            <w:tcW w:type="dxa" w:w="39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PRINCIPIO</w:t>
            </w:r>
          </w:p>
        </w:tc>
        <w:tc>
          <w:tcPr>
            <w:tcW w:type="dxa" w:w="39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IMPLEMENTACIÓN PRÁCTICA</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1. Baseline riguroso</w:t>
            </w:r>
          </w:p>
        </w:tc>
        <w:tc>
          <w:tcPr>
            <w:tcW w:type="dxa" w:w="39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Medir métricas de referencia durante al menos 30 días antes de implementar la IA. Sin baseline, no hay atribución posible.</w:t>
            </w:r>
          </w:p>
        </w:tc>
        <w:tc>
          <w:tcPr>
            <w:tcW w:type="dxa" w:w="39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Definir un 'grupo de control' — un equipo o proceso equivalente sin IA — para comparar evolución vs. el grupo con IA durante los primeros 90 días.</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2. KPIs pre-definidos</w:t>
            </w:r>
          </w:p>
        </w:tc>
        <w:tc>
          <w:tcPr>
            <w:tcW w:type="dxa" w:w="39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Los KPIs de éxito deben definirse ANTES de la implementación, no seleccionados post-hoc para mostrar buenos resultados.</w:t>
            </w:r>
          </w:p>
        </w:tc>
        <w:tc>
          <w:tcPr>
            <w:tcW w:type="dxa" w:w="39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Registrar los KPIs comprometidos en el documento de aprobación del proyecto. Incluir KPIs negativos esperados (costos de implementación, curva de aprendizaje).</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3. Modelo de tres lentes</w:t>
            </w:r>
          </w:p>
        </w:tc>
        <w:tc>
          <w:tcPr>
            <w:tcW w:type="dxa" w:w="39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Atalla (Transformativ, CIO.com 2025): Productividad (tiempo ahorrado), Precisión (reducción de errores), y Value Realization Speed (qué % de beneficios se captura en los primeros 90 días).</w:t>
            </w:r>
          </w:p>
        </w:tc>
        <w:tc>
          <w:tcPr>
            <w:tcW w:type="dxa" w:w="398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Reportar las tres lentes trimestralmente al comité de gobernanza. Aceptar que no todos los beneficios son capturables en los primeros 6 meses.</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9.2 TCO REAL: LOS COSTOS VISIBLES E INVISIBLES DEL 85%</w:t>
      </w:r>
    </w:p>
    <w:p>
      <w:pPr>
        <w:pBdr>
          <w:bottom w:val="single" w:color="BDD7EE" w:sz="4"/>
        </w:pBdr>
        <w:spacing w:before="80" w:after="80"/>
      </w:pPr>
    </w:p>
    <w:p>
      <w:pPr>
        <w:spacing w:before="60" w:after="100"/>
      </w:pPr>
      <w:r>
        <w:rPr>
          <w:rFonts w:ascii="Arial" w:cs="Arial" w:eastAsia="Arial" w:hAnsi="Arial"/>
          <w:color w:val="1A1A2E"/>
          <w:sz w:val="20"/>
          <w:szCs w:val="20"/>
        </w:rPr>
        <w:t xml:space="preserve">El 85% de las organizaciones subestima los costos de un proyecto de IA en más del 10% (dato de mercado 2025). El costo real de un deployment enterprise es entre 3x y 5x el precio de la suscripción o licencia anunciada por el proveedor. Entender el TCO completo es prerequisito para cualquier caso de negocio creíble ante el C-Suite.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680"/>
        <w:gridCol w:w="1680"/>
      </w:tblGrid>
      <w:tr>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CATEGORÍA</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COMPONENTE DE COSTO</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w:t>
            </w:r>
          </w:p>
        </w:tc>
        <w:tc>
          <w:tcPr>
            <w:tcW w:type="dxa" w:w="16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TCO TÍPICO</w:t>
            </w:r>
          </w:p>
        </w:tc>
        <w:tc>
          <w:tcPr>
            <w:tcW w:type="dxa" w:w="16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VISIBLE EN COTIZACIÓN</w:t>
            </w:r>
          </w:p>
        </w:tc>
      </w:tr>
      <w:tr>
        <w:tc>
          <w:tcPr>
            <w:tcW w:type="dxa" w:w="12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center"/>
            </w:pPr>
            <w:r>
              <w:rPr>
                <w:rFonts w:ascii="Arial" w:cs="Arial" w:eastAsia="Arial" w:hAnsi="Arial"/>
                <w:b/>
                <w:bCs/>
                <w:color w:val="1A6E23"/>
                <w:sz w:val="14"/>
                <w:szCs w:val="14"/>
              </w:rPr>
              <w:t xml:space="preserve">COSTOS
VISIBLES
(15-20% del TCO real)</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Licencia / Suscripción</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Precio por seat (Microsoft Copilot: $30/user/mes), por token (API de LLM) o enterprise flat fee. Base del contrato negociado.</w:t>
            </w:r>
          </w:p>
        </w:tc>
        <w:tc>
          <w:tcPr>
            <w:tcW w:type="dxa" w:w="16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center"/>
            </w:pPr>
            <w:r>
              <w:rPr>
                <w:rFonts w:ascii="Arial" w:cs="Arial" w:eastAsia="Arial" w:hAnsi="Arial"/>
                <w:b w:val="false"/>
                <w:bCs w:val="false"/>
                <w:color w:val="1A6E23"/>
                <w:sz w:val="15"/>
                <w:szCs w:val="15"/>
              </w:rPr>
              <w:t xml:space="preserve">8-12%</w:t>
            </w:r>
          </w:p>
        </w:tc>
        <w:tc>
          <w:tcPr>
            <w:tcW w:type="dxa" w:w="16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center"/>
            </w:pPr>
            <w:r>
              <w:rPr>
                <w:rFonts w:ascii="Arial" w:cs="Arial" w:eastAsia="Arial" w:hAnsi="Arial"/>
                <w:b w:val="false"/>
                <w:bCs w:val="false"/>
                <w:color w:val="1A6E23"/>
                <w:sz w:val="15"/>
                <w:szCs w:val="15"/>
              </w:rPr>
              <w:t xml:space="preserve">✅ SÍ</w:t>
            </w:r>
          </w:p>
        </w:tc>
      </w:tr>
      <w:tr>
        <w:tc>
          <w:tcPr>
            <w:tcW w:type="dxa" w:w="1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Plataforma cloud base</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Cómputo subyacente, almacenamiento, redes. Costo de infraestructura del proveedor cloud que soporta el deployment de IA.</w:t>
            </w:r>
          </w:p>
        </w:tc>
        <w:tc>
          <w:tcPr>
            <w:tcW w:type="dxa" w:w="1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4-6%</w:t>
            </w:r>
          </w:p>
        </w:tc>
        <w:tc>
          <w:tcPr>
            <w:tcW w:type="dxa" w:w="16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center"/>
            </w:pPr>
            <w:r>
              <w:rPr>
                <w:rFonts w:ascii="Arial" w:cs="Arial" w:eastAsia="Arial" w:hAnsi="Arial"/>
                <w:b w:val="false"/>
                <w:bCs w:val="false"/>
                <w:color w:val="1A6E23"/>
                <w:sz w:val="15"/>
                <w:szCs w:val="15"/>
              </w:rPr>
              <w:t xml:space="preserve">✅ SÍ</w:t>
            </w:r>
          </w:p>
        </w:tc>
      </w:tr>
      <w:tr>
        <w:tc>
          <w:tcPr>
            <w:tcW w:type="dxa" w:w="1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Soporte técnico</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Nivel de soporte contratado (Enterprise, Premier). Incluye SLAs de respuesta.</w:t>
            </w:r>
          </w:p>
        </w:tc>
        <w:tc>
          <w:tcPr>
            <w:tcW w:type="dxa" w:w="1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2-4%</w:t>
            </w:r>
          </w:p>
        </w:tc>
        <w:tc>
          <w:tcPr>
            <w:tcW w:type="dxa" w:w="16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center"/>
            </w:pPr>
            <w:r>
              <w:rPr>
                <w:rFonts w:ascii="Arial" w:cs="Arial" w:eastAsia="Arial" w:hAnsi="Arial"/>
                <w:b w:val="false"/>
                <w:bCs w:val="false"/>
                <w:color w:val="1A6E23"/>
                <w:sz w:val="15"/>
                <w:szCs w:val="15"/>
              </w:rPr>
              <w:t xml:space="preserve">✅ SÍ</w:t>
            </w:r>
          </w:p>
        </w:tc>
      </w:tr>
      <w:tr>
        <w:tc>
          <w:tcPr>
            <w:tcW w:type="dxa" w:w="12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center"/>
            </w:pPr>
            <w:r>
              <w:rPr>
                <w:rFonts w:ascii="Arial" w:cs="Arial" w:eastAsia="Arial" w:hAnsi="Arial"/>
                <w:b/>
                <w:bCs/>
                <w:color w:val="7F4F00"/>
                <w:sz w:val="14"/>
                <w:szCs w:val="14"/>
              </w:rPr>
              <w:t xml:space="preserve">COSTOS
SEMI-VISIBLES
(~40% del TCO real)</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Integración con sistemas existentes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Conectar la IA con CRM, ERP, ITSM, SIEM, bases de datos propias. Una healthcare provider encontró que el 63% de sus gastos provinieron de la optimización de pipelines de datos — no en la suscripción.</w:t>
            </w:r>
          </w:p>
        </w:tc>
        <w:tc>
          <w:tcPr>
            <w:tcW w:type="dxa" w:w="16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center"/>
            </w:pPr>
            <w:r>
              <w:rPr>
                <w:rFonts w:ascii="Arial" w:cs="Arial" w:eastAsia="Arial" w:hAnsi="Arial"/>
                <w:b w:val="false"/>
                <w:bCs w:val="false"/>
                <w:color w:val="7F4F00"/>
                <w:sz w:val="15"/>
                <w:szCs w:val="15"/>
              </w:rPr>
              <w:t xml:space="preserve">15-20%</w:t>
            </w:r>
          </w:p>
        </w:tc>
        <w:tc>
          <w:tcPr>
            <w:tcW w:type="dxa" w:w="16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center"/>
            </w:pPr>
            <w:r>
              <w:rPr>
                <w:rFonts w:ascii="Arial" w:cs="Arial" w:eastAsia="Arial" w:hAnsi="Arial"/>
                <w:b w:val="false"/>
                <w:bCs w:val="false"/>
                <w:color w:val="7F4F00"/>
                <w:sz w:val="15"/>
                <w:szCs w:val="15"/>
              </w:rPr>
              <w:t xml:space="preserve">⚠️ PARCIAL</w:t>
            </w:r>
          </w:p>
        </w:tc>
      </w:tr>
      <w:tr>
        <w:tc>
          <w:tcPr>
            <w:tcW w:type="dxa" w:w="1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Preparación y calidad de datos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Limpieza, normalización, etiquetado de datos para RAG, fine-tuning o entrenamiento de modelos propios. El costo más subestimado en proyectos de IA.</w:t>
            </w:r>
          </w:p>
        </w:tc>
        <w:tc>
          <w:tcPr>
            <w:tcW w:type="dxa" w:w="1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12-18%</w:t>
            </w:r>
          </w:p>
        </w:tc>
        <w:tc>
          <w:tcPr>
            <w:tcW w:type="dxa" w:w="16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center"/>
            </w:pPr>
            <w:r>
              <w:rPr>
                <w:rFonts w:ascii="Arial" w:cs="Arial" w:eastAsia="Arial" w:hAnsi="Arial"/>
                <w:b w:val="false"/>
                <w:bCs w:val="false"/>
                <w:color w:val="7F4F00"/>
                <w:sz w:val="15"/>
                <w:szCs w:val="15"/>
              </w:rPr>
              <w:t xml:space="preserve">⚠️ PARCIAL</w:t>
            </w:r>
          </w:p>
        </w:tc>
      </w:tr>
      <w:tr>
        <w:tc>
          <w:tcPr>
            <w:tcW w:type="dxa" w:w="1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Customización y prompts engineering</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Diseño de system prompts, tuning de comportamiento del modelo, pruebas de calidad de outputs. Recurso especializado escaso.</w:t>
            </w:r>
          </w:p>
        </w:tc>
        <w:tc>
          <w:tcPr>
            <w:tcW w:type="dxa" w:w="1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8-10%</w:t>
            </w:r>
          </w:p>
        </w:tc>
        <w:tc>
          <w:tcPr>
            <w:tcW w:type="dxa" w:w="16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center"/>
            </w:pPr>
            <w:r>
              <w:rPr>
                <w:rFonts w:ascii="Arial" w:cs="Arial" w:eastAsia="Arial" w:hAnsi="Arial"/>
                <w:b w:val="false"/>
                <w:bCs w:val="false"/>
                <w:color w:val="C00000"/>
                <w:sz w:val="15"/>
                <w:szCs w:val="15"/>
              </w:rPr>
              <w:t xml:space="preserve">❌ NO</w:t>
            </w:r>
          </w:p>
        </w:tc>
      </w:tr>
      <w:tr>
        <w:tc>
          <w:tcPr>
            <w:tcW w:type="dxa" w:w="12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center"/>
            </w:pPr>
            <w:r>
              <w:rPr>
                <w:rFonts w:ascii="Arial" w:cs="Arial" w:eastAsia="Arial" w:hAnsi="Arial"/>
                <w:b/>
                <w:bCs/>
                <w:color w:val="C00000"/>
                <w:sz w:val="14"/>
                <w:szCs w:val="14"/>
              </w:rPr>
              <w:t xml:space="preserve">COSTOS
INVISIBLES
(~40-45% del TCO real)</w:t>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Personal especializado</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Desarrolladores de IA ($180,000+/año en EE.UU.), ML engineers, prompt engineers, AI governance officers. El costo de talento puede superar el costo de infraestructura.</w:t>
            </w:r>
          </w:p>
        </w:tc>
        <w:tc>
          <w:tcPr>
            <w:tcW w:type="dxa" w:w="16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center"/>
            </w:pPr>
            <w:r>
              <w:rPr>
                <w:rFonts w:ascii="Arial" w:cs="Arial" w:eastAsia="Arial" w:hAnsi="Arial"/>
                <w:b w:val="false"/>
                <w:bCs w:val="false"/>
                <w:color w:val="C00000"/>
                <w:sz w:val="15"/>
                <w:szCs w:val="15"/>
              </w:rPr>
              <w:t xml:space="preserve">15-20%</w:t>
            </w:r>
          </w:p>
        </w:tc>
        <w:tc>
          <w:tcPr>
            <w:tcW w:type="dxa" w:w="16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center"/>
            </w:pPr>
            <w:r>
              <w:rPr>
                <w:rFonts w:ascii="Arial" w:cs="Arial" w:eastAsia="Arial" w:hAnsi="Arial"/>
                <w:b w:val="false"/>
                <w:bCs w:val="false"/>
                <w:color w:val="C00000"/>
                <w:sz w:val="15"/>
                <w:szCs w:val="15"/>
              </w:rPr>
              <w:t xml:space="preserve">❌ NO</w:t>
            </w:r>
          </w:p>
        </w:tc>
      </w:tr>
      <w:tr>
        <w:tc>
          <w:tcPr>
            <w:tcW w:type="dxa" w:w="1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Gobernanza y compliance</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Implementación de frameworks (ISO 42001, NIST AI RMF), auditorías, gestión de riesgo regulatorio (EU AI Act), DPOs, legal counsel. TRooTech (2026): la gobernanza embebida desde el inicio reduce costos de fricción operativa.</w:t>
            </w:r>
          </w:p>
        </w:tc>
        <w:tc>
          <w:tcPr>
            <w:tcW w:type="dxa" w:w="1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8-12%</w:t>
            </w:r>
          </w:p>
        </w:tc>
        <w:tc>
          <w:tcPr>
            <w:tcW w:type="dxa" w:w="16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center"/>
            </w:pPr>
            <w:r>
              <w:rPr>
                <w:rFonts w:ascii="Arial" w:cs="Arial" w:eastAsia="Arial" w:hAnsi="Arial"/>
                <w:b w:val="false"/>
                <w:bCs w:val="false"/>
                <w:color w:val="C00000"/>
                <w:sz w:val="15"/>
                <w:szCs w:val="15"/>
              </w:rPr>
              <w:t xml:space="preserve">❌ NO</w:t>
            </w:r>
          </w:p>
        </w:tc>
      </w:tr>
      <w:tr>
        <w:tc>
          <w:tcPr>
            <w:tcW w:type="dxa" w:w="1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Change management y capacitación</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Entrenamiento de usuarios finales, gestión del cambio organizacional, comunicación interna, AI Champions. Sin esta inversión, la tasa de adopción colapsa.</w:t>
            </w:r>
          </w:p>
        </w:tc>
        <w:tc>
          <w:tcPr>
            <w:tcW w:type="dxa" w:w="1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6-10%</w:t>
            </w:r>
          </w:p>
        </w:tc>
        <w:tc>
          <w:tcPr>
            <w:tcW w:type="dxa" w:w="16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center"/>
            </w:pPr>
            <w:r>
              <w:rPr>
                <w:rFonts w:ascii="Arial" w:cs="Arial" w:eastAsia="Arial" w:hAnsi="Arial"/>
                <w:b w:val="false"/>
                <w:bCs w:val="false"/>
                <w:color w:val="C00000"/>
                <w:sz w:val="15"/>
                <w:szCs w:val="15"/>
              </w:rPr>
              <w:t xml:space="preserve">❌ NO</w:t>
            </w:r>
          </w:p>
        </w:tc>
      </w:tr>
      <w:tr>
        <w:tc>
          <w:tcPr>
            <w:tcW w:type="dxa" w:w="1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Model drift y optimización continua</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Los modelos de IA degradan su rendimiento con el tiempo (data drift, model drift). La reoptimización continua consume entre el 30-40% del presupuesto operativo en deployments maduros.</w:t>
            </w:r>
          </w:p>
        </w:tc>
        <w:tc>
          <w:tcPr>
            <w:tcW w:type="dxa" w:w="1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8-12%</w:t>
            </w:r>
          </w:p>
        </w:tc>
        <w:tc>
          <w:tcPr>
            <w:tcW w:type="dxa" w:w="16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center"/>
            </w:pPr>
            <w:r>
              <w:rPr>
                <w:rFonts w:ascii="Arial" w:cs="Arial" w:eastAsia="Arial" w:hAnsi="Arial"/>
                <w:b w:val="false"/>
                <w:bCs w:val="false"/>
                <w:color w:val="C00000"/>
                <w:sz w:val="15"/>
                <w:szCs w:val="15"/>
              </w:rPr>
              <w:t xml:space="preserve">❌ NO</w:t>
            </w:r>
          </w:p>
        </w:tc>
      </w:tr>
      <w:tr>
        <w:tc>
          <w:tcPr>
            <w:tcW w:type="dxa" w:w="1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Monitoreo y observabilidad</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Herramientas de behavioral analytics para agentes, dashboards de uso y costo, alertas de anomalías. Conifers AI (2026): el monitoreo de agentes es control de seguridad no negociable.</w:t>
            </w:r>
          </w:p>
        </w:tc>
        <w:tc>
          <w:tcPr>
            <w:tcW w:type="dxa" w:w="1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4-6%</w:t>
            </w:r>
          </w:p>
        </w:tc>
        <w:tc>
          <w:tcPr>
            <w:tcW w:type="dxa" w:w="16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center"/>
            </w:pPr>
            <w:r>
              <w:rPr>
                <w:rFonts w:ascii="Arial" w:cs="Arial" w:eastAsia="Arial" w:hAnsi="Arial"/>
                <w:b w:val="false"/>
                <w:bCs w:val="false"/>
                <w:color w:val="C00000"/>
                <w:sz w:val="15"/>
                <w:szCs w:val="15"/>
              </w:rPr>
              <w:t xml:space="preserve">❌ NO</w:t>
            </w:r>
          </w:p>
        </w:tc>
      </w:tr>
      <w:tr>
        <w:tc>
          <w:tcPr>
            <w:tcW w:type="dxa" w:w="1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Costos de token overruns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Zylo Research (2025): 65% de IT leaders reportan cargos inesperados por uso basado en consumo. Overruns de 30-50% sobre estimaciones iniciales son frecuentes en deployments agénticos.</w:t>
            </w:r>
          </w:p>
        </w:tc>
        <w:tc>
          <w:tcPr>
            <w:tcW w:type="dxa" w:w="16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Variable</w:t>
            </w:r>
          </w:p>
        </w:tc>
        <w:tc>
          <w:tcPr>
            <w:tcW w:type="dxa" w:w="168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center"/>
            </w:pPr>
            <w:r>
              <w:rPr>
                <w:rFonts w:ascii="Arial" w:cs="Arial" w:eastAsia="Arial" w:hAnsi="Arial"/>
                <w:b w:val="false"/>
                <w:bCs w:val="false"/>
                <w:color w:val="C00000"/>
                <w:sz w:val="15"/>
                <w:szCs w:val="15"/>
              </w:rPr>
              <w:t xml:space="preserve">❌ NO</w:t>
            </w:r>
          </w:p>
        </w:tc>
      </w:tr>
    </w:tbl>
    <w:p>
      <w:pPr>
        <w:spacing w:before="30" w:after="30"/>
      </w:pPr>
      <w:r>
        <w:t xml:space="preserve"/>
      </w:r>
    </w:p>
    <w:p>
      <w:pPr>
        <w:shd w:fill="FFF2CC" w:val="clear"/>
        <w:spacing w:before="100" w:after="100"/>
        <w:ind w:left="280" w:right="280"/>
      </w:pPr>
      <w:r>
        <w:rPr>
          <w:rFonts w:ascii="Arial" w:cs="Arial" w:eastAsia="Arial" w:hAnsi="Arial"/>
          <w:b/>
          <w:bCs/>
          <w:color w:val="7F4F00"/>
          <w:sz w:val="18"/>
          <w:szCs w:val="18"/>
        </w:rPr>
        <w:t xml:space="preserve">⚠ Regla de los 3-5x: </w:t>
      </w:r>
      <w:r>
        <w:rPr>
          <w:rFonts w:ascii="Arial" w:cs="Arial" w:eastAsia="Arial" w:hAnsi="Arial"/>
          <w:color w:val="7F4F00"/>
          <w:sz w:val="18"/>
          <w:szCs w:val="18"/>
        </w:rPr>
        <w:t xml:space="preserve">Las implementaciones enterprise de IA típicamente cuestan entre 3x y 5x el precio de suscripción anunciado cuando se contabilizan integración, customización, escala de infraestructura y costo operativo. Fuente: USM Business Systems AI Cost Research 2025. Al construir el caso de negocio, usar el multiplicador conservador de 3x sobre el precio de licencia para calcular el TCO Year 1, y 2.5x para los años 2-3 (los costos de setup no se repiten).</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9.2.1 Fórmula de TCO para Caso de Negocio Enterprise</w:t>
      </w:r>
    </w:p>
    <w:p>
      <w:pPr>
        <w:spacing w:before="60" w:after="100"/>
      </w:pPr>
      <w:r>
        <w:rPr>
          <w:rFonts w:ascii="Arial" w:cs="Arial" w:eastAsia="Arial" w:hAnsi="Arial"/>
          <w:b/>
          <w:bCs/>
          <w:color w:val="1A1A2E"/>
          <w:sz w:val="20"/>
          <w:szCs w:val="20"/>
        </w:rPr>
        <w:t xml:space="preserve">TCO Year 1 = </w:t>
      </w:r>
      <w:r>
        <w:rPr>
          <w:rFonts w:ascii="Arial" w:cs="Arial" w:eastAsia="Arial" w:hAnsi="Arial"/>
          <w:color w:val="1A1A2E"/>
          <w:sz w:val="20"/>
          <w:szCs w:val="20"/>
        </w:rPr>
        <w:t xml:space="preserve">Licencia + Infraestructura + (Licencia × 2x para integración/datos/customización) + Personal IA × FTE × costo/FTE + Gobernanza/Compliance + Capacitación</w:t>
      </w:r>
    </w:p>
    <w:p>
      <w:pPr>
        <w:spacing w:before="60" w:after="100"/>
      </w:pPr>
      <w:r>
        <w:rPr>
          <w:rFonts w:ascii="Arial" w:cs="Arial" w:eastAsia="Arial" w:hAnsi="Arial"/>
          <w:b/>
          <w:bCs/>
          <w:color w:val="1A1A2E"/>
          <w:sz w:val="20"/>
          <w:szCs w:val="20"/>
        </w:rPr>
        <w:t xml:space="preserve">TCO Years 2-3 = </w:t>
      </w:r>
      <w:r>
        <w:rPr>
          <w:rFonts w:ascii="Arial" w:cs="Arial" w:eastAsia="Arial" w:hAnsi="Arial"/>
          <w:color w:val="1A1A2E"/>
          <w:sz w:val="20"/>
          <w:szCs w:val="20"/>
        </w:rPr>
        <w:t xml:space="preserve">Licencia + Infraestructura + Personal operativo + Mantenimiento/drift (30-40% del opex) + Gobernanza continua</w:t>
      </w:r>
    </w:p>
    <w:p>
      <w:pPr>
        <w:spacing w:before="60" w:after="100"/>
      </w:pPr>
      <w:r>
        <w:rPr>
          <w:rFonts w:ascii="Arial" w:cs="Arial" w:eastAsia="Arial" w:hAnsi="Arial"/>
          <w:b/>
          <w:bCs/>
          <w:color w:val="1A1A2E"/>
          <w:sz w:val="20"/>
          <w:szCs w:val="20"/>
        </w:rPr>
        <w:t xml:space="preserve">Tipping point on-prem vs. cloud: </w:t>
      </w:r>
      <w:r>
        <w:rPr>
          <w:rFonts w:ascii="Arial" w:cs="Arial" w:eastAsia="Arial" w:hAnsi="Arial"/>
          <w:color w:val="1A1A2E"/>
          <w:sz w:val="20"/>
          <w:szCs w:val="20"/>
        </w:rPr>
        <w:t xml:space="preserve">Para workloads de LLM de alta utilización (&gt;50% del tiempo), el break-even entre on-prem y cloud ocurre entre 8 y 12 meses. A partir del mes 12, la infraestructura propia puede ser hasta 18x más económica por millón de tokens (Lenovo TCO Analysis 2026). Esta ecuación es relevante para organizaciones con volúmenes de procesamiento &gt;1.2M tokens/mes.</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9.3 MODELOS DE PRICING POR PROVEEDOR: ANÁLISIS COMPARATIVO</w:t>
      </w:r>
    </w:p>
    <w:p>
      <w:pPr>
        <w:pBdr>
          <w:bottom w:val="single" w:color="BDD7EE" w:sz="4"/>
        </w:pBdr>
        <w:spacing w:before="80" w:after="80"/>
      </w:pPr>
    </w:p>
    <w:p>
      <w:pPr>
        <w:spacing w:before="60" w:after="100"/>
      </w:pPr>
      <w:r>
        <w:rPr>
          <w:rFonts w:ascii="Arial" w:cs="Arial" w:eastAsia="Arial" w:hAnsi="Arial"/>
          <w:color w:val="1A1A2E"/>
          <w:sz w:val="20"/>
          <w:szCs w:val="20"/>
        </w:rPr>
        <w:t xml:space="preserve">El panorama de pricing de IA enterprise 2026 se ha fragmentado en 4 modelos principales, a menudo combinados en esquemas híbridos. La elección del modelo afecta directamente la predictibilidad del TCO y la estrategia de negociación. Bessemer Venture Partners (feb. 2026): 'Las empresas AI-nativas están abandonando el pricing por seat a favor de modelos basados en uso, output y outcome.'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000"/>
        <w:gridCol w:w="1960"/>
      </w:tblGrid>
      <w:tr>
        <w:tc>
          <w:tcPr>
            <w:tcW w:type="dxa" w:w="1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MODELO</w:t>
            </w:r>
          </w:p>
        </w:tc>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ESTRUCTURA</w:t>
            </w:r>
          </w:p>
        </w:tc>
        <w:tc>
          <w:tcPr>
            <w:tcW w:type="dxa" w:w="2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PROVEEDORES QUE LO USAN</w:t>
            </w:r>
          </w:p>
        </w:tc>
        <w:tc>
          <w:tcPr>
            <w:tcW w:type="dxa" w:w="2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VENTAJA</w:t>
            </w:r>
          </w:p>
        </w:tc>
        <w:tc>
          <w:tcPr>
            <w:tcW w:type="dxa" w:w="19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RIESGO PARA EL COMPRADOR</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POR SEAT / USUARIO</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Fixed fee mensual por usuario activo. Ejemplo: Microsoft Copilot M365 $30/user/mes.</w:t>
            </w:r>
          </w:p>
        </w:tc>
        <w:tc>
          <w:tcPr>
            <w:tcW w:type="dxa" w:w="22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Microsoft Copilot M365, OpenAI ChatGPT Enterprise (aprox. $30/user/mes), GitHub Copilot ($19-39/user/mes)</w:t>
            </w:r>
          </w:p>
        </w:tc>
        <w:tc>
          <w:tcPr>
            <w:tcW w:type="dxa" w:w="2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Predictibilidad presupuestaria. Fácil de escalar linealmente. Familiar para el CFO.</w:t>
            </w:r>
          </w:p>
        </w:tc>
        <w:tc>
          <w:tcPr>
            <w:tcW w:type="dxa" w:w="196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Shelfware si hay baja adopción. No refleja valor real si los usuarios intensivos subsidian a los pasivos. IBM 2023: ROI promedio del 5.9% con modelos sin control de uso.</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POR TOKEN / CONSUMO</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Pay-per-use basado en tokens procesados (input + output). Ejemplo: Claude 3.5 Sonnet ~$3 input / $15 output por millón de tokens.</w:t>
            </w:r>
          </w:p>
        </w:tc>
        <w:tc>
          <w:tcPr>
            <w:tcW w:type="dxa" w:w="22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Anthropic API, OpenAI API, Google Vertex AI, AWS Bedrock (pass-through de precios de modelos), Cohere API</w:t>
            </w:r>
          </w:p>
        </w:tc>
        <w:tc>
          <w:tcPr>
            <w:tcW w:type="dxa" w:w="2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Costo alineado al valor. Sin shelfware. Ideal para pilotos y uso irregular.</w:t>
            </w:r>
          </w:p>
        </w:tc>
        <w:tc>
          <w:tcPr>
            <w:tcW w:type="dxa" w:w="196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Volatilidad de costos. Zylo (2025): 65% de IT leaders reportan overruns de 30-50%. Los agentes pueden generar amplificación exponencial de tokens en bucles.</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PLATAFORMA / ENTERPRISE FLAT</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Fee anual fijo por acceso a plataforma y modelos, con límites generosos de uso. Suele incluir soporte dedicado y SLAs.</w:t>
            </w:r>
          </w:p>
        </w:tc>
        <w:tc>
          <w:tcPr>
            <w:tcW w:type="dxa" w:w="22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Microsoft Azure OpenAI Service (acuerdo enterprise), AWS Bedrock Enterprise, Google Vertex AI Enterprise (committed use), IBM Watsonx Enterprise</w:t>
            </w:r>
          </w:p>
        </w:tc>
        <w:tc>
          <w:tcPr>
            <w:tcW w:type="dxa" w:w="2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Predecible. Incluye soporte y SLAs. Protege ante token overruns. Facilita aprobación presupuestaria anual.</w:t>
            </w:r>
          </w:p>
        </w:tc>
        <w:tc>
          <w:tcPr>
            <w:tcW w:type="dxa" w:w="196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Compromiso alto. Difícil de reducir si el caso de uso no madura. Renegociación anual puede ser costosa si el mercado se commoditizó.</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OUTCOME-BASED / AGENTIC</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Se paga por resultado: por ticket resuelto, por documento generado, por acción completada por el agente. Ejemplo: Zendesk AI $1.50/resolución.</w:t>
            </w:r>
          </w:p>
        </w:tc>
        <w:tc>
          <w:tcPr>
            <w:tcW w:type="dxa" w:w="22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Salesforce Agentforce (ALEA), Zendesk AI, ServiceNow AI, algunos acuerdos enterprise a medida de Anthropic y OpenAI</w:t>
            </w:r>
          </w:p>
        </w:tc>
        <w:tc>
          <w:tcPr>
            <w:tcW w:type="dxa" w:w="2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Alineación perfecta entre costo y valor. El comprador solo paga si el agente resuelve el caso. Modelo más sostenible a largo plazo.</w:t>
            </w:r>
          </w:p>
        </w:tc>
        <w:tc>
          <w:tcPr>
            <w:tcW w:type="dxa" w:w="196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Requiere definición muy precisa de 'outcome'. Vendors pueden manipular definición de 'resolución'. Difícil de presupuestar si el volumen es variable.</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9.3.1 Comparativa de Precios Públicos de API (Modelos Principales — Feb. 2026)</w:t>
      </w:r>
    </w:p>
    <w:p>
      <w:pPr>
        <w:spacing w:before="60" w:after="100"/>
      </w:pPr>
      <w:r>
        <w:rPr>
          <w:rFonts w:ascii="Arial" w:cs="Arial" w:eastAsia="Arial" w:hAnsi="Arial"/>
          <w:i/>
          <w:iCs/>
          <w:color w:val="1A1A2E"/>
          <w:sz w:val="17"/>
          <w:szCs w:val="17"/>
        </w:rPr>
        <w:t xml:space="preserve">Nota: Los precios de API varían frecuentemente. Estos datos son de referencia para ilustrar órdenes de magnitud. Verificar precios actuales directamente con el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800"/>
        <w:gridCol w:w="1960"/>
      </w:tblGrid>
      <w:tr>
        <w:tc>
          <w:tcPr>
            <w:tcW w:type="dxa" w:w="2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MODELO</w:t>
            </w:r>
          </w:p>
        </w:tc>
        <w:tc>
          <w:tcPr>
            <w:tcW w:type="dxa" w:w="1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INPUT
$/M tokens</w:t>
            </w:r>
          </w:p>
        </w:tc>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OUTPUT
$/M tokens</w:t>
            </w:r>
          </w:p>
        </w:tc>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TIER ENTERPRISE</w:t>
            </w:r>
          </w:p>
        </w:tc>
        <w:tc>
          <w:tcPr>
            <w:tcW w:type="dxa" w:w="19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CONTEXTO RELEVANTE</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Claude 3.5 Sonnet (Anthropic)</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$3.00</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$15.00</w:t>
            </w:r>
          </w:p>
        </w:tc>
        <w:tc>
          <w:tcPr>
            <w:tcW w:type="dxa" w:w="18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Enterprise con ZDR addendum</w:t>
            </w:r>
          </w:p>
        </w:tc>
        <w:tc>
          <w:tcPr>
            <w:tcW w:type="dxa" w:w="1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Mejor ZDR del mercado. Indemnización IP en términos enterprise. Lider en coding benchmarks 2025-2026.</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Claude 3.5 Haiku (Anthropic)</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$0.80</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$4.00</w:t>
            </w:r>
          </w:p>
        </w:tc>
        <w:tc>
          <w:tcPr>
            <w:tcW w:type="dxa" w:w="18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Incluido en Enterprise</w:t>
            </w:r>
          </w:p>
        </w:tc>
        <w:tc>
          <w:tcPr>
            <w:tcW w:type="dxa" w:w="1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Modelo económico para tareas de alto volumen. Mismas garantías de privacidad que Sonnet.</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GPT-4o (OpenAI)</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$2.50</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$10.00</w:t>
            </w:r>
          </w:p>
        </w:tc>
        <w:tc>
          <w:tcPr>
            <w:tcW w:type="dxa" w:w="18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ChatGPT Enterprise ~$30/user/mes</w:t>
            </w:r>
          </w:p>
        </w:tc>
        <w:tc>
          <w:tcPr>
            <w:tcW w:type="dxa" w:w="1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Precio competitivo. Indemnización IP disponible en Enterprise. ZDR no totalmente documentado para PHI.</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GPT-4o mini (OpenAI)</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$0.15</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$0.60</w:t>
            </w:r>
          </w:p>
        </w:tc>
        <w:tc>
          <w:tcPr>
            <w:tcW w:type="dxa" w:w="18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Incluido en Enterprise</w:t>
            </w:r>
          </w:p>
        </w:tc>
        <w:tc>
          <w:tcPr>
            <w:tcW w:type="dxa" w:w="1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Alta eficiencia de costo para tareas simples y alto volumen.</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Gemini 1.5 Pro (Google)</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$1.25</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$5.00</w:t>
            </w:r>
          </w:p>
        </w:tc>
        <w:tc>
          <w:tcPr>
            <w:tcW w:type="dxa" w:w="18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Vertex AI Enterprise (committed use)</w:t>
            </w:r>
          </w:p>
        </w:tc>
        <w:tc>
          <w:tcPr>
            <w:tcW w:type="dxa" w:w="1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Fuerte integración con BigQuery y Google Workspace. EU Data Boundary para datos europeos.</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Gemini 2.0 Flash (Google)</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$0.10</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$0.40</w:t>
            </w:r>
          </w:p>
        </w:tc>
        <w:tc>
          <w:tcPr>
            <w:tcW w:type="dxa" w:w="18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Incluido en Vertex</w:t>
            </w:r>
          </w:p>
        </w:tc>
        <w:tc>
          <w:tcPr>
            <w:tcW w:type="dxa" w:w="1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Modelo de bajo costo con capacidades agénticas. ALEA pricing en Workspace.</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AWS Bedrock — Claude Sonnet</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$3.00 + markup</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$15.00 + markup</w:t>
            </w:r>
          </w:p>
        </w:tc>
        <w:tc>
          <w:tcPr>
            <w:tcW w:type="dxa" w:w="18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Bedrock Enterprise</w:t>
            </w:r>
          </w:p>
        </w:tc>
        <w:tc>
          <w:tcPr>
            <w:tcW w:type="dxa" w:w="1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Pass-through de precios Anthropic + costo de AWS. Gap de indemnización IP para modelos terceros.</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IBM Watsonx Granite</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Flat rate enterprise</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Flat rate enterprise</w:t>
            </w:r>
          </w:p>
        </w:tc>
        <w:tc>
          <w:tcPr>
            <w:tcW w:type="dxa" w:w="18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IBM Watsonx Enterprise</w:t>
            </w:r>
          </w:p>
        </w:tc>
        <w:tc>
          <w:tcPr>
            <w:tcW w:type="dxa" w:w="1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Mayor transparencia FMTI del mercado. Indemnización IP clara para Granite/Slate. Mejor opción para sectors financiero con SR 11-7.</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Meta Llama 3 (self-hosted)</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Costo de infra propio</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Costo de infra propio</w:t>
            </w:r>
          </w:p>
        </w:tc>
        <w:tc>
          <w:tcPr>
            <w:tcW w:type="dxa" w:w="18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No aplica — sin contrato</w:t>
            </w:r>
          </w:p>
        </w:tc>
        <w:tc>
          <w:tcPr>
            <w:tcW w:type="dxa" w:w="1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Sin costo de licencia pero con TCO de infraestructura propia. Break-even vs cloud: 8-12 meses de uso intensivo.</w:t>
            </w:r>
          </w:p>
        </w:tc>
      </w:tr>
      <w:tr>
        <w:tc>
          <w:tcPr>
            <w:tcW w:type="dxa" w:w="2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DeepSeek (via API)</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Muy bajo (~$0.14/M)</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1A1A2E"/>
                <w:sz w:val="15"/>
                <w:szCs w:val="15"/>
              </w:rPr>
              <w:t xml:space="preserve">Muy bajo (~$0.28/M)</w:t>
            </w:r>
          </w:p>
        </w:tc>
        <w:tc>
          <w:tcPr>
            <w:tcW w:type="dxa" w:w="18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NO RECOMENDADO</w:t>
            </w:r>
          </w:p>
        </w:tc>
        <w:tc>
          <w:tcPr>
            <w:tcW w:type="dxa" w:w="1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Precio extremadamente bajo. Incompatible con GDPR, HIPAA. Datos almacenados en China. BLOQUEANTE en sectores regulados.</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9.4 BENCHMARKS DE MERCADO: DATOS DE ROI POR DIMENSIÓN</w:t>
      </w:r>
    </w:p>
    <w:p>
      <w:pPr>
        <w:pBdr>
          <w:bottom w:val="single" w:color="BDD7EE" w:sz="4"/>
        </w:pBdr>
        <w:spacing w:before="80" w:after="80"/>
      </w:pPr>
    </w:p>
    <w:p>
      <w:pPr>
        <w:spacing w:before="60" w:after="100"/>
      </w:pPr>
      <w:r>
        <w:rPr>
          <w:rFonts w:ascii="Arial" w:cs="Arial" w:eastAsia="Arial" w:hAnsi="Arial"/>
          <w:color w:val="1A1A2E"/>
          <w:sz w:val="20"/>
          <w:szCs w:val="20"/>
        </w:rPr>
        <w:t xml:space="preserve">Los siguientes benchmarks provienen de estudios de mercado publicados en 2025-2026 con muestras representativas de organizaciones enterprise. Sirven como referencias comparativas para calibrar expectativas realistas de ROI en el proceso de aprobación de inversiones.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800"/>
        <w:gridCol w:w="1560"/>
      </w:tblGrid>
      <w:tr>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ÁREA / DIMENSIÓN</w:t>
            </w:r>
          </w:p>
        </w:tc>
        <w:tc>
          <w:tcPr>
            <w:tcW w:type="dxa" w:w="2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BENCHMARK DE MERCADO</w:t>
            </w:r>
          </w:p>
        </w:tc>
        <w:tc>
          <w:tcPr>
            <w:tcW w:type="dxa" w:w="2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CONDICIÓN PARA ALCANZARLO</w:t>
            </w:r>
          </w:p>
        </w:tc>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TIEMPO TÍPICO</w:t>
            </w:r>
          </w:p>
        </w:tc>
        <w:tc>
          <w:tcPr>
            <w:tcW w:type="dxa" w:w="1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FUENTE</w:t>
            </w:r>
          </w:p>
        </w:tc>
      </w:tr>
      <w:tr>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Productividad general</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70% de líderes reportan ganancias de productividad medibles.</w:t>
            </w:r>
          </w:p>
        </w:tc>
        <w:tc>
          <w:tcPr>
            <w:tcW w:type="dxa" w:w="20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C-suite sponsorship + deployment en producción (no solo piloto). Adop. activa &gt;50% de usuarios target.</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3-12 meses post-deployment</w:t>
            </w:r>
          </w:p>
        </w:tc>
        <w:tc>
          <w:tcPr>
            <w:tcW w:type="dxa" w:w="1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888888"/>
                <w:sz w:val="13"/>
                <w:szCs w:val="13"/>
              </w:rPr>
              <w:t xml:space="preserve">Google Cloud ROI of AI 2025 (n=3,466)</w:t>
            </w:r>
          </w:p>
        </w:tc>
      </w:tr>
      <w:tr>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Duplicación de productividad</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39% de quienes reportan ganancias vieron productividad al menos duplicada.</w:t>
            </w:r>
          </w:p>
        </w:tc>
        <w:tc>
          <w:tcPr>
            <w:tcW w:type="dxa" w:w="20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Implementación agéntica en workflows core, no solo en asistencia puntual.</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6-18 meses</w:t>
            </w:r>
          </w:p>
        </w:tc>
        <w:tc>
          <w:tcPr>
            <w:tcW w:type="dxa" w:w="1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888888"/>
                <w:sz w:val="13"/>
                <w:szCs w:val="13"/>
              </w:rPr>
              <w:t xml:space="preserve">Google Cloud ROI of AI 2025</w:t>
            </w:r>
          </w:p>
        </w:tc>
      </w:tr>
      <w:tr>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Customer Experience</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63% reportan mejoras en CX; 37% con ROI en aplicaciones customer-facing.</w:t>
            </w:r>
          </w:p>
        </w:tc>
        <w:tc>
          <w:tcPr>
            <w:tcW w:type="dxa" w:w="20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Agentes de resolución end-to-end, no solo routing de consultas.</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3-9 meses</w:t>
            </w:r>
          </w:p>
        </w:tc>
        <w:tc>
          <w:tcPr>
            <w:tcW w:type="dxa" w:w="1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888888"/>
                <w:sz w:val="13"/>
                <w:szCs w:val="13"/>
              </w:rPr>
              <w:t xml:space="preserve">Google Cloud ROI of AI 2025</w:t>
            </w:r>
          </w:p>
        </w:tc>
      </w:tr>
      <w:tr>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Revenue growth</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56% de empresas vieron ganancias de revenue; mayoría estimó un 6-10% de boost.</w:t>
            </w:r>
          </w:p>
        </w:tc>
        <w:tc>
          <w:tcPr>
            <w:tcW w:type="dxa" w:w="20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Integración en ciclo de ventas o desarrollo de producto, no solo soporte.</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12-24 meses</w:t>
            </w:r>
          </w:p>
        </w:tc>
        <w:tc>
          <w:tcPr>
            <w:tcW w:type="dxa" w:w="1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888888"/>
                <w:sz w:val="13"/>
                <w:szCs w:val="13"/>
              </w:rPr>
              <w:t xml:space="preserve">Google Cloud ROI of AI 2025</w:t>
            </w:r>
          </w:p>
        </w:tc>
      </w:tr>
      <w:tr>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Seguridad (SOC)</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49% reportan mejoras en detección, velocidad de respuesta y reducción de volumen de tickets.</w:t>
            </w:r>
          </w:p>
        </w:tc>
        <w:tc>
          <w:tcPr>
            <w:tcW w:type="dxa" w:w="20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AI SOC con orquestación de alertas, no solo herramienta adicional. Analistas capacitados.</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6-12 meses</w:t>
            </w:r>
          </w:p>
        </w:tc>
        <w:tc>
          <w:tcPr>
            <w:tcW w:type="dxa" w:w="1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888888"/>
                <w:sz w:val="13"/>
                <w:szCs w:val="13"/>
              </w:rPr>
              <w:t xml:space="preserve">Google Cloud ROI of AI 2025</w:t>
            </w:r>
          </w:p>
        </w:tc>
      </w:tr>
      <w:tr>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Automatización de IT ops</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De 12% a 75% de operaciones automatizadas en un proyecto documentado — reducción del 50% en costo de IT ops.</w:t>
            </w:r>
          </w:p>
        </w:tc>
        <w:tc>
          <w:tcPr>
            <w:tcW w:type="dxa" w:w="20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Rediseño del proceso de IT ops antes de aplicar IA. Sin rediseño, la IA automatiza ineficiencias.</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12-24 meses</w:t>
            </w:r>
          </w:p>
        </w:tc>
        <w:tc>
          <w:tcPr>
            <w:tcW w:type="dxa" w:w="1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888888"/>
                <w:sz w:val="13"/>
                <w:szCs w:val="13"/>
              </w:rPr>
              <w:t xml:space="preserve">CIO.com, enero 2026 (caso real)</w:t>
            </w:r>
          </w:p>
        </w:tc>
      </w:tr>
      <w:tr>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ROI en IT y ciberseguridad</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74% de organizaciones con iniciativas GenAI avanzadas en IT/cybersecurity cumplen o superan ROI.</w:t>
            </w:r>
          </w:p>
        </w:tc>
        <w:tc>
          <w:tcPr>
            <w:tcW w:type="dxa" w:w="20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Sectores con mayor ROI documentado — la complejidad técnica del problema alinea bien con capacidades del LLM.</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6-18 meses</w:t>
            </w:r>
          </w:p>
        </w:tc>
        <w:tc>
          <w:tcPr>
            <w:tcW w:type="dxa" w:w="1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888888"/>
                <w:sz w:val="13"/>
                <w:szCs w:val="13"/>
              </w:rPr>
              <w:t xml:space="preserve">Deloitte State of Gen AI Q4 2024</w:t>
            </w:r>
          </w:p>
        </w:tc>
      </w:tr>
      <w:tr>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ROI del compliance de IA</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Organizaciones con IA confiable son 60% más propensas a duplicar ROI de sus proyectos de IA.</w:t>
            </w:r>
          </w:p>
        </w:tc>
        <w:tc>
          <w:tcPr>
            <w:tcW w:type="dxa" w:w="20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Gobernanza implementada antes del deployment, no como afterthought. Auditabilidad desde el diseño.</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Continuo</w:t>
            </w:r>
          </w:p>
        </w:tc>
        <w:tc>
          <w:tcPr>
            <w:tcW w:type="dxa" w:w="1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888888"/>
                <w:sz w:val="13"/>
                <w:szCs w:val="13"/>
              </w:rPr>
              <w:t xml:space="preserve">IDC Research 2025</w:t>
            </w:r>
          </w:p>
        </w:tc>
      </w:tr>
      <w:tr>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NPS de clientes por IA</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De 16% (2024) a 51% esperado (2026) — aumento proyectado de 35 puntos por iniciativas de IA.</w:t>
            </w:r>
          </w:p>
        </w:tc>
        <w:tc>
          <w:tcPr>
            <w:tcW w:type="dxa" w:w="20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Personalización real con datos del cliente + agentes de resolución autónomos.</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12-24 meses</w:t>
            </w:r>
          </w:p>
        </w:tc>
        <w:tc>
          <w:tcPr>
            <w:tcW w:type="dxa" w:w="1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888888"/>
                <w:sz w:val="13"/>
                <w:szCs w:val="13"/>
              </w:rPr>
              <w:t xml:space="preserve">IBM Research, mayo 2025</w:t>
            </w:r>
          </w:p>
        </w:tc>
      </w:tr>
      <w:tr>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Payback IT operations</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ROI = (Δ ahorro + Δ revenue + costos evitados) − TCO. Payback target &lt;2 trimestres para operaciones.</w:t>
            </w:r>
          </w:p>
        </w:tc>
        <w:tc>
          <w:tcPr>
            <w:tcW w:type="dxa" w:w="20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Caso de uso bien delimitado. Baseline medido. KPIs definidos antes del deployment.</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2-6 meses</w:t>
            </w:r>
          </w:p>
        </w:tc>
        <w:tc>
          <w:tcPr>
            <w:tcW w:type="dxa" w:w="1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888888"/>
                <w:sz w:val="13"/>
                <w:szCs w:val="13"/>
              </w:rPr>
              <w:t xml:space="preserve">CIO.com benchmark, dic. 2025</w:t>
            </w:r>
          </w:p>
        </w:tc>
      </w:tr>
      <w:tr>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Fracasos: sin ROI en 6 meses</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95% de proyectos GenAI no muestran retorno financiero medible en primeros 6 meses.</w:t>
            </w:r>
          </w:p>
        </w:tc>
        <w:tc>
          <w:tcPr>
            <w:tcW w:type="dxa" w:w="20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Causa principal: spray-and-pray, sin baseline, sin KPIs definidos, sin gestión del cambio.</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N/A — métrica de fracaso</w:t>
            </w:r>
          </w:p>
        </w:tc>
        <w:tc>
          <w:tcPr>
            <w:tcW w:type="dxa" w:w="1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888888"/>
                <w:sz w:val="13"/>
                <w:szCs w:val="13"/>
              </w:rPr>
              <w:t xml:space="preserve">MIT GenAI Divide 2025</w:t>
            </w:r>
          </w:p>
        </w:tc>
      </w:tr>
      <w:tr>
        <w:tc>
          <w:tcPr>
            <w:tcW w:type="dxa" w:w="1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Proyectos abandonados</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42% de organizaciones abandonaron la mayoría de sus proyectos de IA en 2025.</w:t>
            </w:r>
          </w:p>
        </w:tc>
        <w:tc>
          <w:tcPr>
            <w:tcW w:type="dxa" w:w="20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Por costo e impacto poco claro — correlaciona con ausencia de framework de ROI riguroso pre-deployment.</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N/A — métrica de fracaso</w:t>
            </w:r>
          </w:p>
        </w:tc>
        <w:tc>
          <w:tcPr>
            <w:tcW w:type="dxa" w:w="1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888888"/>
                <w:sz w:val="13"/>
                <w:szCs w:val="13"/>
              </w:rPr>
              <w:t xml:space="preserve">S&amp;P Global 2025</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9.5 EL CASO DE NEGOCIO DESDE EL CISO HACIA EL C-SUITE</w:t>
      </w:r>
    </w:p>
    <w:p>
      <w:pPr>
        <w:pBdr>
          <w:bottom w:val="single" w:color="BDD7EE" w:sz="4"/>
        </w:pBdr>
        <w:spacing w:before="80" w:after="80"/>
      </w:pPr>
    </w:p>
    <w:p>
      <w:pPr>
        <w:spacing w:before="60" w:after="100"/>
      </w:pPr>
      <w:r>
        <w:rPr>
          <w:rFonts w:ascii="Arial" w:cs="Arial" w:eastAsia="Arial" w:hAnsi="Arial"/>
          <w:color w:val="1A1A2E"/>
          <w:sz w:val="20"/>
          <w:szCs w:val="20"/>
        </w:rPr>
        <w:t xml:space="preserve">El CISO ocupa una posición única en el ecosistema de gobernanza de IA: es simultáneamente el guardián del riesgo y el habilitador de valor. El argumento más poderoso que puede hacer ante el C-Suite no es 'necesitamos seguridad en la IA' sino </w:t>
      </w:r>
      <w:r>
        <w:rPr>
          <w:rFonts w:ascii="Arial" w:cs="Arial" w:eastAsia="Arial" w:hAnsi="Arial"/>
          <w:b/>
          <w:bCs/>
          <w:color w:val="1A1A2E"/>
          <w:sz w:val="20"/>
          <w:szCs w:val="20"/>
        </w:rPr>
        <w:t xml:space="preserve">'la gobernanza de IA es el multiplicador de ROI más subestimado en el portfolio de IA'</w:t>
      </w:r>
      <w:r>
        <w:rPr>
          <w:rFonts w:ascii="Arial" w:cs="Arial" w:eastAsia="Arial" w:hAnsi="Arial"/>
          <w:color w:val="1A1A2E"/>
          <w:sz w:val="20"/>
          <w:szCs w:val="20"/>
        </w:rPr>
        <w:t xml:space="preserve">. Esta sección provee la estructura del caso de negocio en el lenguaje del C-Suite.</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9.5.1 Los Tres Pilares del Business Case del CISO para IA</w:t>
      </w:r>
    </w:p>
    <w:p>
      <w:pPr>
        <w:spacing w:before="60" w:after="100"/>
      </w:pPr>
      <w:r>
        <w:rPr>
          <w:rFonts w:ascii="Arial" w:cs="Arial" w:eastAsia="Arial" w:hAnsi="Arial"/>
          <w:color w:val="1A1A2E"/>
          <w:sz w:val="20"/>
          <w:szCs w:val="20"/>
        </w:rPr>
        <w:t xml:space="preserve">Conifers AI / AEGIS Framework (2026): Para CISOs que justifican inversión en AI SOC o gobernanza de IA, el business case se construye sobre tres pilares que resuenan en distintos stakeholders del C-Suite: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960"/>
        <w:gridCol w:w="2800"/>
      </w:tblGrid>
      <w:tr>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PILAR</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ARGUMENTO CENTRAL</w:t>
            </w:r>
          </w:p>
        </w:tc>
        <w:tc>
          <w:tcPr>
            <w:tcW w:type="dxa" w:w="29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DATO DE SOPORTE</w:t>
            </w:r>
          </w:p>
        </w:tc>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AUDIENCIA</w:t>
            </w:r>
          </w:p>
        </w:tc>
      </w:tr>
      <w:tr>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PILAR 1
Riesgo Evitado</w:t>
            </w:r>
          </w:p>
        </w:tc>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La inversión en gobernanza de IA es menos costosa que el costo esperado de un incidente.</w:t>
            </w:r>
          </w:p>
        </w:tc>
        <w:tc>
          <w:tcPr>
            <w:tcW w:type="dxa" w:w="2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Brecha promedio: $4.5M (IBM 2025). Brecha con Shadow AI: $4.5M + $670K adicional = $5.17M. Multa EU AI Act max: €35M o 7% de revenue. Probabilidad de un incidente relevante en 3 años sin gobernanza: estimar con el equipo de riesgo.</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CFO (que valida análisis actuarial), CRO, Board (que aprueba apetito de riesgo)</w:t>
            </w:r>
          </w:p>
        </w:tc>
      </w:tr>
      <w:tr>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PILAR 2
ROI de la Gobernanza</w:t>
            </w:r>
          </w:p>
        </w:tc>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La IA confiable no es más cara — es más rentable.</w:t>
            </w:r>
          </w:p>
        </w:tc>
        <w:tc>
          <w:tcPr>
            <w:tcW w:type="dxa" w:w="2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IDC (2025): 60% más probabilidad de duplicar ROI. Deloitte (Q4 2024): 74% de iniciativas avanzadas cumplen ROI. La gobernanza proactiva reduce fricción operativa y costo de rework. Los proyectos bien gobernados llegan a producción — los mal gobernados mueren en piloto.</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CEO (foco en ejecución), CTO (foco en escalabilidad), CIO (foco en integración)</w:t>
            </w:r>
          </w:p>
        </w:tc>
      </w:tr>
      <w:tr>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5"/>
                <w:szCs w:val="15"/>
              </w:rPr>
              <w:t xml:space="preserve">PILAR 3
Ventaja Competitiva Regulatoria</w:t>
            </w:r>
          </w:p>
        </w:tc>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El compliance de EU AI Act no es un gasto — es una barrera de entrada que los que lo logran primero convierten en diferenciador.</w:t>
            </w:r>
          </w:p>
        </w:tc>
        <w:tc>
          <w:tcPr>
            <w:tcW w:type="dxa" w:w="2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Agosto 2026: deadline EU AI Act para sistemas alto riesgo. Certificación ISO 42001 como ventaja en licitaciones gubernamentales. Organizaciones con madurez de gobernanza pueden acceder a contratos que exigen evidencia de responsible AI.</w:t>
            </w:r>
          </w:p>
        </w:tc>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CEO, Board (foco en posicionamiento estratégico), Sales / BD (acceso a nuevos mercados)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9.5.2 Template de Presentación Ejecutiva: Estructura de 5 Diapositivas</w:t>
      </w:r>
    </w:p>
    <w:p>
      <w:pPr>
        <w:spacing w:before="60" w:after="100"/>
      </w:pPr>
      <w:r>
        <w:rPr>
          <w:rFonts w:ascii="Arial" w:cs="Arial" w:eastAsia="Arial" w:hAnsi="Arial"/>
          <w:i/>
          <w:iCs/>
          <w:color w:val="1A1A2E"/>
          <w:sz w:val="18"/>
          <w:szCs w:val="18"/>
        </w:rPr>
        <w:t xml:space="preserve">El siguiente template representa la estructura mínima para presentar un business case de IA al C-Suite. No es un template de tecnología — es un template de negocio.</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DIAPOSITIVA 1</w:t>
            </w:r>
          </w:p>
        </w:tc>
        <w:tc>
          <w:tcPr>
            <w:tcW w:type="dxa" w:w="83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El Problema de Negocio (NO la solución tecnológica)</w:t>
            </w:r>
          </w:p>
        </w:tc>
      </w:tr>
    </w:tbl>
    <w:p>
      <w:pPr>
        <w:spacing w:before="60" w:after="60"/>
        <w:ind w:left="700"/>
      </w:pPr>
      <w:r>
        <w:rPr>
          <w:rFonts w:ascii="Arial" w:cs="Arial" w:eastAsia="Arial" w:hAnsi="Arial"/>
          <w:b/>
          <w:bCs/>
          <w:color w:val="1A1A2E"/>
          <w:sz w:val="20"/>
          <w:szCs w:val="20"/>
        </w:rPr>
        <w:t xml:space="preserve">Contenido: </w:t>
      </w:r>
      <w:r>
        <w:rPr>
          <w:rFonts w:ascii="Arial" w:cs="Arial" w:eastAsia="Arial" w:hAnsi="Arial"/>
          <w:color w:val="1A1A2E"/>
          <w:sz w:val="18"/>
          <w:szCs w:val="18"/>
        </w:rPr>
        <w:t xml:space="preserve">Abrir con el problema de negocio que resuelve la IA, no con las capacidades del modelo. Ejemplo incorrecto: 'Vamos a implementar un LLM para análisis de documentos.' Ejemplo correcto: 'El tiempo promedio de revisión de contratos en el equipo legal es de 4.2 horas por documento. En 2025 procesamos 3,200 contratos — equivalente a 2 FTEs dedicados a revisión. La tasa de error detectada en auditoría fue del 3.2% con costos de corrección promedio de $12,000 por evento. Costo total anual del problema: $1.34M.'</w:t>
      </w:r>
    </w:p>
    <w:p>
      <w:pPr>
        <w:spacing w:before="0" w:after="100"/>
        <w:ind w:left="700"/>
      </w:pPr>
      <w:r>
        <w:rPr>
          <w:rFonts w:ascii="Arial" w:cs="Arial" w:eastAsia="Arial" w:hAnsi="Arial"/>
          <w:b/>
          <w:bCs/>
          <w:color w:val="1A1A2E"/>
          <w:sz w:val="20"/>
          <w:szCs w:val="20"/>
        </w:rPr>
        <w:t xml:space="preserve">Título sugerido: </w:t>
      </w:r>
      <w:r>
        <w:rPr>
          <w:rFonts w:ascii="Arial" w:cs="Arial" w:eastAsia="Arial" w:hAnsi="Arial"/>
          <w:i/>
          <w:iCs/>
          <w:color w:val="1A1A2E"/>
          <w:sz w:val="18"/>
          <w:szCs w:val="18"/>
        </w:rPr>
        <w:t xml:space="preserve">'¿Cuánto nos cuesta el problema que queremos resolver?'</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DIAPOSITIVA 2</w:t>
            </w:r>
          </w:p>
        </w:tc>
        <w:tc>
          <w:tcPr>
            <w:tcW w:type="dxa" w:w="83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La Propuesta de Valor Cuantificada</w:t>
            </w:r>
          </w:p>
        </w:tc>
      </w:tr>
    </w:tbl>
    <w:p>
      <w:pPr>
        <w:spacing w:before="60" w:after="60"/>
        <w:ind w:left="700"/>
      </w:pPr>
      <w:r>
        <w:rPr>
          <w:rFonts w:ascii="Arial" w:cs="Arial" w:eastAsia="Arial" w:hAnsi="Arial"/>
          <w:b/>
          <w:bCs/>
          <w:color w:val="1A1A2E"/>
          <w:sz w:val="20"/>
          <w:szCs w:val="20"/>
        </w:rPr>
        <w:t xml:space="preserve">Contenido: </w:t>
      </w:r>
      <w:r>
        <w:rPr>
          <w:rFonts w:ascii="Arial" w:cs="Arial" w:eastAsia="Arial" w:hAnsi="Arial"/>
          <w:color w:val="1A1A2E"/>
          <w:sz w:val="18"/>
          <w:szCs w:val="18"/>
        </w:rPr>
        <w:t xml:space="preserve">Proyectar los tres tipos de ROI (Hard, Soft, Strategic) con rango conservador y rango objetivo. Usar el baseline medido en Slide 1 como denominador. Incluir: (a) Ahorro directo proyectado (Hard ROI), (b) Beneficios operacionales (Soft ROI — mejora de NPS, reducción de tiempo de ciclo), (c) Riesgo evitado calculado probabilísticamente. No exagerar: el C-Suite tiene memoria y volverá a este slide en la revisión trimestral.</w:t>
      </w:r>
    </w:p>
    <w:p>
      <w:pPr>
        <w:spacing w:before="0" w:after="100"/>
        <w:ind w:left="700"/>
      </w:pPr>
      <w:r>
        <w:rPr>
          <w:rFonts w:ascii="Arial" w:cs="Arial" w:eastAsia="Arial" w:hAnsi="Arial"/>
          <w:b/>
          <w:bCs/>
          <w:color w:val="1A1A2E"/>
          <w:sz w:val="20"/>
          <w:szCs w:val="20"/>
        </w:rPr>
        <w:t xml:space="preserve">Título sugerido: </w:t>
      </w:r>
      <w:r>
        <w:rPr>
          <w:rFonts w:ascii="Arial" w:cs="Arial" w:eastAsia="Arial" w:hAnsi="Arial"/>
          <w:i/>
          <w:iCs/>
          <w:color w:val="1A1A2E"/>
          <w:sz w:val="18"/>
          <w:szCs w:val="18"/>
        </w:rPr>
        <w:t xml:space="preserve">'¿Cuánto valor generaría resolver el problema?'</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DIAPOSITIVA 3</w:t>
            </w:r>
          </w:p>
        </w:tc>
        <w:tc>
          <w:tcPr>
            <w:tcW w:type="dxa" w:w="83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El Costo Real (TCO, no solo la licencia)</w:t>
            </w:r>
          </w:p>
        </w:tc>
      </w:tr>
    </w:tbl>
    <w:p>
      <w:pPr>
        <w:spacing w:before="60" w:after="60"/>
        <w:ind w:left="700"/>
      </w:pPr>
      <w:r>
        <w:rPr>
          <w:rFonts w:ascii="Arial" w:cs="Arial" w:eastAsia="Arial" w:hAnsi="Arial"/>
          <w:b/>
          <w:bCs/>
          <w:color w:val="1A1A2E"/>
          <w:sz w:val="20"/>
          <w:szCs w:val="20"/>
        </w:rPr>
        <w:t xml:space="preserve">Contenido: </w:t>
      </w:r>
      <w:r>
        <w:rPr>
          <w:rFonts w:ascii="Arial" w:cs="Arial" w:eastAsia="Arial" w:hAnsi="Arial"/>
          <w:color w:val="1A1A2E"/>
          <w:sz w:val="18"/>
          <w:szCs w:val="18"/>
        </w:rPr>
        <w:t xml:space="preserve">Presentar el TCO completo aplicando el multiplicador de 3x sobre el precio de suscripción. Desagregar en: Licencia/API, Integración, Datos, Personal, Gobernanza/Compliance, Capacitación. El CFO apreciará la transparencia — los casos de negocio que ocultan costos pierden credibilidad cuando aparecen los overruns. Incluir: break-even month, payback period, y costo por unidad de valor (costo por contrato revisado, costo por incidente de seguridad resuelto).</w:t>
      </w:r>
    </w:p>
    <w:p>
      <w:pPr>
        <w:spacing w:before="0" w:after="100"/>
        <w:ind w:left="700"/>
      </w:pPr>
      <w:r>
        <w:rPr>
          <w:rFonts w:ascii="Arial" w:cs="Arial" w:eastAsia="Arial" w:hAnsi="Arial"/>
          <w:b/>
          <w:bCs/>
          <w:color w:val="1A1A2E"/>
          <w:sz w:val="20"/>
          <w:szCs w:val="20"/>
        </w:rPr>
        <w:t xml:space="preserve">Título sugerido: </w:t>
      </w:r>
      <w:r>
        <w:rPr>
          <w:rFonts w:ascii="Arial" w:cs="Arial" w:eastAsia="Arial" w:hAnsi="Arial"/>
          <w:i/>
          <w:iCs/>
          <w:color w:val="1A1A2E"/>
          <w:sz w:val="18"/>
          <w:szCs w:val="18"/>
        </w:rPr>
        <w:t xml:space="preserve">'¿Cuánto cuesta la solución — en serio?'</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DIAPOSITIVA 4</w:t>
            </w:r>
          </w:p>
        </w:tc>
        <w:tc>
          <w:tcPr>
            <w:tcW w:type="dxa" w:w="83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Riesgos y Mitigación (Incluyendo el Riesgo de No Hacer Nada)</w:t>
            </w:r>
          </w:p>
        </w:tc>
      </w:tr>
    </w:tbl>
    <w:p>
      <w:pPr>
        <w:spacing w:before="60" w:after="60"/>
        <w:ind w:left="700"/>
      </w:pPr>
      <w:r>
        <w:rPr>
          <w:rFonts w:ascii="Arial" w:cs="Arial" w:eastAsia="Arial" w:hAnsi="Arial"/>
          <w:b/>
          <w:bCs/>
          <w:color w:val="1A1A2E"/>
          <w:sz w:val="20"/>
          <w:szCs w:val="20"/>
        </w:rPr>
        <w:t xml:space="preserve">Contenido: </w:t>
      </w:r>
      <w:r>
        <w:rPr>
          <w:rFonts w:ascii="Arial" w:cs="Arial" w:eastAsia="Arial" w:hAnsi="Arial"/>
          <w:color w:val="1A1A2E"/>
          <w:sz w:val="18"/>
          <w:szCs w:val="18"/>
        </w:rPr>
        <w:t xml:space="preserve">El CISO es el experto en riesgo — usar esa credibilidad. Presentar: (a) Riesgos del proyecto propuesto (TCO overrun, baja adopción, gap de datos), (b) Riesgos mitigados por el proyecto (Shadow AI $670K/brecha, EU AI Act deadline agosto 2026, competencia que sí implementa), (c) El riesgo de NO hacer nada — no es neutral. El 42% de organizaciones que abandonaron proyectos de IA están ahora rezagadas ante competidores que sí escalaron.</w:t>
      </w:r>
    </w:p>
    <w:p>
      <w:pPr>
        <w:spacing w:before="0" w:after="100"/>
        <w:ind w:left="700"/>
      </w:pPr>
      <w:r>
        <w:rPr>
          <w:rFonts w:ascii="Arial" w:cs="Arial" w:eastAsia="Arial" w:hAnsi="Arial"/>
          <w:b/>
          <w:bCs/>
          <w:color w:val="1A1A2E"/>
          <w:sz w:val="20"/>
          <w:szCs w:val="20"/>
        </w:rPr>
        <w:t xml:space="preserve">Título sugerido: </w:t>
      </w:r>
      <w:r>
        <w:rPr>
          <w:rFonts w:ascii="Arial" w:cs="Arial" w:eastAsia="Arial" w:hAnsi="Arial"/>
          <w:i/>
          <w:iCs/>
          <w:color w:val="1A1A2E"/>
          <w:sz w:val="18"/>
          <w:szCs w:val="18"/>
        </w:rPr>
        <w:t xml:space="preserve">'¿Cuál es el costo de NO actuar?'</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8"/>
                <w:szCs w:val="18"/>
              </w:rPr>
              <w:t xml:space="preserve">DIAPOSITIVA 5</w:t>
            </w:r>
          </w:p>
        </w:tc>
        <w:tc>
          <w:tcPr>
            <w:tcW w:type="dxa" w:w="836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8"/>
                <w:szCs w:val="18"/>
              </w:rPr>
              <w:t xml:space="preserve">El Plan y los Hitos de Decisión</w:t>
            </w:r>
          </w:p>
        </w:tc>
      </w:tr>
    </w:tbl>
    <w:p>
      <w:pPr>
        <w:spacing w:before="60" w:after="60"/>
        <w:ind w:left="700"/>
      </w:pPr>
      <w:r>
        <w:rPr>
          <w:rFonts w:ascii="Arial" w:cs="Arial" w:eastAsia="Arial" w:hAnsi="Arial"/>
          <w:b/>
          <w:bCs/>
          <w:color w:val="1A1A2E"/>
          <w:sz w:val="20"/>
          <w:szCs w:val="20"/>
        </w:rPr>
        <w:t xml:space="preserve">Contenido: </w:t>
      </w:r>
      <w:r>
        <w:rPr>
          <w:rFonts w:ascii="Arial" w:cs="Arial" w:eastAsia="Arial" w:hAnsi="Arial"/>
          <w:color w:val="1A1A2E"/>
          <w:sz w:val="18"/>
          <w:szCs w:val="18"/>
        </w:rPr>
        <w:t xml:space="preserve">Presentar la hoja de ruta de 90/180/365 días (ver Fase 8.5) con los hitos de decisión GO/NO-GO claramente marcados. Los C-suites aprecian saber cuándo pueden cancelar el proyecto si los indicadores tempranos no se cumplen. Incluir: Semana 4 (inventario completo de IA + Shadow AI), Mes 3 (proveedor seleccionado + contrato firmado con ZDR/indemnización), Mes 6 (piloto en producción con baseline medido), Mes 9 (primera revisión formal de ROI vs. proyección). La estructura de GO/NO-GO reduce el riesgo percibido y facilita la aprobación.</w:t>
      </w:r>
    </w:p>
    <w:p>
      <w:pPr>
        <w:spacing w:before="0" w:after="100"/>
        <w:ind w:left="700"/>
      </w:pPr>
      <w:r>
        <w:rPr>
          <w:rFonts w:ascii="Arial" w:cs="Arial" w:eastAsia="Arial" w:hAnsi="Arial"/>
          <w:b/>
          <w:bCs/>
          <w:color w:val="1A1A2E"/>
          <w:sz w:val="20"/>
          <w:szCs w:val="20"/>
        </w:rPr>
        <w:t xml:space="preserve">Título sugerido: </w:t>
      </w:r>
      <w:r>
        <w:rPr>
          <w:rFonts w:ascii="Arial" w:cs="Arial" w:eastAsia="Arial" w:hAnsi="Arial"/>
          <w:i/>
          <w:iCs/>
          <w:color w:val="1A1A2E"/>
          <w:sz w:val="18"/>
          <w:szCs w:val="18"/>
        </w:rPr>
        <w:t xml:space="preserve">'¿Cómo sabremos si está funcionando?'</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9.6 ANTI-PATRONES: POR QUÉ FALLA EL ROI EN EL 95% DE LOS PROYECTOS</w:t>
      </w:r>
    </w:p>
    <w:p>
      <w:pPr>
        <w:pBdr>
          <w:bottom w:val="single" w:color="BDD7EE" w:sz="4"/>
        </w:pBdr>
        <w:spacing w:before="80" w:after="80"/>
      </w:pPr>
    </w:p>
    <w:p>
      <w:pPr>
        <w:spacing w:before="60" w:after="100"/>
      </w:pPr>
      <w:r>
        <w:rPr>
          <w:rFonts w:ascii="Arial" w:cs="Arial" w:eastAsia="Arial" w:hAnsi="Arial"/>
          <w:color w:val="1A1A2E"/>
          <w:sz w:val="20"/>
          <w:szCs w:val="20"/>
        </w:rPr>
        <w:t xml:space="preserve">MIT GenAI Divide Study (2025): 95% de proyectos GenAI no muestran ROI financiero medible en los primeros 6 meses. S&amp;P Global (2025): el 42% de organizaciones abandonó la mayoría de sus proyectos de IA — el doble que el año anterior. La causa en la gran mayoría de los casos no es tecnológica: es organizacional y de gestión. Los siguientes 8 anti-patrones explican el fracaso y su contramedida.</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ANTI-PATRÓN 1</w:t>
            </w:r>
          </w:p>
        </w:tc>
        <w:tc>
          <w:tcPr>
            <w:tcW w:type="dxa" w:w="816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C00000"/>
                <w:sz w:val="17"/>
                <w:szCs w:val="17"/>
              </w:rPr>
              <w:t xml:space="preserve">SPRAY-AND-PRAY: Experimentar con múltiples herramientas sin foco estratégico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3600"/>
        <w:gridCol w:w="4880"/>
      </w:tblGrid>
      <w:tr>
        <w:tc>
          <w:tcPr>
            <w:tcW w:type="dxa" w:w="88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3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spacing w:before="0" w:after="0"/>
            </w:pPr>
            <w:r>
              <w:rPr>
                <w:rFonts w:ascii="Arial" w:cs="Arial" w:eastAsia="Arial" w:hAnsi="Arial"/>
                <w:b/>
                <w:bCs/>
                <w:color w:val="C00000"/>
                <w:sz w:val="15"/>
                <w:szCs w:val="15"/>
              </w:rPr>
              <w:t xml:space="preserve">El Problema: </w:t>
            </w:r>
            <w:r>
              <w:rPr>
                <w:rFonts w:ascii="Arial" w:cs="Arial" w:eastAsia="Arial" w:hAnsi="Arial"/>
                <w:color w:val="1A1A2E"/>
                <w:sz w:val="15"/>
                <w:szCs w:val="15"/>
              </w:rPr>
              <w:t xml:space="preserve">La organización despliega 8-12 herramientas de IA distintas simultáneamente ('experimentamos con todas para ver cuál funciona'). Ninguna alcanza masa crítica de adopción. Los recursos de integración, capacitación y soporte se diluyen. Al año, el 70% de las herramientas está en desuso parcial o total.</w:t>
            </w:r>
          </w:p>
        </w:tc>
        <w:tc>
          <w:tcPr>
            <w:tcW w:type="dxa" w:w="48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spacing w:before="0" w:after="0"/>
            </w:pPr>
            <w:r>
              <w:rPr>
                <w:rFonts w:ascii="Arial" w:cs="Arial" w:eastAsia="Arial" w:hAnsi="Arial"/>
                <w:b/>
                <w:bCs/>
                <w:color w:val="1A6E23"/>
                <w:sz w:val="15"/>
                <w:szCs w:val="15"/>
              </w:rPr>
              <w:t xml:space="preserve">La Contramedida: </w:t>
            </w:r>
            <w:r>
              <w:rPr>
                <w:rFonts w:ascii="Arial" w:cs="Arial" w:eastAsia="Arial" w:hAnsi="Arial"/>
                <w:color w:val="1A1A2E"/>
                <w:sz w:val="15"/>
                <w:szCs w:val="15"/>
              </w:rPr>
              <w:t xml:space="preserve">CONTRAMEDIDA: Concentrar el primer año en 1-2 casos de uso de alto impacto con proveedor principal (Tier 1 del ranking). El dato de TechCrunch (dic. 2025): el mercado de 2026 es de 'consolidación de inversión y elección de ganadores' — no de experimentación dispersa.</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ANTI-PATRÓN 2</w:t>
            </w:r>
          </w:p>
        </w:tc>
        <w:tc>
          <w:tcPr>
            <w:tcW w:type="dxa" w:w="816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C00000"/>
                <w:sz w:val="17"/>
                <w:szCs w:val="17"/>
              </w:rPr>
              <w:t xml:space="preserve">PILOTO ETERNO: Nunca pasar a producción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3600"/>
        <w:gridCol w:w="4880"/>
      </w:tblGrid>
      <w:tr>
        <w:tc>
          <w:tcPr>
            <w:tcW w:type="dxa" w:w="88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3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spacing w:before="0" w:after="0"/>
            </w:pPr>
            <w:r>
              <w:rPr>
                <w:rFonts w:ascii="Arial" w:cs="Arial" w:eastAsia="Arial" w:hAnsi="Arial"/>
                <w:b/>
                <w:bCs/>
                <w:color w:val="C00000"/>
                <w:sz w:val="15"/>
                <w:szCs w:val="15"/>
              </w:rPr>
              <w:t xml:space="preserve">El Problema: </w:t>
            </w:r>
            <w:r>
              <w:rPr>
                <w:rFonts w:ascii="Arial" w:cs="Arial" w:eastAsia="Arial" w:hAnsi="Arial"/>
                <w:color w:val="1A1A2E"/>
                <w:sz w:val="15"/>
                <w:szCs w:val="15"/>
              </w:rPr>
              <w:t xml:space="preserve">El 66% de empresas está atrapado en modo piloto y es 'incapaz de transicionar a producción' (Informatica survey 2025). Las causas más comunes: (a) definición indefinida de 'éxito' que siempre se mueve, (b) ausencia de ejecutivo patrocinador con autoridad para decidir el paso a producción, (c) el equipo de seguridad bloquea sin criterios de aprobación claros.</w:t>
            </w:r>
          </w:p>
        </w:tc>
        <w:tc>
          <w:tcPr>
            <w:tcW w:type="dxa" w:w="48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spacing w:before="0" w:after="0"/>
            </w:pPr>
            <w:r>
              <w:rPr>
                <w:rFonts w:ascii="Arial" w:cs="Arial" w:eastAsia="Arial" w:hAnsi="Arial"/>
                <w:b/>
                <w:bCs/>
                <w:color w:val="1A6E23"/>
                <w:sz w:val="15"/>
                <w:szCs w:val="15"/>
              </w:rPr>
              <w:t xml:space="preserve">La Contramedida: </w:t>
            </w:r>
            <w:r>
              <w:rPr>
                <w:rFonts w:ascii="Arial" w:cs="Arial" w:eastAsia="Arial" w:hAnsi="Arial"/>
                <w:color w:val="1A1A2E"/>
                <w:sz w:val="15"/>
                <w:szCs w:val="15"/>
              </w:rPr>
              <w:t xml:space="preserve">CONTRAMEDIDA: Definir criterios de 'ready for production' antes del piloto, no durante. Incluir: umbral mínimo de precisión, evidencia de ZDR para datos sensibles, aprobación de Legal sobre contrato, y una fecha límite de decisión GO/NO-GO. El CISO debe ser habilitador, no solo bloqueador.</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ANTI-PATRÓN 3</w:t>
            </w:r>
          </w:p>
        </w:tc>
        <w:tc>
          <w:tcPr>
            <w:tcW w:type="dxa" w:w="816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C00000"/>
                <w:sz w:val="17"/>
                <w:szCs w:val="17"/>
              </w:rPr>
              <w:t xml:space="preserve">AUSENCIA DE BASELINE: Medir sin referencia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3600"/>
        <w:gridCol w:w="4880"/>
      </w:tblGrid>
      <w:tr>
        <w:tc>
          <w:tcPr>
            <w:tcW w:type="dxa" w:w="88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3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spacing w:before="0" w:after="0"/>
            </w:pPr>
            <w:r>
              <w:rPr>
                <w:rFonts w:ascii="Arial" w:cs="Arial" w:eastAsia="Arial" w:hAnsi="Arial"/>
                <w:b/>
                <w:bCs/>
                <w:color w:val="C00000"/>
                <w:sz w:val="15"/>
                <w:szCs w:val="15"/>
              </w:rPr>
              <w:t xml:space="preserve">El Problema: </w:t>
            </w:r>
            <w:r>
              <w:rPr>
                <w:rFonts w:ascii="Arial" w:cs="Arial" w:eastAsia="Arial" w:hAnsi="Arial"/>
                <w:color w:val="1A1A2E"/>
                <w:sz w:val="15"/>
                <w:szCs w:val="15"/>
              </w:rPr>
              <w:t xml:space="preserve">El equipo implementa la IA y luego mide resultados — pero no tenía mediciones de referencia antes del deployment. Es imposible demostrar mejora sin baseline. 'Sin baseline, no hay atribución posible' (Atalla, Transformativ, CIO.com 2025). Este error genera el 'ROI es difícil de probar' que debilita el caso de negocio en la revisión trimestral.</w:t>
            </w:r>
          </w:p>
        </w:tc>
        <w:tc>
          <w:tcPr>
            <w:tcW w:type="dxa" w:w="48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spacing w:before="0" w:after="0"/>
            </w:pPr>
            <w:r>
              <w:rPr>
                <w:rFonts w:ascii="Arial" w:cs="Arial" w:eastAsia="Arial" w:hAnsi="Arial"/>
                <w:b/>
                <w:bCs/>
                <w:color w:val="1A6E23"/>
                <w:sz w:val="15"/>
                <w:szCs w:val="15"/>
              </w:rPr>
              <w:t xml:space="preserve">La Contramedida: </w:t>
            </w:r>
            <w:r>
              <w:rPr>
                <w:rFonts w:ascii="Arial" w:cs="Arial" w:eastAsia="Arial" w:hAnsi="Arial"/>
                <w:color w:val="1A1A2E"/>
                <w:sz w:val="15"/>
                <w:szCs w:val="15"/>
              </w:rPr>
              <w:t xml:space="preserve">CONTRAMEDIDA: Dedicar las 4 semanas previas al deployment a medir el proceso actual: tiempo por tarea, tasa de error, costo por unidad, NPS del equipo. Documentar en el acta del proyecto. Esta inversión de 4 semanas convierte la revisión de ROI de especulación en evidencia.</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ANTI-PATRÓN 4</w:t>
            </w:r>
          </w:p>
        </w:tc>
        <w:tc>
          <w:tcPr>
            <w:tcW w:type="dxa" w:w="816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C00000"/>
                <w:sz w:val="17"/>
                <w:szCs w:val="17"/>
              </w:rPr>
              <w:t xml:space="preserve">GESTIÓN DEL CAMBIO IGNORADA: La tecnología lista, el equipo 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3600"/>
        <w:gridCol w:w="4880"/>
      </w:tblGrid>
      <w:tr>
        <w:tc>
          <w:tcPr>
            <w:tcW w:type="dxa" w:w="88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3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spacing w:before="0" w:after="0"/>
            </w:pPr>
            <w:r>
              <w:rPr>
                <w:rFonts w:ascii="Arial" w:cs="Arial" w:eastAsia="Arial" w:hAnsi="Arial"/>
                <w:b/>
                <w:bCs/>
                <w:color w:val="C00000"/>
                <w:sz w:val="15"/>
                <w:szCs w:val="15"/>
              </w:rPr>
              <w:t xml:space="preserve">El Problema: </w:t>
            </w:r>
            <w:r>
              <w:rPr>
                <w:rFonts w:ascii="Arial" w:cs="Arial" w:eastAsia="Arial" w:hAnsi="Arial"/>
                <w:color w:val="1A1A2E"/>
                <w:sz w:val="15"/>
                <w:szCs w:val="15"/>
              </w:rPr>
              <w:t xml:space="preserve">La organización implementa la herramienta de IA y asume que los usuarios la adoptarán por inercia. El resultado: tasa de adopción del 15-25% a los 3 meses. 'Sin gestión del cambio, la IA acelera las ineficiencias de hoy' (CIO.com, nov. 2025). Las herramientas de IA requieren cambios en los procesos, no solo en la tecnología.</w:t>
            </w:r>
          </w:p>
        </w:tc>
        <w:tc>
          <w:tcPr>
            <w:tcW w:type="dxa" w:w="48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spacing w:before="0" w:after="0"/>
            </w:pPr>
            <w:r>
              <w:rPr>
                <w:rFonts w:ascii="Arial" w:cs="Arial" w:eastAsia="Arial" w:hAnsi="Arial"/>
                <w:b/>
                <w:bCs/>
                <w:color w:val="1A6E23"/>
                <w:sz w:val="15"/>
                <w:szCs w:val="15"/>
              </w:rPr>
              <w:t xml:space="preserve">La Contramedida: </w:t>
            </w:r>
            <w:r>
              <w:rPr>
                <w:rFonts w:ascii="Arial" w:cs="Arial" w:eastAsia="Arial" w:hAnsi="Arial"/>
                <w:color w:val="1A1A2E"/>
                <w:sz w:val="15"/>
                <w:szCs w:val="15"/>
              </w:rPr>
              <w:t xml:space="preserve">CONTRAMEDIDA: Asignar el 20-30% del presupuesto del proyecto a change management, capacitación y AI Champions departamentales. Medir la tasa de adopción semanal como KPI de primer orden — es el indicador líder del ROI que llegará 6 meses después.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ANTI-PATRÓN 5</w:t>
            </w:r>
          </w:p>
        </w:tc>
        <w:tc>
          <w:tcPr>
            <w:tcW w:type="dxa" w:w="816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C00000"/>
                <w:sz w:val="17"/>
                <w:szCs w:val="17"/>
              </w:rPr>
              <w:t xml:space="preserve">KPIs DEFINIDOS POST-HOC: Seleccionar las métricas que muestran buenos resultados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3600"/>
        <w:gridCol w:w="4880"/>
      </w:tblGrid>
      <w:tr>
        <w:tc>
          <w:tcPr>
            <w:tcW w:type="dxa" w:w="88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3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spacing w:before="0" w:after="0"/>
            </w:pPr>
            <w:r>
              <w:rPr>
                <w:rFonts w:ascii="Arial" w:cs="Arial" w:eastAsia="Arial" w:hAnsi="Arial"/>
                <w:b/>
                <w:bCs/>
                <w:color w:val="C00000"/>
                <w:sz w:val="15"/>
                <w:szCs w:val="15"/>
              </w:rPr>
              <w:t xml:space="preserve">El Problema: </w:t>
            </w:r>
            <w:r>
              <w:rPr>
                <w:rFonts w:ascii="Arial" w:cs="Arial" w:eastAsia="Arial" w:hAnsi="Arial"/>
                <w:color w:val="1A1A2E"/>
                <w:sz w:val="15"/>
                <w:szCs w:val="15"/>
              </w:rPr>
              <w:t xml:space="preserve">Después de 6 meses, el equipo busca métricas que muestren que el proyecto fue exitoso en lugar de medir los KPIs que prometió. El CFO identifica este patrón inmediatamente y pierde confianza en las futuras propuestas de IA. En el peor caso, se cometen errores de atribución que se vuelven la base de decisiones de escalado erróneas.</w:t>
            </w:r>
          </w:p>
        </w:tc>
        <w:tc>
          <w:tcPr>
            <w:tcW w:type="dxa" w:w="48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spacing w:before="0" w:after="0"/>
            </w:pPr>
            <w:r>
              <w:rPr>
                <w:rFonts w:ascii="Arial" w:cs="Arial" w:eastAsia="Arial" w:hAnsi="Arial"/>
                <w:b/>
                <w:bCs/>
                <w:color w:val="1A6E23"/>
                <w:sz w:val="15"/>
                <w:szCs w:val="15"/>
              </w:rPr>
              <w:t xml:space="preserve">La Contramedida: </w:t>
            </w:r>
            <w:r>
              <w:rPr>
                <w:rFonts w:ascii="Arial" w:cs="Arial" w:eastAsia="Arial" w:hAnsi="Arial"/>
                <w:color w:val="1A1A2E"/>
                <w:sz w:val="15"/>
                <w:szCs w:val="15"/>
              </w:rPr>
              <w:t xml:space="preserve">CONTRAMEDIDA: El acta de aprobación del proyecto debe incluir los KPIs de éxito y fracaso definidos de antemano, con los umbrales numéricos específicos. Publicar estos compromisos al inicio — no hacer cherry-picking de métricas al final.</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ANTI-PATRÓN 6</w:t>
            </w:r>
          </w:p>
        </w:tc>
        <w:tc>
          <w:tcPr>
            <w:tcW w:type="dxa" w:w="816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C00000"/>
                <w:sz w:val="17"/>
                <w:szCs w:val="17"/>
              </w:rPr>
              <w:t xml:space="preserve">COSTO SUBESTIMADO: Vender solo el precio de la licencia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3600"/>
        <w:gridCol w:w="4880"/>
      </w:tblGrid>
      <w:tr>
        <w:tc>
          <w:tcPr>
            <w:tcW w:type="dxa" w:w="88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3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spacing w:before="0" w:after="0"/>
            </w:pPr>
            <w:r>
              <w:rPr>
                <w:rFonts w:ascii="Arial" w:cs="Arial" w:eastAsia="Arial" w:hAnsi="Arial"/>
                <w:b/>
                <w:bCs/>
                <w:color w:val="C00000"/>
                <w:sz w:val="15"/>
                <w:szCs w:val="15"/>
              </w:rPr>
              <w:t xml:space="preserve">El Problema: </w:t>
            </w:r>
            <w:r>
              <w:rPr>
                <w:rFonts w:ascii="Arial" w:cs="Arial" w:eastAsia="Arial" w:hAnsi="Arial"/>
                <w:color w:val="1A1A2E"/>
                <w:sz w:val="15"/>
                <w:szCs w:val="15"/>
              </w:rPr>
              <w:t xml:space="preserve">El business case presenta el costo de la licencia o API ($X/mes) y omite los costos de integración, datos, personal especializado y gobernanza. Al año 1, el TCO real supera el presupuesto aprobado por 3-5x. El proyecto se marca como 'sobre presupuesto' aunque estaba correctamente costeado — simplemente nunca se presentó el costo completo.</w:t>
            </w:r>
          </w:p>
        </w:tc>
        <w:tc>
          <w:tcPr>
            <w:tcW w:type="dxa" w:w="48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spacing w:before="0" w:after="0"/>
            </w:pPr>
            <w:r>
              <w:rPr>
                <w:rFonts w:ascii="Arial" w:cs="Arial" w:eastAsia="Arial" w:hAnsi="Arial"/>
                <w:b/>
                <w:bCs/>
                <w:color w:val="1A6E23"/>
                <w:sz w:val="15"/>
                <w:szCs w:val="15"/>
              </w:rPr>
              <w:t xml:space="preserve">La Contramedida: </w:t>
            </w:r>
            <w:r>
              <w:rPr>
                <w:rFonts w:ascii="Arial" w:cs="Arial" w:eastAsia="Arial" w:hAnsi="Arial"/>
                <w:color w:val="1A1A2E"/>
                <w:sz w:val="15"/>
                <w:szCs w:val="15"/>
              </w:rPr>
              <w:t xml:space="preserve">CONTRAMEDIDA: Usar el multiplicador 3x sobre el precio de licencia como punto de partida para Year 1 TCO en el caso de negocio. El CFO que aprueba un proyecto con TCO completo es menos probable de cancelarlo que el CFO sorprendido con overruns inesperados.</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ANTI-PATRÓN 7</w:t>
            </w:r>
          </w:p>
        </w:tc>
        <w:tc>
          <w:tcPr>
            <w:tcW w:type="dxa" w:w="816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C00000"/>
                <w:sz w:val="17"/>
                <w:szCs w:val="17"/>
              </w:rPr>
              <w:t xml:space="preserve">SHADOW AI COMO 'SOLUCIÓN ALTERNATIVA': Tolerar el uso no aprobado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3600"/>
        <w:gridCol w:w="4880"/>
      </w:tblGrid>
      <w:tr>
        <w:tc>
          <w:tcPr>
            <w:tcW w:type="dxa" w:w="88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3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spacing w:before="0" w:after="0"/>
            </w:pPr>
            <w:r>
              <w:rPr>
                <w:rFonts w:ascii="Arial" w:cs="Arial" w:eastAsia="Arial" w:hAnsi="Arial"/>
                <w:b/>
                <w:bCs/>
                <w:color w:val="C00000"/>
                <w:sz w:val="15"/>
                <w:szCs w:val="15"/>
              </w:rPr>
              <w:t xml:space="preserve">El Problema: </w:t>
            </w:r>
            <w:r>
              <w:rPr>
                <w:rFonts w:ascii="Arial" w:cs="Arial" w:eastAsia="Arial" w:hAnsi="Arial"/>
                <w:color w:val="1A1A2E"/>
                <w:sz w:val="15"/>
                <w:szCs w:val="15"/>
              </w:rPr>
              <w:t xml:space="preserve">El equipo de negocio usa ChatGPT Plus personal o herramientas no aprobadas porque el proceso de aprobación es demasiado lento. El equipo de seguridad lo descubre 6 meses después en un análisis de tráfico. Para ese momento, potencialmente se han compartido datos de clientes con servidores externos sin ZDR ni DPA firmado. El costo diferencial por brecha de Shadow AI: $670,000.</w:t>
            </w:r>
          </w:p>
        </w:tc>
        <w:tc>
          <w:tcPr>
            <w:tcW w:type="dxa" w:w="48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spacing w:before="0" w:after="0"/>
            </w:pPr>
            <w:r>
              <w:rPr>
                <w:rFonts w:ascii="Arial" w:cs="Arial" w:eastAsia="Arial" w:hAnsi="Arial"/>
                <w:b/>
                <w:bCs/>
                <w:color w:val="1A6E23"/>
                <w:sz w:val="15"/>
                <w:szCs w:val="15"/>
              </w:rPr>
              <w:t xml:space="preserve">La Contramedida: </w:t>
            </w:r>
            <w:r>
              <w:rPr>
                <w:rFonts w:ascii="Arial" w:cs="Arial" w:eastAsia="Arial" w:hAnsi="Arial"/>
                <w:color w:val="1A1A2E"/>
                <w:sz w:val="15"/>
                <w:szCs w:val="15"/>
              </w:rPr>
              <w:t xml:space="preserve">CONTRAMEDIDA: Un proceso de aprobación de herramientas de IA que tarde más de 2 semanas para herramientas de bajo riesgo genera Shadow AI inevitablemente. Implementar un 'carril rápido' de aprobación de 48-72 horas para herramientas de Tier 3 (bajo riesgo, sin datos sensibles). La velocidad de governance es parte de la estrategia de seguridad.</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ANTI-PATRÓN 8</w:t>
            </w:r>
          </w:p>
        </w:tc>
        <w:tc>
          <w:tcPr>
            <w:tcW w:type="dxa" w:w="816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bCs/>
                <w:color w:val="C00000"/>
                <w:sz w:val="17"/>
                <w:szCs w:val="17"/>
              </w:rPr>
              <w:t xml:space="preserve">ESCALAR SIN APRENDER: Desplegar a toda la organización antes de validar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3600"/>
        <w:gridCol w:w="4880"/>
      </w:tblGrid>
      <w:tr>
        <w:tc>
          <w:tcPr>
            <w:tcW w:type="dxa" w:w="880"/>
            <w:tcBorders>
              <w:top w:val="single" w:color="AEC9E0" w:sz="1"/>
              <w:left w:val="single" w:color="AEC9E0" w:sz="1"/>
              <w:bottom w:val="single" w:color="AEC9E0" w:sz="1"/>
              <w:right w:val="single" w:color="AEC9E0" w:sz="1"/>
            </w:tcBorders>
            <w:shd w:fill="C00000" w:val="clear"/>
            <w:tcMar>
              <w:top w:type="dxa" w:w="70"/>
              <w:left w:type="dxa" w:w="120"/>
              <w:bottom w:type="dxa" w:w="70"/>
              <w:right w:type="dxa" w:w="120"/>
            </w:tcMar>
            <w:vAlign w:val="top"/>
          </w:tcPr>
          <w:p>
            <w:pPr>
              <w:jc w:val="left"/>
            </w:pPr>
            <w:r>
              <w:rPr>
                <w:rFonts w:ascii="Arial" w:cs="Arial" w:eastAsia="Arial" w:hAnsi="Arial"/>
                <w:b w:val="false"/>
                <w:bCs w:val="false"/>
                <w:color w:val="1A1A2E"/>
                <w:sz w:val="16"/>
                <w:szCs w:val="16"/>
              </w:rPr>
              <w:t xml:space="preserve"/>
            </w:r>
          </w:p>
        </w:tc>
        <w:tc>
          <w:tcPr>
            <w:tcW w:type="dxa" w:w="36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spacing w:before="0" w:after="0"/>
            </w:pPr>
            <w:r>
              <w:rPr>
                <w:rFonts w:ascii="Arial" w:cs="Arial" w:eastAsia="Arial" w:hAnsi="Arial"/>
                <w:b/>
                <w:bCs/>
                <w:color w:val="C00000"/>
                <w:sz w:val="15"/>
                <w:szCs w:val="15"/>
              </w:rPr>
              <w:t xml:space="preserve">El Problema: </w:t>
            </w:r>
            <w:r>
              <w:rPr>
                <w:rFonts w:ascii="Arial" w:cs="Arial" w:eastAsia="Arial" w:hAnsi="Arial"/>
                <w:color w:val="1A1A2E"/>
                <w:sz w:val="15"/>
                <w:szCs w:val="15"/>
              </w:rPr>
              <w:t xml:space="preserve">El piloto en un equipo de 10 personas resulta prometedor — el resultado se extrapola directamente a toda la organización de 2,000 personas. Mikadze (CIO.com, dic. 2025): 'Un equipo piloto motivado puede generar victorias tempranas impresionantes, pero escalar casi nunca es limpio.' La calidad de datos, el diseño del workflow y los incentivos del equipo raramente escalan en sincronía.</w:t>
            </w:r>
          </w:p>
        </w:tc>
        <w:tc>
          <w:tcPr>
            <w:tcW w:type="dxa" w:w="488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spacing w:before="0" w:after="0"/>
            </w:pPr>
            <w:r>
              <w:rPr>
                <w:rFonts w:ascii="Arial" w:cs="Arial" w:eastAsia="Arial" w:hAnsi="Arial"/>
                <w:b/>
                <w:bCs/>
                <w:color w:val="1A6E23"/>
                <w:sz w:val="15"/>
                <w:szCs w:val="15"/>
              </w:rPr>
              <w:t xml:space="preserve">La Contramedida: </w:t>
            </w:r>
            <w:r>
              <w:rPr>
                <w:rFonts w:ascii="Arial" w:cs="Arial" w:eastAsia="Arial" w:hAnsi="Arial"/>
                <w:color w:val="1A1A2E"/>
                <w:sz w:val="15"/>
                <w:szCs w:val="15"/>
              </w:rPr>
              <w:t xml:space="preserve">CONTRAMEDIDA: Escalar en fases con validación de KPIs entre cada fase. El piloto prueba la hipótesis de valor. La segunda fase (expansión a 50-100 usuarios) prueba la replicabilidad. Solo la tercera fase (escala completa) tiene el respaldo del aprendizaje completo. No comprometer presupuesto de escalado completo hasta tener resultados de la fase 2.</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9.7 KPIs Y MÉTRICAS DE ÉXITO POR CASO DE USO Y SECTOR</w:t>
      </w:r>
    </w:p>
    <w:p>
      <w:pPr>
        <w:pBdr>
          <w:bottom w:val="single" w:color="BDD7EE" w:sz="4"/>
        </w:pBdr>
        <w:spacing w:before="80" w:after="80"/>
      </w:pPr>
    </w:p>
    <w:p>
      <w:pPr>
        <w:spacing w:before="60" w:after="100"/>
      </w:pPr>
      <w:r>
        <w:rPr>
          <w:rFonts w:ascii="Arial" w:cs="Arial" w:eastAsia="Arial" w:hAnsi="Arial"/>
          <w:color w:val="1A1A2E"/>
          <w:sz w:val="20"/>
          <w:szCs w:val="20"/>
        </w:rPr>
        <w:t xml:space="preserve">La elección de KPIs incorrectos es tan peligrosa como la ausencia de KPIs. Los KPIs deben ser: específicos al caso de uso, medibles antes del deployment (para baseline), atribuibles al impacto de la IA (no a otras variables), y reportables al C-Suite en lenguaje de negocio. La siguiente tabla provee KPIs concretos por caso de uso, con benchmarks de mercado donde están disponibles.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1960"/>
        <w:gridCol w:w="2200"/>
      </w:tblGrid>
      <w:tr>
        <w:tc>
          <w:tcPr>
            <w:tcW w:type="dxa" w:w="1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CASO DE USO</w:t>
            </w:r>
          </w:p>
        </w:tc>
        <w:tc>
          <w:tcPr>
            <w:tcW w:type="dxa" w:w="1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SECTOR PRIMARIO</w:t>
            </w:r>
          </w:p>
        </w:tc>
        <w:tc>
          <w:tcPr>
            <w:tcW w:type="dxa" w:w="2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KPIs RECOMENDADOS</w:t>
            </w:r>
          </w:p>
        </w:tc>
        <w:tc>
          <w:tcPr>
            <w:tcW w:type="dxa" w:w="19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BENCHMARK DE MERCADO</w:t>
            </w:r>
          </w:p>
        </w:tc>
        <w:tc>
          <w:tcPr>
            <w:tcW w:type="dxa" w:w="2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CÓMO MEDIR EL BASELINE</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AI-Asistida en SOC / Threat Detection</w:t>
            </w:r>
          </w:p>
        </w:tc>
        <w:tc>
          <w:tcPr>
            <w:tcW w:type="dxa" w:w="16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Seguridad (CISO)</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MTTR (Mean Time to Respond) — reducción objetivo 40-60%
• Tasa de falsos positivos — reducción objetivo &gt;30%
• Alertas por analista por turno — reducción objetivo 50%
• % de alertas priorizadas automáticamente — objetivo &gt;70%
• Costo por incidente resuelto</w:t>
            </w:r>
          </w:p>
        </w:tc>
        <w:tc>
          <w:tcPr>
            <w:tcW w:type="dxa" w:w="19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49% de organizaciones reportan mejoras en seguridad. IT ops: de 12% a 75% automatización en caso documentado (CIO.com 2026).</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4 semanas de logs de SIEM: MTTR promedio, ratio FP/TP, volumen de alertas por analista/día. Encuesta de satisfacción analistas (burnout score).</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Análisis de Contratos y Documentos Legales</w:t>
            </w:r>
          </w:p>
        </w:tc>
        <w:tc>
          <w:tcPr>
            <w:tcW w:type="dxa" w:w="16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Legal / Compliance</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Tiempo promedio de revisión por documento
• Tasa de cláusulas de riesgo detectadas por auditoría post-revisión
• Costo por contrato revisado (FTE × horas × costo/hora)
• Tiempo de ciclo de aprobación contractual (días)
• % de contratos con riesgo identificado correctamente</w:t>
            </w:r>
          </w:p>
        </w:tc>
        <w:tc>
          <w:tcPr>
            <w:tcW w:type="dxa" w:w="19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74% de iniciativas avanzadas en IT/cybersecurity cumplen ROI (Deloitte 2024). Payback típico legal: 8-14 meses.</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Muestra de 50 contratos recientes: tiempo cronometrado de revisión, número de cláusulas marcadas manualmente vs. encontradas en auditoría.</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Code Review y Developer Productivity</w:t>
            </w:r>
          </w:p>
        </w:tc>
        <w:tc>
          <w:tcPr>
            <w:tcW w:type="dxa" w:w="16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Tecnología / DevOps</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Cycle time de features (idea → producción)
• Líneas de código generadas/revisadas por desarrollador/semana
• Tasa de defectos post-release
• Cobertura de tests (% de código cubierto por tests auto-generados)
• Time-to-onboard para nuevos developers</w:t>
            </w:r>
          </w:p>
        </w:tc>
        <w:tc>
          <w:tcPr>
            <w:tcW w:type="dxa" w:w="19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GitHub Copilot: desarrolladores 55% más rápidos en tareas repetitivas (GitHub 2024). Productividad al menos doble en 39% de casos (Google 2025).</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Sprint velocity (story points completados por sprint) promedio de últimos 6 sprints. Defect escape rate del último año. Tiempo de code review promedio.</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Customer Service / Resolución de Casos</w:t>
            </w:r>
          </w:p>
        </w:tc>
        <w:tc>
          <w:tcPr>
            <w:tcW w:type="dxa" w:w="16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Retail / Financiero / Telco</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First Contact Resolution Rate (FCR) — objetivo +15-20%
• Average Handle Time (AHT) — reducción objetivo 30-40%
• Customer Effort Score (CES)
• Ticket escalation rate — reducción objetivo
• Costo por resolución (Zendesk baseline: $1.50/resolución como referencia de outcome pricing)</w:t>
            </w:r>
          </w:p>
        </w:tc>
        <w:tc>
          <w:tcPr>
            <w:tcW w:type="dxa" w:w="19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63% reportan mejoras en CX. NPS de clientes: proyección de aumento de 35 puntos (16% a 51%) para 2026 (IBM 2025).</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3 meses de logs de tickets: FCR actual, AHT promedio, tasa de escalación, CSAT/NPS actual. Costo mensual del equipo de soporte ÷ tickets resueltos = costo/ticket actual.</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Compliance y Reporte Regulatorio</w:t>
            </w:r>
          </w:p>
        </w:tc>
        <w:tc>
          <w:tcPr>
            <w:tcW w:type="dxa" w:w="16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Financiero / Gobierno / Salud</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Tiempo de preparación de reporte regulatorio (días)
• Tasa de hallazgos en auditoría externa (reducción objetivo)
• Costo de compliance (% de revenue gastado en compliance)
• Tiempo de respuesta ante solicitudes regulatorias
• % de controles automáticamente evidenciados</w:t>
            </w:r>
          </w:p>
        </w:tc>
        <w:tc>
          <w:tcPr>
            <w:tcW w:type="dxa" w:w="19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Empresas con IA responsable: 60% más probables de duplicar ROI (IDC 2025). Compliance proactivo → ventaja en licitaciones.</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Tiempo cronometrado del último ciclo de reporte regulatorio. Costo del equipo de compliance ÷ reportes producidos. Número de hallazgos en última auditoría.</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Análisis de Amenazas / Threat Intelligence</w:t>
            </w:r>
          </w:p>
        </w:tc>
        <w:tc>
          <w:tcPr>
            <w:tcW w:type="dxa" w:w="16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CISO / Seguridad</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Cobertura de TTPs (MITRE ATT&amp;CK) monitorizados — objetivo +40%
• Tiempo de producción de un informe de inteligencia
• Número de IoCs procesados por analista/día
• Tiempo de detección de campaña de amenaza activa
• % de detecciones proactivas vs. reactivas</w:t>
            </w:r>
          </w:p>
        </w:tc>
        <w:tc>
          <w:tcPr>
            <w:tcW w:type="dxa" w:w="19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49% de mejoras en seguridad reportadas. La IA expande la cobertura de threat hunting sin aumentar headcount.</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Baseline de cobertura ATT&amp;CK actual (Vectra/Darktrace exports). Tiempo cronometrado de último informe de TI. Volumen actual de IoCs procesados manualmente.</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Onboarding y Capacitación de Empleados</w:t>
            </w:r>
          </w:p>
        </w:tc>
        <w:tc>
          <w:tcPr>
            <w:tcW w:type="dxa" w:w="16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RRHH / L&amp;D</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Tiempo de onboarding (días hasta productividad plena)
• Score de evaluación post-training
• Costo por empleado onbordado
• Tasa de retención a 90 días
• Satisfacción del empleado con el proceso (eNPS)</w:t>
            </w:r>
          </w:p>
        </w:tc>
        <w:tc>
          <w:tcPr>
            <w:tcW w:type="dxa" w:w="19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AI chatbots reducen tiempo de onboarding entre 25-40% en casos documentados. NPS de empleados correlaciona con adopción de herramientas de IA.</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Tiempo promedio de onboarding (start date → first independent delivery). Costo del equipo de L&amp;D ÷ empleados onbordados/año. eNPS actual del proceso.</w:t>
            </w:r>
          </w:p>
        </w:tc>
      </w:tr>
      <w:tr>
        <w:tc>
          <w:tcPr>
            <w:tcW w:type="dxa" w:w="1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Generación de Contenido y Marketing</w:t>
            </w:r>
          </w:p>
        </w:tc>
        <w:tc>
          <w:tcPr>
            <w:tcW w:type="dxa" w:w="16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center"/>
            </w:pPr>
            <w:r>
              <w:rPr>
                <w:rFonts w:ascii="Arial" w:cs="Arial" w:eastAsia="Arial" w:hAnsi="Arial"/>
                <w:b w:val="false"/>
                <w:bCs w:val="false"/>
                <w:color w:val="2E75B6"/>
                <w:sz w:val="14"/>
                <w:szCs w:val="14"/>
              </w:rPr>
              <w:t xml:space="preserve">Marketing / Comunicaciones</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Tiempo de producción de pieza de contenido
• Cost-per-lead generado por contenido
• Conversión de contenido (clicks, engagement, conversiones)
• Volumen de contenido producido por el equipo
• Brand Safety score (% de contenido aprobado sin cambios)</w:t>
            </w:r>
          </w:p>
        </w:tc>
        <w:tc>
          <w:tcPr>
            <w:tcW w:type="dxa" w:w="19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55% de líderes reportan impacto en marketing. Revenue boost estimado: 6-10% (Google Cloud 2025). NPS: de 16% a 51% proyectado para 2026.</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Tiempo cronometrado de último ciclo de producción de contenido. Cost-per-lead actual de los últimos 3 meses. Ratio de contenido rechazado/aprobado.</w:t>
            </w:r>
          </w:p>
        </w:tc>
      </w:tr>
    </w:tbl>
    <w:p>
      <w:pPr>
        <w:spacing w:before="30" w:after="30"/>
      </w:pPr>
      <w:r>
        <w:t xml:space="preserve"/>
      </w:r>
    </w:p>
    <w:p>
      <w:pPr>
        <w:shd w:fill="FFF2CC" w:val="clear"/>
        <w:spacing w:before="100" w:after="100"/>
        <w:ind w:left="280" w:right="280"/>
      </w:pPr>
      <w:r>
        <w:rPr>
          <w:rFonts w:ascii="Arial" w:cs="Arial" w:eastAsia="Arial" w:hAnsi="Arial"/>
          <w:b/>
          <w:bCs/>
          <w:color w:val="7F4F00"/>
          <w:sz w:val="18"/>
          <w:szCs w:val="18"/>
        </w:rPr>
        <w:t xml:space="preserve">📊 Principio de KPI mínimo viable: </w:t>
      </w:r>
      <w:r>
        <w:rPr>
          <w:rFonts w:ascii="Arial" w:cs="Arial" w:eastAsia="Arial" w:hAnsi="Arial"/>
          <w:color w:val="7F4F00"/>
          <w:sz w:val="18"/>
          <w:szCs w:val="18"/>
        </w:rPr>
        <w:t xml:space="preserve">Para proyectos de IA en una primera implementación, no es necesario medir todo. El conjunto mínimo viable de KPIs es: (1) UN KPI de Hard ROI que impacte directamente el P&amp;L, (2) UN KPI de adopción (tasa de uso activo de la herramienta), y (3) UN KPI de calidad (precisión del output o satisfacción del usuario). Estos tres KPIs permiten demostrar valor a los 90 días y justificar la segunda fase de inversión.</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9.8 REFERENCIAS (R211–R240)</w:t>
      </w:r>
    </w:p>
    <w:p>
      <w:pPr>
        <w:pBdr>
          <w:bottom w:val="single" w:color="BDD7EE" w:sz="4"/>
        </w:pBdr>
        <w:spacing w:before="80" w:after="80"/>
      </w:pPr>
    </w:p>
    <w:p>
      <w:pPr>
        <w:spacing w:before="60" w:after="100"/>
      </w:pPr>
      <w:r>
        <w:rPr>
          <w:rFonts w:ascii="Arial" w:cs="Arial" w:eastAsia="Arial" w:hAnsi="Arial"/>
          <w:b/>
          <w:bCs/>
          <w:color w:val="1A1A2E"/>
          <w:sz w:val="20"/>
          <w:szCs w:val="20"/>
        </w:rPr>
        <w:t xml:space="preserve">ROI de IA Enterprise — Estudios de Mercado Primarios:</w:t>
      </w:r>
    </w:p>
    <w:p>
      <w:pPr>
        <w:spacing w:before="30" w:after="40"/>
      </w:pPr>
      <w:r>
        <w:rPr>
          <w:rFonts w:ascii="Arial" w:cs="Arial" w:eastAsia="Arial" w:hAnsi="Arial"/>
          <w:color w:val="1A1A2E"/>
          <w:sz w:val="17"/>
          <w:szCs w:val="17"/>
        </w:rPr>
        <w:t xml:space="preserve">R211. Google Cloud, 'The ROI of AI 2025 Report'. Survey de 3,466 líderes de negocio globales, abril-junio 2025. Hallazgos: 74% ROI en primer año; 39% productividad duplicada; 49% mejoras en seguridad; 56% ganancias de revenue.</w:t>
      </w:r>
    </w:p>
    <w:p>
      <w:pPr>
        <w:spacing w:before="30" w:after="40"/>
      </w:pPr>
      <w:r>
        <w:rPr>
          <w:rFonts w:ascii="Arial" w:cs="Arial" w:eastAsia="Arial" w:hAnsi="Arial"/>
          <w:color w:val="1A1A2E"/>
          <w:sz w:val="17"/>
          <w:szCs w:val="17"/>
        </w:rPr>
        <w:t xml:space="preserve">R212. AI Governance Library, 'The ROI of AI 2025 (Google Cloud Summary)'. aigl.blog, septiembre 2025.</w:t>
      </w:r>
    </w:p>
    <w:p>
      <w:pPr>
        <w:spacing w:before="30" w:after="40"/>
      </w:pPr>
      <w:r>
        <w:rPr>
          <w:rFonts w:ascii="Arial" w:cs="Arial" w:eastAsia="Arial" w:hAnsi="Arial"/>
          <w:color w:val="1A1A2E"/>
          <w:sz w:val="17"/>
          <w:szCs w:val="17"/>
        </w:rPr>
        <w:t xml:space="preserve">R213. CIO.com, '2026: The Year AI ROI Gets Real', Mary Pratt, enero 2026. Caso IT ops: de 12% a 75% automatización.</w:t>
      </w:r>
    </w:p>
    <w:p>
      <w:pPr>
        <w:spacing w:before="30" w:after="40"/>
      </w:pPr>
      <w:r>
        <w:rPr>
          <w:rFonts w:ascii="Arial" w:cs="Arial" w:eastAsia="Arial" w:hAnsi="Arial"/>
          <w:color w:val="1A1A2E"/>
          <w:sz w:val="17"/>
          <w:szCs w:val="17"/>
        </w:rPr>
        <w:t xml:space="preserve">R214. MIT, 'The GenAI Divide: State of AI in Business 2025'. 95% fracaso en ROI en 6 meses definición: sin retorno financiero medible en primeros 6 meses.</w:t>
      </w:r>
    </w:p>
    <w:p>
      <w:pPr>
        <w:spacing w:before="30" w:after="40"/>
      </w:pPr>
      <w:r>
        <w:rPr>
          <w:rFonts w:ascii="Arial" w:cs="Arial" w:eastAsia="Arial" w:hAnsi="Arial"/>
          <w:color w:val="1A1A2E"/>
          <w:sz w:val="17"/>
          <w:szCs w:val="17"/>
        </w:rPr>
        <w:t xml:space="preserve">R215. Deloitte, 'State of Gen AI Q4 2024'. 74% de iniciativas avanzadas cumplen o superan ROI; foco IT y ciberseguridad.</w:t>
      </w:r>
    </w:p>
    <w:p>
      <w:pPr>
        <w:spacing w:before="30" w:after="40"/>
      </w:pPr>
      <w:r>
        <w:rPr>
          <w:rFonts w:ascii="Arial" w:cs="Arial" w:eastAsia="Arial" w:hAnsi="Arial"/>
          <w:color w:val="1A1A2E"/>
          <w:sz w:val="17"/>
          <w:szCs w:val="17"/>
        </w:rPr>
        <w:t xml:space="preserve">R216. Kyndryl, 'AI Readiness Report 2025'. 61% de líderes bajo mayor presión para probar ROI vs. año anterior.</w:t>
      </w:r>
    </w:p>
    <w:p>
      <w:pPr>
        <w:spacing w:before="30" w:after="40"/>
      </w:pPr>
      <w:r>
        <w:rPr>
          <w:rFonts w:ascii="Arial" w:cs="Arial" w:eastAsia="Arial" w:hAnsi="Arial"/>
          <w:color w:val="1A1A2E"/>
          <w:sz w:val="17"/>
          <w:szCs w:val="17"/>
        </w:rPr>
        <w:t xml:space="preserve">R217. Teneo, 'Vision 2026 CEO and Investor Outlook Survey'. 53% de inversores esperan ROI en ≤6 meses.</w:t>
      </w:r>
    </w:p>
    <w:p>
      <w:pPr>
        <w:spacing w:before="30" w:after="40"/>
      </w:pPr>
      <w:r>
        <w:rPr>
          <w:rFonts w:ascii="Arial" w:cs="Arial" w:eastAsia="Arial" w:hAnsi="Arial"/>
          <w:color w:val="1A1A2E"/>
          <w:sz w:val="17"/>
          <w:szCs w:val="17"/>
        </w:rPr>
        <w:t xml:space="preserve">R218. S&amp;P Global, 2025 AI Project Report. 42% de organizaciones abandonaron mayoría de proyectos (vs. 17% año anterior).</w:t>
      </w:r>
    </w:p>
    <w:p>
      <w:pPr>
        <w:spacing w:before="30" w:after="40"/>
      </w:pPr>
      <w:r>
        <w:rPr>
          <w:rFonts w:ascii="Arial" w:cs="Arial" w:eastAsia="Arial" w:hAnsi="Arial"/>
          <w:color w:val="1A1A2E"/>
          <w:sz w:val="17"/>
          <w:szCs w:val="17"/>
        </w:rPr>
        <w:t xml:space="preserve">R219. AuditBoard, 'AI Risk and Governance Report 2025'. 82% deploying AI; solo 25% con governance implementada.</w:t>
      </w:r>
    </w:p>
    <w:p>
      <w:pPr>
        <w:spacing w:before="30" w:after="40"/>
      </w:pPr>
      <w:r>
        <w:rPr>
          <w:rFonts w:ascii="Arial" w:cs="Arial" w:eastAsia="Arial" w:hAnsi="Arial"/>
          <w:color w:val="1A1A2E"/>
          <w:sz w:val="17"/>
          <w:szCs w:val="17"/>
        </w:rPr>
        <w:t xml:space="preserve">R220. IDC Research, 2025. 'Trusted AI' — 60% más probable de duplicar ROI. Data breaches averaging $4.5M.</w:t>
      </w:r>
    </w:p>
    <w:p>
      <w:pPr>
        <w:spacing w:before="30" w:after="40"/>
      </w:pPr>
      <w:r>
        <w:rPr>
          <w:rFonts w:ascii="Arial" w:cs="Arial" w:eastAsia="Arial" w:hAnsi="Arial"/>
          <w:color w:val="1A1A2E"/>
          <w:sz w:val="17"/>
          <w:szCs w:val="17"/>
        </w:rPr>
        <w:t xml:space="preserve">R221. IBM Institute for Business Value, 'Chief AI Officer Report'. Encuesta a 600+ CAIOs, 22 países. 26% tienen CAIO; organizaciones usan 11 modelos, planean 16 para 2026.</w:t>
      </w:r>
    </w:p>
    <w:p>
      <w:pPr>
        <w:spacing w:before="30" w:after="40"/>
      </w:pPr>
      <w:r>
        <w:rPr>
          <w:rFonts w:ascii="Arial" w:cs="Arial" w:eastAsia="Arial" w:hAnsi="Arial"/>
          <w:color w:val="1A1A2E"/>
          <w:sz w:val="17"/>
          <w:szCs w:val="17"/>
        </w:rPr>
        <w:t xml:space="preserve">R222. IBM Research, mayo 2025. NPS clientes por IA: de 16% (2024) proyectado a 51% (2026).</w:t>
      </w:r>
    </w:p>
    <w:p>
      <w:pPr>
        <w:spacing w:before="30" w:after="40"/>
      </w:pPr>
      <w:r>
        <w:rPr>
          <w:rFonts w:ascii="Arial" w:cs="Arial" w:eastAsia="Arial" w:hAnsi="Arial"/>
          <w:color w:val="1A1A2E"/>
          <w:sz w:val="17"/>
          <w:szCs w:val="17"/>
        </w:rPr>
        <w:t xml:space="preserve">R223. IBM, 'How to Maximize ROI on AI in 2025', noviembre 2025. Hard ROI vs. Soft ROI. ROI inicial: 5.9% promedio.</w:t>
      </w:r>
    </w:p>
    <w:p>
      <w:pPr>
        <w:spacing w:before="30" w:after="30"/>
      </w:pPr>
      <w:r>
        <w:t xml:space="preserve"/>
      </w:r>
    </w:p>
    <w:p>
      <w:pPr>
        <w:spacing w:before="60" w:after="100"/>
      </w:pPr>
      <w:r>
        <w:rPr>
          <w:rFonts w:ascii="Arial" w:cs="Arial" w:eastAsia="Arial" w:hAnsi="Arial"/>
          <w:b/>
          <w:bCs/>
          <w:color w:val="1A1A2E"/>
          <w:sz w:val="20"/>
          <w:szCs w:val="20"/>
        </w:rPr>
        <w:t xml:space="preserve">TCO, Pricing y Costos Reales de IA:</w:t>
      </w:r>
    </w:p>
    <w:p>
      <w:pPr>
        <w:spacing w:before="30" w:after="40"/>
      </w:pPr>
      <w:r>
        <w:rPr>
          <w:rFonts w:ascii="Arial" w:cs="Arial" w:eastAsia="Arial" w:hAnsi="Arial"/>
          <w:color w:val="1A1A2E"/>
          <w:sz w:val="17"/>
          <w:szCs w:val="17"/>
        </w:rPr>
        <w:t xml:space="preserve">R224. Xenoss, 'Total Cost of Ownership for Enterprise AI: Hidden Costs &amp; ROI Factors', noviembre 2025. 85% subestima costos &gt;10%. Worldwide AI spending: $1.5T 2025.</w:t>
      </w:r>
    </w:p>
    <w:p>
      <w:pPr>
        <w:spacing w:before="30" w:after="40"/>
      </w:pPr>
      <w:r>
        <w:rPr>
          <w:rFonts w:ascii="Arial" w:cs="Arial" w:eastAsia="Arial" w:hAnsi="Arial"/>
          <w:color w:val="1A1A2E"/>
          <w:sz w:val="17"/>
          <w:szCs w:val="17"/>
        </w:rPr>
        <w:t xml:space="preserve">R225. USM Business Systems, 'AI Software Cost: 2025 Enterprise Pricing Benchmarks'. Enterprise implementations: 3-5x precio de suscripción. Zylo: 65% con cargos inesperados, overruns 30-50%.</w:t>
      </w:r>
    </w:p>
    <w:p>
      <w:pPr>
        <w:spacing w:before="30" w:after="40"/>
      </w:pPr>
      <w:r>
        <w:rPr>
          <w:rFonts w:ascii="Arial" w:cs="Arial" w:eastAsia="Arial" w:hAnsi="Arial"/>
          <w:color w:val="1A1A2E"/>
          <w:sz w:val="17"/>
          <w:szCs w:val="17"/>
        </w:rPr>
        <w:t xml:space="preserve">R226. TRooTech, 'AI Development Cost in 2026: Enterprise Budgeting &amp; ROI Guide', enero 2026. Payback chatbots: 6-12m; copilots: 12-18m; avanzado: 18-24m. Model drift: 30-40% del opex.</w:t>
      </w:r>
    </w:p>
    <w:p>
      <w:pPr>
        <w:spacing w:before="30" w:after="40"/>
      </w:pPr>
      <w:r>
        <w:rPr>
          <w:rFonts w:ascii="Arial" w:cs="Arial" w:eastAsia="Arial" w:hAnsi="Arial"/>
          <w:color w:val="1A1A2E"/>
          <w:sz w:val="17"/>
          <w:szCs w:val="17"/>
        </w:rPr>
        <w:t xml:space="preserve">R227. SearchUnify / AI Agent Costs, 'AI Agent Costs 2026: Complete TCO Guide', enero 2026.</w:t>
      </w:r>
    </w:p>
    <w:p>
      <w:pPr>
        <w:spacing w:before="30" w:after="40"/>
      </w:pPr>
      <w:r>
        <w:rPr>
          <w:rFonts w:ascii="Arial" w:cs="Arial" w:eastAsia="Arial" w:hAnsi="Arial"/>
          <w:color w:val="1A1A2E"/>
          <w:sz w:val="17"/>
          <w:szCs w:val="17"/>
        </w:rPr>
        <w:t xml:space="preserve">R228. Mondaysys, 'The Real Cost of AI: Calculating TCO for AI/ML Systems', noviembre 2025. Break-even self-hosted vs. SaaS: 1.2M tokens/mes.</w:t>
      </w:r>
    </w:p>
    <w:p>
      <w:pPr>
        <w:spacing w:before="30" w:after="40"/>
      </w:pPr>
      <w:r>
        <w:rPr>
          <w:rFonts w:ascii="Arial" w:cs="Arial" w:eastAsia="Arial" w:hAnsi="Arial"/>
          <w:color w:val="1A1A2E"/>
          <w:sz w:val="17"/>
          <w:szCs w:val="17"/>
        </w:rPr>
        <w:t xml:space="preserve">R229. Prodia Blog, 'Master Total Cost of Ownership in AI Infrastructure', febrero 2026. TCO Formula: Initial + Operational + Energy + Personnel + Upgrade. Solo 10% aplica GenAI a escala.</w:t>
      </w:r>
    </w:p>
    <w:p>
      <w:pPr>
        <w:spacing w:before="30" w:after="40"/>
      </w:pPr>
      <w:r>
        <w:rPr>
          <w:rFonts w:ascii="Arial" w:cs="Arial" w:eastAsia="Arial" w:hAnsi="Arial"/>
          <w:color w:val="1A1A2E"/>
          <w:sz w:val="17"/>
          <w:szCs w:val="17"/>
        </w:rPr>
        <w:t xml:space="preserve">R230. Lenovo Press, 'On-Premise vs Cloud: GenAI TCO 2026 Edition', enero 2026. H100 cloud: $98.32/hora. Break-even on-prem vs cloud: 8,556 horas (~12 meses). 18x ventaja de costo/millón de tokens a 5 años.</w:t>
      </w:r>
    </w:p>
    <w:p>
      <w:pPr>
        <w:spacing w:before="30" w:after="40"/>
      </w:pPr>
      <w:r>
        <w:rPr>
          <w:rFonts w:ascii="Arial" w:cs="Arial" w:eastAsia="Arial" w:hAnsi="Arial"/>
          <w:color w:val="1A1A2E"/>
          <w:sz w:val="17"/>
          <w:szCs w:val="17"/>
        </w:rPr>
        <w:t xml:space="preserve">R231. Bessemer Venture Partners, 'The AI Pricing and Monetization Playbook', febrero 2026. Shift de seat-based a usage/outcome-based. 'Renewal cliff' 2026.</w:t>
      </w:r>
    </w:p>
    <w:p>
      <w:pPr>
        <w:spacing w:before="30" w:after="40"/>
      </w:pPr>
      <w:r>
        <w:rPr>
          <w:rFonts w:ascii="Arial" w:cs="Arial" w:eastAsia="Arial" w:hAnsi="Arial"/>
          <w:color w:val="1A1A2E"/>
          <w:sz w:val="17"/>
          <w:szCs w:val="17"/>
        </w:rPr>
        <w:t xml:space="preserve">R232. Zylo, 'AI Pricing: What's the True AI Cost for Businesses in 2026?', febrero 2026. 4 modelos de pricing: seat, token, platform, outcome. Agentic seat pricing emergente.</w:t>
      </w:r>
    </w:p>
    <w:p>
      <w:pPr>
        <w:spacing w:before="30" w:after="30"/>
      </w:pPr>
      <w:r>
        <w:t xml:space="preserve"/>
      </w:r>
    </w:p>
    <w:p>
      <w:pPr>
        <w:spacing w:before="60" w:after="100"/>
      </w:pPr>
      <w:r>
        <w:rPr>
          <w:rFonts w:ascii="Arial" w:cs="Arial" w:eastAsia="Arial" w:hAnsi="Arial"/>
          <w:b/>
          <w:bCs/>
          <w:color w:val="1A1A2E"/>
          <w:sz w:val="20"/>
          <w:szCs w:val="20"/>
        </w:rPr>
        <w:t xml:space="preserve">Anti-Patrones, KPIs y Gestión del Cambio:</w:t>
      </w:r>
    </w:p>
    <w:p>
      <w:pPr>
        <w:spacing w:before="30" w:after="40"/>
      </w:pPr>
      <w:r>
        <w:rPr>
          <w:rFonts w:ascii="Arial" w:cs="Arial" w:eastAsia="Arial" w:hAnsi="Arial"/>
          <w:color w:val="1A1A2E"/>
          <w:sz w:val="17"/>
          <w:szCs w:val="17"/>
        </w:rPr>
        <w:t xml:space="preserve">R233. CIO.com, 'AI ROI: How to Measure the True Value of AI', Josh Fruhlinger, diciembre 2025. Tres lentes: productividad, precisión, value-realization speed. Outcome-based pricing emergente.</w:t>
      </w:r>
    </w:p>
    <w:p>
      <w:pPr>
        <w:spacing w:before="30" w:after="40"/>
      </w:pPr>
      <w:r>
        <w:rPr>
          <w:rFonts w:ascii="Arial" w:cs="Arial" w:eastAsia="Arial" w:hAnsi="Arial"/>
          <w:color w:val="1A1A2E"/>
          <w:sz w:val="17"/>
          <w:szCs w:val="17"/>
        </w:rPr>
        <w:t xml:space="preserve">R234. CIO.com, 'A CIO's 5-Point Checklist to Drive Positive AI ROI', noviembre 2025. Wallarm: 270% rise en vulnerabilidades MCP de Q2 a Q3 2025.</w:t>
      </w:r>
    </w:p>
    <w:p>
      <w:pPr>
        <w:spacing w:before="30" w:after="40"/>
      </w:pPr>
      <w:r>
        <w:rPr>
          <w:rFonts w:ascii="Arial" w:cs="Arial" w:eastAsia="Arial" w:hAnsi="Arial"/>
          <w:color w:val="1A1A2E"/>
          <w:sz w:val="17"/>
          <w:szCs w:val="17"/>
        </w:rPr>
        <w:t xml:space="preserve">R235. Agility at Scale, 'Proving ROI: Measuring the Business Value of Enterprise AI', abril 2025. Framework de ROI multi-métrica. 'AI ROI almost never scales cleanly.'</w:t>
      </w:r>
    </w:p>
    <w:p>
      <w:pPr>
        <w:spacing w:before="30" w:after="40"/>
      </w:pPr>
      <w:r>
        <w:rPr>
          <w:rFonts w:ascii="Arial" w:cs="Arial" w:eastAsia="Arial" w:hAnsi="Arial"/>
          <w:color w:val="1A1A2E"/>
          <w:sz w:val="17"/>
          <w:szCs w:val="17"/>
        </w:rPr>
        <w:t xml:space="preserve">R236. World Economic Forum, 'How CFOs Can Secure Solid ROI from AI Investments', octubre 2025. Job augmentation vs automation. Cognizant + Telstra: reducción de semanas a días en procesos multi-agente.</w:t>
      </w:r>
    </w:p>
    <w:p>
      <w:pPr>
        <w:spacing w:before="30" w:after="40"/>
      </w:pPr>
      <w:r>
        <w:rPr>
          <w:rFonts w:ascii="Arial" w:cs="Arial" w:eastAsia="Arial" w:hAnsi="Arial"/>
          <w:color w:val="1A1A2E"/>
          <w:sz w:val="17"/>
          <w:szCs w:val="17"/>
        </w:rPr>
        <w:t xml:space="preserve">R237. Informatica Survey 2025. 66% de empresas atrapadas en modo piloto sin transición a producción. 97% tienen dificultades para demostrar valor de GenAI.</w:t>
      </w:r>
    </w:p>
    <w:p>
      <w:pPr>
        <w:spacing w:before="30" w:after="40"/>
      </w:pPr>
      <w:r>
        <w:rPr>
          <w:rFonts w:ascii="Arial" w:cs="Arial" w:eastAsia="Arial" w:hAnsi="Arial"/>
          <w:color w:val="1A1A2E"/>
          <w:sz w:val="17"/>
          <w:szCs w:val="17"/>
        </w:rPr>
        <w:t xml:space="preserve">R238. Conifers AI, 'The Enterprise AI SOC: A CISO's Guide From Pilot to Production in 2026'. Tres pilares del business case de CISO: riesgo evitado, ROI habilitado, compliance competitivo.</w:t>
      </w:r>
    </w:p>
    <w:p>
      <w:pPr>
        <w:spacing w:before="30" w:after="40"/>
      </w:pPr>
      <w:r>
        <w:rPr>
          <w:rFonts w:ascii="Arial" w:cs="Arial" w:eastAsia="Arial" w:hAnsi="Arial"/>
          <w:color w:val="1A1A2E"/>
          <w:sz w:val="17"/>
          <w:szCs w:val="17"/>
        </w:rPr>
        <w:t xml:space="preserve">R239. IBM, 'How to Maximize ROI on AI in 2025'. Soft ROI: empleado sentiment, usage rates, self-reported productivity. 'Change management: sin esto la IA acelera las ineficiencias actuales.'</w:t>
      </w:r>
    </w:p>
    <w:p>
      <w:pPr>
        <w:spacing w:before="30" w:after="40"/>
      </w:pPr>
      <w:r>
        <w:rPr>
          <w:rFonts w:ascii="Arial" w:cs="Arial" w:eastAsia="Arial" w:hAnsi="Arial"/>
          <w:color w:val="1A1A2E"/>
          <w:sz w:val="17"/>
          <w:szCs w:val="17"/>
        </w:rPr>
        <w:t xml:space="preserve">R240. McKinsey, 'State of AI 2024'. Empresas líderes: más del 10% del EBIT atribuido a GenAI deployments — impacto material en resultados operativos.</w:t>
      </w:r>
    </w:p>
    <w:p>
      <w:pPr>
        <w:spacing w:before="30" w:after="30"/>
      </w:pPr>
      <w:r>
        <w:t xml:space="preserve"/>
      </w:r>
    </w:p>
    <w:p>
      <w:pPr>
        <w:pBdr>
          <w:bottom w:val="single" w:color="BDD7EE" w:sz="4"/>
        </w:pBdr>
        <w:spacing w:before="80" w:after="80"/>
      </w:pPr>
    </w:p>
    <w:p>
      <w:pPr>
        <w:spacing w:before="120" w:after="60"/>
        <w:jc w:val="center"/>
      </w:pPr>
      <w:r>
        <w:rPr>
          <w:rFonts w:ascii="Arial" w:cs="Arial" w:eastAsia="Arial" w:hAnsi="Arial"/>
          <w:b/>
          <w:bCs/>
          <w:color w:val="1F3864"/>
          <w:sz w:val="28"/>
          <w:szCs w:val="28"/>
        </w:rPr>
        <w:t xml:space="preserve">FIN DE LA FASE 9</w:t>
      </w:r>
    </w:p>
    <w:p>
      <w:pPr>
        <w:spacing w:before="0" w:after="60"/>
        <w:jc w:val="center"/>
      </w:pPr>
      <w:r>
        <w:rPr>
          <w:rFonts w:ascii="Arial" w:cs="Arial" w:eastAsia="Arial" w:hAnsi="Arial"/>
          <w:b w:val="false"/>
          <w:bCs w:val="false"/>
          <w:color w:val="2E75B6"/>
          <w:sz w:val="22"/>
          <w:szCs w:val="22"/>
        </w:rPr>
        <w:t xml:space="preserve">Análisis de Ética y Responsabilidad en IA — 16 Proveedores Globales</w:t>
      </w:r>
    </w:p>
    <w:p>
      <w:pPr>
        <w:spacing w:before="0" w:after="60"/>
        <w:jc w:val="center"/>
      </w:pPr>
      <w:r>
        <w:rPr>
          <w:rFonts w:ascii="Arial" w:cs="Arial" w:eastAsia="Arial" w:hAnsi="Arial"/>
          <w:b/>
          <w:bCs/>
          <w:color w:val="888888"/>
          <w:sz w:val="17"/>
          <w:szCs w:val="17"/>
        </w:rPr>
        <w:t xml:space="preserve">240 referencias · Fases 1-9 completadas · Corte: 20 febrero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2026-02-21T02:43:39.556Z</dcterms:created>
  <dcterms:modified xsi:type="dcterms:W3CDTF">2026-02-21T02:43:39.557Z</dcterms:modified>
</cp:coreProperties>
</file>

<file path=docProps/custom.xml><?xml version="1.0" encoding="utf-8"?>
<Properties xmlns="http://schemas.openxmlformats.org/officeDocument/2006/custom-properties" xmlns:vt="http://schemas.openxmlformats.org/officeDocument/2006/docPropsVTypes"/>
</file>