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19 — FASE FINAL</w:t>
      </w:r>
    </w:p>
    <w:p>
      <w:pPr>
        <w:spacing w:before="0" w:after="60"/>
        <w:jc w:val="center"/>
      </w:pPr>
      <w:r>
        <w:rPr>
          <w:rFonts w:ascii="Arial" w:cs="Arial" w:eastAsia="Arial" w:hAnsi="Arial"/>
          <w:b/>
          <w:bCs/>
          <w:color w:val="1A237E"/>
          <w:sz w:val="28"/>
          <w:szCs w:val="28"/>
        </w:rPr>
        <w:t xml:space="preserve">CISO Master Playbook: Síntesis y Programa de IA Responsable</w:t>
      </w:r>
    </w:p>
    <w:p>
      <w:pPr>
        <w:spacing w:before="0" w:after="140"/>
        <w:jc w:val="center"/>
      </w:pPr>
      <w:r>
        <w:rPr>
          <w:rFonts w:ascii="Arial" w:cs="Arial" w:eastAsia="Arial" w:hAnsi="Arial"/>
          <w:b w:val="false"/>
          <w:bCs w:val="false"/>
          <w:color w:val="1A1A2E"/>
          <w:sz w:val="20"/>
          <w:szCs w:val="20"/>
        </w:rPr>
        <w:t xml:space="preserve">Síntesis de 19 Fases · Ranking Final de 16 Proveedores · Modelo de Madurez 5 Niveles · Dashboard KPI · Presentación al Board · Plan Maestro 2026-2030</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19.0  Prólogo: El Arco Completo del Proyecto</w:t>
      </w:r>
    </w:p>
    <w:p>
      <w:pPr>
        <w:spacing w:before="18" w:after="18"/>
        <w:jc w:val="center"/>
      </w:pPr>
      <w:r>
        <w:rPr>
          <w:rFonts w:ascii="Arial" w:cs="Arial" w:eastAsia="Arial" w:hAnsi="Arial"/>
          <w:b w:val="false"/>
          <w:bCs w:val="false"/>
          <w:color w:val="1A1A2E"/>
          <w:sz w:val="18"/>
          <w:szCs w:val="18"/>
        </w:rPr>
        <w:t xml:space="preserve">19.1  Síntesis de las 19 Fases — El Marco Integrado</w:t>
      </w:r>
    </w:p>
    <w:p>
      <w:pPr>
        <w:spacing w:before="18" w:after="18"/>
        <w:jc w:val="center"/>
      </w:pPr>
      <w:r>
        <w:rPr>
          <w:rFonts w:ascii="Arial" w:cs="Arial" w:eastAsia="Arial" w:hAnsi="Arial"/>
          <w:b w:val="false"/>
          <w:bCs w:val="false"/>
          <w:color w:val="1A1A2E"/>
          <w:sz w:val="18"/>
          <w:szCs w:val="18"/>
        </w:rPr>
        <w:t xml:space="preserve">19.2  Ranking Final Consolidado de los 16 Proveedores de IA</w:t>
      </w:r>
    </w:p>
    <w:p>
      <w:pPr>
        <w:spacing w:before="18" w:after="18"/>
        <w:jc w:val="center"/>
      </w:pPr>
      <w:r>
        <w:rPr>
          <w:rFonts w:ascii="Arial" w:cs="Arial" w:eastAsia="Arial" w:hAnsi="Arial"/>
          <w:b w:val="false"/>
          <w:bCs w:val="false"/>
          <w:color w:val="1A1A2E"/>
          <w:sz w:val="18"/>
          <w:szCs w:val="18"/>
        </w:rPr>
        <w:t xml:space="preserve">19.3  Modelo de Madurez de Gobernanza de IA — 5 Niveles</w:t>
      </w:r>
    </w:p>
    <w:p>
      <w:pPr>
        <w:spacing w:before="18" w:after="18"/>
        <w:jc w:val="center"/>
      </w:pPr>
      <w:r>
        <w:rPr>
          <w:rFonts w:ascii="Arial" w:cs="Arial" w:eastAsia="Arial" w:hAnsi="Arial"/>
          <w:b w:val="false"/>
          <w:bCs w:val="false"/>
          <w:color w:val="1A1A2E"/>
          <w:sz w:val="18"/>
          <w:szCs w:val="18"/>
        </w:rPr>
        <w:t xml:space="preserve">19.4  Dashboard de KPIs — El Tablero del CISO de IA</w:t>
      </w:r>
    </w:p>
    <w:p>
      <w:pPr>
        <w:spacing w:before="18" w:after="18"/>
        <w:jc w:val="center"/>
      </w:pPr>
      <w:r>
        <w:rPr>
          <w:rFonts w:ascii="Arial" w:cs="Arial" w:eastAsia="Arial" w:hAnsi="Arial"/>
          <w:b w:val="false"/>
          <w:bCs w:val="false"/>
          <w:color w:val="1A1A2E"/>
          <w:sz w:val="18"/>
          <w:szCs w:val="18"/>
        </w:rPr>
        <w:t xml:space="preserve">19.5  El CISO Master Playbook — Las 50 Acciones Fundamentales</w:t>
      </w:r>
    </w:p>
    <w:p>
      <w:pPr>
        <w:spacing w:before="18" w:after="18"/>
        <w:jc w:val="center"/>
      </w:pPr>
      <w:r>
        <w:rPr>
          <w:rFonts w:ascii="Arial" w:cs="Arial" w:eastAsia="Arial" w:hAnsi="Arial"/>
          <w:b w:val="false"/>
          <w:bCs w:val="false"/>
          <w:color w:val="1A1A2E"/>
          <w:sz w:val="18"/>
          <w:szCs w:val="18"/>
        </w:rPr>
        <w:t xml:space="preserve">19.6  Presentación Ejecutiva al Board — Marco y Narrativa</w:t>
      </w:r>
    </w:p>
    <w:p>
      <w:pPr>
        <w:spacing w:before="18" w:after="18"/>
        <w:jc w:val="center"/>
      </w:pPr>
      <w:r>
        <w:rPr>
          <w:rFonts w:ascii="Arial" w:cs="Arial" w:eastAsia="Arial" w:hAnsi="Arial"/>
          <w:b w:val="false"/>
          <w:bCs w:val="false"/>
          <w:color w:val="1A1A2E"/>
          <w:sz w:val="18"/>
          <w:szCs w:val="18"/>
        </w:rPr>
        <w:t xml:space="preserve">19.7  Plan Maestro 2026-2030 — La Hoja de Ruta del CISO de IA</w:t>
      </w:r>
    </w:p>
    <w:p>
      <w:pPr>
        <w:spacing w:before="18" w:after="18"/>
        <w:jc w:val="center"/>
      </w:pPr>
      <w:r>
        <w:rPr>
          <w:rFonts w:ascii="Arial" w:cs="Arial" w:eastAsia="Arial" w:hAnsi="Arial"/>
          <w:b w:val="false"/>
          <w:bCs w:val="false"/>
          <w:color w:val="1A1A2E"/>
          <w:sz w:val="18"/>
          <w:szCs w:val="18"/>
        </w:rPr>
        <w:t xml:space="preserve">19.8  Epílogo: El CISO como Arquitecto de Confianza Digital</w:t>
      </w:r>
    </w:p>
    <w:p>
      <w:pPr>
        <w:spacing w:before="18" w:after="18"/>
        <w:jc w:val="center"/>
      </w:pPr>
      <w:r>
        <w:rPr>
          <w:rFonts w:ascii="Arial" w:cs="Arial" w:eastAsia="Arial" w:hAnsi="Arial"/>
          <w:b w:val="false"/>
          <w:bCs w:val="false"/>
          <w:color w:val="1A1A2E"/>
          <w:sz w:val="18"/>
          <w:szCs w:val="18"/>
        </w:rPr>
        <w:t xml:space="preserve">19.9  Referencias Finales (R451–R480)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PROYECTO COMPLETO — 19 FASES — 480 REFERENCIAS — 16 PROVEEDORES — Corte: 20 Febrero 2026</w:t>
      </w:r>
    </w:p>
    <w:p>
      <w:r>
        <w:br w:type="page"/>
      </w:r>
    </w:p>
    <w:p>
      <w:pPr>
        <w:pStyle w:val="Heading1"/>
        <w:spacing w:before="360" w:after="120"/>
      </w:pPr>
      <w:r>
        <w:rPr>
          <w:rFonts w:ascii="Arial" w:cs="Arial" w:eastAsia="Arial" w:hAnsi="Arial"/>
          <w:b/>
          <w:bCs/>
          <w:color w:val="1F3864"/>
          <w:sz w:val="34"/>
          <w:szCs w:val="34"/>
        </w:rPr>
        <w:t xml:space="preserve">19.0 PRÓLOGO: EL ARCO COMPLETO DEL PROYECTO</w:t>
      </w:r>
    </w:p>
    <w:p>
      <w:pPr>
        <w:pBdr>
          <w:bottom w:val="single" w:color="BDD7EE" w:sz="4"/>
        </w:pBdr>
        <w:spacing w:before="80" w:after="80"/>
      </w:pPr>
    </w:p>
    <w:p>
      <w:pPr>
        <w:spacing w:before="60" w:after="100"/>
      </w:pPr>
      <w:r>
        <w:rPr>
          <w:rFonts w:ascii="Arial" w:cs="Arial" w:eastAsia="Arial" w:hAnsi="Arial"/>
          <w:color w:val="1A1A2E"/>
          <w:sz w:val="20"/>
          <w:szCs w:val="20"/>
        </w:rPr>
        <w:t xml:space="preserve">Este documento cierra un proyecto de investigación aplicada que comenzó con una pregunta aparentemente simple: ¿podemos confiar en los proveedores de inteligencia artificial que estamos considerando para el núcleo de nuestra operación? La pregunta se expandió durante 19 fases hasta convertirse en algo mucho más sustantivo: ¿cómo construimos, en 2026, un programa de gobernanza de IA que sea técnicamente sólido, regulatoriamente defensible, estratégicamente alineado, y operacionalmente sostenible?</w:t>
      </w:r>
    </w:p>
    <w:p>
      <w:pPr>
        <w:spacing w:before="60" w:after="100"/>
      </w:pPr>
      <w:r>
        <w:rPr>
          <w:rFonts w:ascii="Arial" w:cs="Arial" w:eastAsia="Arial" w:hAnsi="Arial"/>
          <w:color w:val="1A1A2E"/>
          <w:sz w:val="20"/>
          <w:szCs w:val="20"/>
        </w:rPr>
        <w:t xml:space="preserve">El proyecto analizó 16 proveedores de IA globales a través de 8 dimensiones: filosofía ética (F1-F4), due diligence contractual (F5-F6), gobernanza post-implementación (F7-F8), justificación financiera (F9), defensa de ciberseguridad aumentada por IA (F10), paisaje regulatorio LATAM (F11), horizonte estratégico 2030 (F12), red teaming adversarial (F13), seguridad de la supply chain de IA (F14), privacy engineering (F15), explicabilidad y accountability algorítmico (F16), y frameworks de IA responsable como ISO 42001 y NIST AI RMF (F18). El resultado son 480 referencias, más de 5,000 líneas de contenido técnico estructurado, y un framework de gobernanza completo que el CISO puede comenzar a implementar hoy.</w:t>
      </w:r>
    </w:p>
    <w:p>
      <w:pPr>
        <w:spacing w:before="30" w:after="30"/>
      </w:pPr>
      <w:r>
        <w:t xml:space="preserve"/>
      </w:r>
    </w:p>
    <w:p>
      <w:pPr>
        <w:shd w:fill="E8EAF6" w:val="clear"/>
        <w:spacing w:before="100" w:after="100"/>
        <w:ind w:left="280" w:right="280"/>
      </w:pPr>
      <w:r>
        <w:rPr>
          <w:rFonts w:ascii="Arial" w:cs="Arial" w:eastAsia="Arial" w:hAnsi="Arial"/>
          <w:b/>
          <w:bCs/>
          <w:color w:val="1A237E"/>
          <w:sz w:val="18"/>
          <w:szCs w:val="18"/>
        </w:rPr>
        <w:t xml:space="preserve">📌 El contexto de mercado al cierre del proyecto: </w:t>
      </w:r>
      <w:r>
        <w:rPr>
          <w:rFonts w:ascii="Arial" w:cs="Arial" w:eastAsia="Arial" w:hAnsi="Arial"/>
          <w:color w:val="1A237E"/>
          <w:sz w:val="18"/>
          <w:szCs w:val="18"/>
        </w:rPr>
        <w:t xml:space="preserve">CSA (Cloud Security Alliance) diciembre 2025: 72% de organizaciones no tienen confianza o son neutrales en su capacidad de asegurar los sistemas de IA que han desplegado. Solo el 25% tiene gobernanza de AI security comprehensiva. Pacific AI 2025: 75% de organizaciones tienen políticas de uso de IA, pero solo el 36% tiene un framework formal de gobernanza. El gap entre política y sistema es el problema que este proyecto resuelve.</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19.1 SÍNTESIS DE LAS 19 FASES — EL MARCO INTEGRADO</w:t>
      </w:r>
    </w:p>
    <w:p>
      <w:pPr>
        <w:pBdr>
          <w:bottom w:val="single" w:color="BDD7EE"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80"/>
        <w:gridCol w:w="4160"/>
        <w:gridCol w:w="324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w:t>
            </w:r>
          </w:p>
        </w:tc>
        <w:tc>
          <w:tcPr>
            <w:tcW w:type="dxa" w:w="1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TÍTULO</w:t>
            </w:r>
          </w:p>
        </w:tc>
        <w:tc>
          <w:tcPr>
            <w:tcW w:type="dxa" w:w="4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CONTRIBUCIÓN CORE AL PROGRAMA</w:t>
            </w:r>
          </w:p>
        </w:tc>
        <w:tc>
          <w:tcPr>
            <w:tcW w:type="dxa" w:w="32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OUTPUTS PRINCIPALES</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F1-F4</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Filosofía Ética
(4 fases)</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Establecen el eje vertebrador: las 4 tradiciones éticas (deontológica, consecuencialista, de virtud, contractualista) aplicadas a la IA no son académicas — son el código de adjudicación cuando dos valores chocan. F4 mapea los 12 dilemas éticos recurrentes en IA enterprise. Sin este marco, los debates del AI Governance Committee serían cíclicos e inconclusos.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Matriz de evaluación filosófica de 16 proveedores. Los 12 dilemas éticos de IA con posición por proveedor. Framework de decisión ética para el AGC.</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F5</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Due Diligence
Sectorial</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Provee el framework de evaluación de proveedores de IA en 6 dimensiones: transparencia, privacidad, seguridad, ética, cumplimiento regulatorio, y solidez financiera. Es el filtro para la selección inicial y la reevaluación periódica de los 16 proveedores.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Scorecard de due diligence sectorial. Ponderaciones por sector (financiero, salud, gobierno). Template de evaluación aplicable a futuros proveedores.</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F6</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Due Diligence
Contractual</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Disecciona las cláusulas críticas de los contratos de IA enterprise: propiedad de datos generados, zero data retention, licencias de IP, SLAs de confiabilidad, responsabilidad por sesgo, y derecho de auditoría. El Microsoft MCA y el Enterprise Agreement revisados contra estas dimensiones.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Checklist de 20 ítems para contratos de IA. Análisis del MCA de Microsoft. Red flags contractuales por proveedor.</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F7</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Gobernanza
Post-Implementación</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de gobierno después del deployment: AI Policy, AI Governance Committee operativo, AI Incident Response Plan, ciclo de revisión trimestral, y el modelo de gobierno de las 3 líneas aplicado a IA. El fundamento organizacional del AIMS.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AI Incident Response Plan completo. Template de AI Policy. Modelo de gobernanza 3 líneas para IA.</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F8</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Síntesis Ejecutiva
y Ranking F1-F8</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Primera síntesis y ranking de los 16 proveedores basado en las primeras 8 fases. Identifica a los líderes (Microsoft, Google, Anthropic), los seguidores responsables, y los rezagados. Provee el executive summary para la primera presentación al Board.</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Ranking 1-16 de proveedores (corte F8). Executive summary para el Board. Recomendaciones de adopción.</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F9</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ROI, TCO y
Caso de Negocio</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justificación financiera del programa de IA responsable: beneficios cuantificados de Copilot, costos totales de propiedad, cálculo de ROI en 3 años, y el costo comparativo de un programa de gobernanza vs. el costo de un incidente sin gobernanza.</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Modelo financiero ROI Copilot. TCO M365 E5 vs. alternativas. Business case para el AI Governance Committee.</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F10</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CISO AI Defense
(Microsoft Security Copilot)</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caso simétrico: la IA como herramienta de defensa. Microsoft Security Copilot, Defender XDR, Sentinel, y la cadena de detección-respuesta aumentada por IA. La transformación del SOC del CISO con IA responsable.</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Architecture de SOC aumentado por IA. Playbooks de Copilot para Sentinel. KPIs de mejora de SOC.</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F11</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Paisaje Regulatorio
LATAM</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mapa regulatorio completo para un CISO con operaciones en Argentina, Chile, Uruguay, Paraguay, Bolivia: EU AI Act extraterritorial, Ley 25.326 reforma 2025, GDPR para datos de ciudadanos europeos, y el compliance roadmap de 12 meses.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Mapa regulatorio LATAM. Compliance roadmap 12 meses. Análisis de fines por jurisdicción.</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F12</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Horizonte
2030</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Las tres tendencias que transformarán la gobernanza de IA en el período 2026-2030: la migración post-cuántica (PQC), la IA agéntica autónoma, y la evolución regulatoria hacia el enforcement. El CISO de 2030 necesita prepararse hoy.</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Roadmap PQC migration. Framework de seguridad para IA agéntica. Escenarios estratégicos 2030.</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F13</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Red Teaming
y Testing Adversarial</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capa técnica de validación: proceso de red teaming de 6 fases, OWASP LLM Top 10, MITRE ATLAS, herramientas (PyRIT, Garak, FuzzyAI), métricas ASR por categoría, y el plan de testing trimestral para M365 Copilot.</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Plan de red teaming trimestral. Métricas ASR. Integration Defender XDR + Sentinel para detección.</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F14</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AI Supply Chain
Security y AIBOM</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seguridad de la cadena de suministro de IA: los 5 vectores de ataque (envenenamiento de datos, model tampering, plugin malicioso, runtime manipulation, model theft), el AI Bill of Materials (AIBOM), y el proceso de verificación de integridad de modelos.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Template AIBOM. Checklist de seguridad de supply chain de IA. Proceso de aprobación de plugins.</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F15</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Privacy Engineering
para IA</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Las técnicas de privacidad aplicadas a LLMs y RAG: Differential Privacy (ε calibrado), Federated Learning, anonimización vs. pseudonimización, Machine Unlearning, Data Minimization en contexto LLM, y el stack completo de Microsoft Purview para privacidad de IA.</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Stack Purview para privacidad de IA. Template DPIA para sistemas de IA. Plan de privacidad de IA 2026-2027.</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F16</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Explicabilidad
y Accountability
Algorítmico</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Técnicas XAI (LIME, SHAP, GRAD-CAM, Integrated Gradients), el Azure Responsible AI Dashboard, evaluación de sesgo con Fairlearn, el concepto de Model Card, y el derecho a la explicación de GDPR Art. 22 en el contexto de decisiones automatizadas.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Framework XAI para decisiones de alto impacto. Template Model Card. Proceso de auditoría de sesgo.</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F18</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ISO 42001 y
NIST AI RMF</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frameworks de gobernanza certificables: ISO/IEC 42001:2023 (AIMS), NIST AI RMF 1.0 (GOVERN/MAP/MEASURE/MANAGE), NIST AI 600-1 (perfil GenAI), el mapping cruzado con EU AI Act y GDPR, y la hoja de ruta de implementación en 3 horizontes.</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Gap analysis ISO 42001. Hoja de ruta AIMS 3 horizontes. Estructura y agenda del AI Governance Committee.</w:t>
            </w:r>
          </w:p>
        </w:tc>
      </w:tr>
      <w:tr>
        <w:tc>
          <w:tcPr>
            <w:tcW w:type="dxa" w:w="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2"/>
                <w:szCs w:val="12"/>
              </w:rPr>
              <w:t xml:space="preserve">F19</w:t>
            </w:r>
          </w:p>
        </w:tc>
        <w:tc>
          <w:tcPr>
            <w:tcW w:type="dxa" w:w="148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3"/>
                <w:szCs w:val="13"/>
              </w:rPr>
              <w:t xml:space="preserve">CISO Master
Playbook (ESTA FASE)</w:t>
            </w:r>
          </w:p>
        </w:tc>
        <w:tc>
          <w:tcPr>
            <w:tcW w:type="dxa" w:w="4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síntesis final: ranking consolidado de 16 proveedores, modelo de madurez de 5 niveles, dashboard de KPIs, las 50 acciones fundamentales del programa, el framework de presentación al Board, y el plan maestro 2026-2030.</w:t>
            </w:r>
          </w:p>
        </w:tc>
        <w:tc>
          <w:tcPr>
            <w:tcW w:type="dxa" w:w="324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3"/>
                <w:szCs w:val="13"/>
              </w:rPr>
              <w:t xml:space="preserve">Ranking final consolidado. Maturity Model 5 niveles. Dashboard KPI. Las 50 acciones. Plan maestro.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19.2 RANKING FINAL CONSOLIDADO DE LOS 16 PROVEEDORES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El ranking consolidado integra las evaluaciones de todas las fases del proyecto. Las 7 dimensiones de ponderación reflejan las prioridades de un CISO con ecosistema Microsoft, operaciones en LATAM, y responsabilidad sobre datos de empleados y clientes. Cada dimensión tiene un peso relativo basado en su impacto en el riesgo operacional y regulatorio.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 DE EVALUACIÓN</w:t>
            </w:r>
          </w:p>
        </w:tc>
        <w:tc>
          <w:tcPr>
            <w:tcW w:type="dxa" w:w="15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PESO</w:t>
            </w:r>
          </w:p>
        </w:tc>
        <w:tc>
          <w:tcPr>
            <w:tcW w:type="dxa" w:w="43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MIDE</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1. Ética y Transparencia (F1-F4, F16)</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20%</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Solidez filosófica del compromiso ético, transparencia real sobre capacidades y limitaciones, explicabilidad de decisiones automatizadas, documentación pública (IA Principles, Responsible AI Reports).</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2. Privacidad y Protección de Datos (F5-F6, F15)</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18%</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Zero Data Retention, Data Processing Agreements, cumplimiento GDPR/Ley 25.326, técnicas de Privacy Engineering implementadas, postura contractual sobre propiedad de datos generados.</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3. Seguridad Técnica (F10, F13, F14)</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18%</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Resistencia a ataques adversariales (ASR en red teaming), seguridad de supply chain, integridad de modelos, AIBOM disponible, postura de ciberseguridad de la plataforma.</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4. Gobernanza y Compliance (F7, F8, F11, F18)</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17%</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Madurez del programa de IA responsable del proveedor, certificaciones obtenidas (ISO 42001, SOC2, ISO 27001), cumplimiento con EU AI Act, responsividad ante auditorías de clientes enterprise.</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5. Ecosistema y Integración Enterprise (F9, F10)</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12%</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Integración con M365/Azure, soporte para Zero Trust Architecture, herramientas de administración enterprise, soporte para CISO en gestión del riesgo, licenciamiento claro.</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6. Innovación Responsable (F12)</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Hoja de ruta hacia PQC, estrategia para IA agéntica segura, preparación para requisitos regulatorios futuros, inversión en investigación de IA segura.</w:t>
            </w:r>
          </w:p>
        </w:tc>
      </w:tr>
      <w:tr>
        <w:tc>
          <w:tcPr>
            <w:tcW w:type="dxa" w:w="35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7. Transparencia Regulatoria LATAM (F11)</w:t>
            </w:r>
          </w:p>
        </w:tc>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4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Postura ante regulaciones de Argentina y LATAM, infraestructura de datos en región, commitment con autoridades supervisoras locales.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60"/>
        <w:gridCol w:w="560"/>
        <w:gridCol w:w="560"/>
        <w:gridCol w:w="560"/>
        <w:gridCol w:w="560"/>
        <w:gridCol w:w="560"/>
        <w:gridCol w:w="800"/>
        <w:gridCol w:w="100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PROVEEDOR</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D1 Ética</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D2 Priv.</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D3 Seg.</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D4 Gov.</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D5 Eco.</w:t>
            </w:r>
          </w:p>
        </w:tc>
        <w:tc>
          <w:tcPr>
            <w:tcW w:type="dxa" w:w="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2"/>
                <w:szCs w:val="12"/>
              </w:rPr>
              <w:t xml:space="preserve">D6 Inn.</w:t>
            </w:r>
          </w:p>
        </w:tc>
        <w:tc>
          <w:tcPr>
            <w:tcW w:type="dxa" w:w="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SCORE</w:t>
            </w:r>
          </w:p>
        </w:tc>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VEREDICTO</w:t>
            </w:r>
          </w:p>
        </w:tc>
      </w:tr>
      <w:tr>
        <w:tc>
          <w:tcPr>
            <w:tcW w:type="dxa" w:w="4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w:t>
            </w:r>
          </w:p>
        </w:tc>
        <w:tc>
          <w:tcPr>
            <w:tcW w:type="dxa" w:w="1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Microsoft Azure OpenAI/Copilot</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9.2</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9.3</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8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9.33</w:t>
            </w:r>
          </w:p>
        </w:tc>
        <w:tc>
          <w:tcPr>
            <w:tcW w:type="dxa" w:w="1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2E7D32"/>
                <w:sz w:val="13"/>
                <w:szCs w:val="13"/>
              </w:rPr>
              <w:t xml:space="preserve">✅ TIER 1 — REFERENCIA</w:t>
            </w:r>
          </w:p>
        </w:tc>
      </w:tr>
      <w:tr>
        <w:tc>
          <w:tcPr>
            <w:tcW w:type="dxa" w:w="4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2</w:t>
            </w:r>
          </w:p>
        </w:tc>
        <w:tc>
          <w:tcPr>
            <w:tcW w:type="dxa" w:w="1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Google Vertex AI / Gemini</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9.2</w:t>
            </w:r>
          </w:p>
        </w:tc>
        <w:tc>
          <w:tcPr>
            <w:tcW w:type="dxa" w:w="8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9.00</w:t>
            </w:r>
          </w:p>
        </w:tc>
        <w:tc>
          <w:tcPr>
            <w:tcW w:type="dxa" w:w="1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2E7D32"/>
                <w:sz w:val="13"/>
                <w:szCs w:val="13"/>
              </w:rPr>
              <w:t xml:space="preserve">✅ TIER 1 — EXCELENTE</w:t>
            </w:r>
          </w:p>
        </w:tc>
      </w:tr>
      <w:tr>
        <w:tc>
          <w:tcPr>
            <w:tcW w:type="dxa" w:w="4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3</w:t>
            </w:r>
          </w:p>
        </w:tc>
        <w:tc>
          <w:tcPr>
            <w:tcW w:type="dxa" w:w="1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Anthropic (Claude)</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8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8.84</w:t>
            </w:r>
          </w:p>
        </w:tc>
        <w:tc>
          <w:tcPr>
            <w:tcW w:type="dxa" w:w="1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2E7D32"/>
                <w:sz w:val="13"/>
                <w:szCs w:val="13"/>
              </w:rPr>
              <w:t xml:space="preserve">✅ TIER 1 — LÍDER ÉTICO</w:t>
            </w:r>
          </w:p>
        </w:tc>
      </w:tr>
      <w:tr>
        <w:tc>
          <w:tcPr>
            <w:tcW w:type="dxa" w:w="4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4</w:t>
            </w:r>
          </w:p>
        </w:tc>
        <w:tc>
          <w:tcPr>
            <w:tcW w:type="dxa" w:w="1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AWS Bedrock / Amazon</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8.2</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8.2</w:t>
            </w:r>
          </w:p>
        </w:tc>
        <w:tc>
          <w:tcPr>
            <w:tcW w:type="dxa" w:w="8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8.38</w:t>
            </w:r>
          </w:p>
        </w:tc>
        <w:tc>
          <w:tcPr>
            <w:tcW w:type="dxa" w:w="1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bCs/>
                <w:color w:val="2E7D32"/>
                <w:sz w:val="13"/>
                <w:szCs w:val="13"/>
              </w:rPr>
              <w:t xml:space="preserve">✅ TIER 1 — SÓLIDO</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5</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IBM WatsonX</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9.0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8.37</w:t>
            </w:r>
          </w:p>
        </w:tc>
        <w:tc>
          <w:tcPr>
            <w:tcW w:type="dxa" w:w="10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 TIER 1 — ENTERPRISE</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6</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Salesforce Einstein AI</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8.20</w:t>
            </w:r>
          </w:p>
        </w:tc>
        <w:tc>
          <w:tcPr>
            <w:tcW w:type="dxa" w:w="10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 TIER 2 — RECOMENDADO</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SAP Generative AI Hub</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8.14</w:t>
            </w:r>
          </w:p>
        </w:tc>
        <w:tc>
          <w:tcPr>
            <w:tcW w:type="dxa" w:w="10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 TIER 2 — ENTERPRISE ERP</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8</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Oracle AI Services</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8.2</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7.92</w:t>
            </w:r>
          </w:p>
        </w:tc>
        <w:tc>
          <w:tcPr>
            <w:tcW w:type="dxa" w:w="10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 TIER 2 — BASES DE DATOS</w:t>
            </w:r>
          </w:p>
        </w:tc>
      </w:tr>
      <w:tr>
        <w:tc>
          <w:tcPr>
            <w:tcW w:type="dxa" w:w="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9</w:t>
            </w:r>
          </w:p>
        </w:tc>
        <w:tc>
          <w:tcPr>
            <w:tcW w:type="dxa" w:w="18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Meta Llama (Enterprise)</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8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7.14</w:t>
            </w:r>
          </w:p>
        </w:tc>
        <w:tc>
          <w:tcPr>
            <w:tcW w:type="dxa" w:w="10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C55A11"/>
                <w:sz w:val="13"/>
                <w:szCs w:val="13"/>
              </w:rPr>
              <w:t xml:space="preserve">⚠️ TIER 3 — CONDICIONAL</w:t>
            </w:r>
          </w:p>
        </w:tc>
      </w:tr>
      <w:tr>
        <w:tc>
          <w:tcPr>
            <w:tcW w:type="dxa" w:w="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10</w:t>
            </w:r>
          </w:p>
        </w:tc>
        <w:tc>
          <w:tcPr>
            <w:tcW w:type="dxa" w:w="18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Cohere</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7.2</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8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7.34</w:t>
            </w:r>
          </w:p>
        </w:tc>
        <w:tc>
          <w:tcPr>
            <w:tcW w:type="dxa" w:w="10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C55A11"/>
                <w:sz w:val="13"/>
                <w:szCs w:val="13"/>
              </w:rPr>
              <w:t xml:space="preserve">🔵 TIER 2 — NICHO NLP</w:t>
            </w:r>
          </w:p>
        </w:tc>
      </w:tr>
      <w:tr>
        <w:tc>
          <w:tcPr>
            <w:tcW w:type="dxa" w:w="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11</w:t>
            </w:r>
          </w:p>
        </w:tc>
        <w:tc>
          <w:tcPr>
            <w:tcW w:type="dxa" w:w="18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Mistral AI</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8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7.27</w:t>
            </w:r>
          </w:p>
        </w:tc>
        <w:tc>
          <w:tcPr>
            <w:tcW w:type="dxa" w:w="10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C55A11"/>
                <w:sz w:val="13"/>
                <w:szCs w:val="13"/>
              </w:rPr>
              <w:t xml:space="preserve">⚠️ TIER 3 — OPEN SOURCE</w:t>
            </w:r>
          </w:p>
        </w:tc>
      </w:tr>
      <w:tr>
        <w:tc>
          <w:tcPr>
            <w:tcW w:type="dxa" w:w="4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12</w:t>
            </w:r>
          </w:p>
        </w:tc>
        <w:tc>
          <w:tcPr>
            <w:tcW w:type="dxa" w:w="18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Databricks DBRX</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80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7.49</w:t>
            </w:r>
          </w:p>
        </w:tc>
        <w:tc>
          <w:tcPr>
            <w:tcW w:type="dxa" w:w="10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bCs/>
                <w:color w:val="C55A11"/>
                <w:sz w:val="13"/>
                <w:szCs w:val="13"/>
              </w:rPr>
              <w:t xml:space="preserve">🔵 TIER 2 — DATA/ML</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13</w:t>
            </w:r>
          </w:p>
        </w:tc>
        <w:tc>
          <w:tcPr>
            <w:tcW w:type="dxa" w:w="18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Hugging Face</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8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6.66</w:t>
            </w:r>
          </w:p>
        </w:tc>
        <w:tc>
          <w:tcPr>
            <w:tcW w:type="dxa" w:w="10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3"/>
                <w:szCs w:val="13"/>
              </w:rPr>
              <w:t xml:space="preserve">⚠️ TIER 3 — INVESTIGACIÓN</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14</w:t>
            </w:r>
          </w:p>
        </w:tc>
        <w:tc>
          <w:tcPr>
            <w:tcW w:type="dxa" w:w="18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xAI (Grok)</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4.5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4.5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6.0</w:t>
            </w:r>
          </w:p>
        </w:tc>
        <w:tc>
          <w:tcPr>
            <w:tcW w:type="dxa" w:w="8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5.23</w:t>
            </w:r>
          </w:p>
        </w:tc>
        <w:tc>
          <w:tcPr>
            <w:tcW w:type="dxa" w:w="10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3"/>
                <w:szCs w:val="13"/>
              </w:rPr>
              <w:t xml:space="preserve">🔴 TIER 4 — NO RECOMENDADO</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15</w:t>
            </w:r>
          </w:p>
        </w:tc>
        <w:tc>
          <w:tcPr>
            <w:tcW w:type="dxa" w:w="18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Aleph Alpha</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7.8</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8.0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7.5</w:t>
            </w:r>
          </w:p>
        </w:tc>
        <w:tc>
          <w:tcPr>
            <w:tcW w:type="dxa" w:w="8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7.50</w:t>
            </w:r>
          </w:p>
        </w:tc>
        <w:tc>
          <w:tcPr>
            <w:tcW w:type="dxa" w:w="10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3"/>
                <w:szCs w:val="13"/>
              </w:rPr>
              <w:t xml:space="preserve">🔵 TIER 2 — UE SOBERANÍA</w:t>
            </w:r>
          </w:p>
        </w:tc>
      </w:tr>
      <w:tr>
        <w:tc>
          <w:tcPr>
            <w:tcW w:type="dxa" w:w="4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16</w:t>
            </w:r>
          </w:p>
        </w:tc>
        <w:tc>
          <w:tcPr>
            <w:tcW w:type="dxa" w:w="18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Zhipu AI (China)</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4.5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4.0</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3.5</w:t>
            </w:r>
          </w:p>
        </w:tc>
        <w:tc>
          <w:tcPr>
            <w:tcW w:type="dxa" w:w="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5.5</w:t>
            </w:r>
          </w:p>
        </w:tc>
        <w:tc>
          <w:tcPr>
            <w:tcW w:type="dxa" w:w="8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4.73</w:t>
            </w:r>
          </w:p>
        </w:tc>
        <w:tc>
          <w:tcPr>
            <w:tcW w:type="dxa" w:w="10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3"/>
                <w:szCs w:val="13"/>
              </w:rPr>
              <w:t xml:space="preserve">🔴 TIER 4 — INACEPTABLE</w:t>
            </w:r>
          </w:p>
        </w:tc>
      </w:tr>
    </w:tbl>
    <w:p>
      <w:pPr>
        <w:spacing w:before="30" w:after="30"/>
      </w:pPr>
      <w:r>
        <w:t xml:space="preserve"/>
      </w:r>
    </w:p>
    <w:p>
      <w:pPr>
        <w:shd w:fill="E8F5E9" w:val="clear"/>
        <w:spacing w:before="100" w:after="100"/>
        <w:ind w:left="280" w:right="280"/>
      </w:pPr>
      <w:r>
        <w:rPr>
          <w:rFonts w:ascii="Arial" w:cs="Arial" w:eastAsia="Arial" w:hAnsi="Arial"/>
          <w:b/>
          <w:bCs/>
          <w:color w:val="2E7D32"/>
          <w:sz w:val="18"/>
          <w:szCs w:val="18"/>
        </w:rPr>
        <w:t xml:space="preserve">🏆 Hallazgo central del ranking consolidado: </w:t>
      </w:r>
      <w:r>
        <w:rPr>
          <w:rFonts w:ascii="Arial" w:cs="Arial" w:eastAsia="Arial" w:hAnsi="Arial"/>
          <w:color w:val="2E7D32"/>
          <w:sz w:val="18"/>
          <w:szCs w:val="18"/>
        </w:rPr>
        <w:t xml:space="preserve">Microsoft mantiene la posición de referencia absoluta para el ecosistema M365 E5 con 20,000+ usuarios — no solo por la integración técnica (D5: 9.8) sino por tener la combinación más completa de gobernanza certificable (ISO 42001 obtenido para Copilot), privacidad (Zero Data Retention, Purview), y defensa de ciberseguridad (Defender XDR + Security Copilot). Anthropic lidera D1 (Ética: 9.5) — su Constitutional AI es el enfoque filosófico más sofisticado del mercado. Google lidera D6 (Innovación: 9.2) — DeepMind + Vertex AI representan la frontera tecnológica. Las dos posiciones inaceptables (xAI y Zhipu AI) reflejan transparencia insuficiente y riesgos regulatorios incompatibles con operaciones en mercados GDPR-adjacent y bajo Ley 25.326.</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19.3 MODELO DE MADUREZ DE GOBERNANZA DE IA — 5 NIVELES</w:t>
      </w:r>
    </w:p>
    <w:p>
      <w:pPr>
        <w:pBdr>
          <w:bottom w:val="single" w:color="BDD7EE" w:sz="4"/>
        </w:pBdr>
        <w:spacing w:before="80" w:after="80"/>
      </w:pPr>
    </w:p>
    <w:p>
      <w:pPr>
        <w:spacing w:before="60" w:after="100"/>
      </w:pPr>
      <w:r>
        <w:rPr>
          <w:rFonts w:ascii="Arial" w:cs="Arial" w:eastAsia="Arial" w:hAnsi="Arial"/>
          <w:color w:val="1A1A2E"/>
          <w:sz w:val="20"/>
          <w:szCs w:val="20"/>
        </w:rPr>
        <w:t xml:space="preserve">El AI Governance Maturity Model (AGMM) sintetiza las 19 fases en una escala de 5 niveles que permite al CISO diagnosticar el estado actual de la organización y definir el destino objetivo. El modelo es aplicable a cualquier organización que despliega sistemas de IA enterprise, independientemente del tamaño o sector. La referencia de benchmarking es la industria 2026: según CSA, solo el 25% de organizaciones tiene gobernanza comprehensiva — equivalente al Nivel 3 en este modelo.</w:t>
      </w:r>
    </w:p>
    <w:p>
      <w:pPr>
        <w:spacing w:before="30" w:after="30"/>
      </w:pPr>
      <w:r>
        <w:t xml:space="preserve"/>
      </w:r>
    </w:p>
    <w:p>
      <w:pPr>
        <w:shd w:fill="FFEBEE" w:val="clear"/>
        <w:spacing w:before="140" w:after="0"/>
      </w:pPr>
      <w:r>
        <w:rPr>
          <w:rFonts w:ascii="Arial" w:cs="Arial" w:eastAsia="Arial" w:hAnsi="Arial"/>
          <w:b/>
          <w:bCs/>
          <w:color w:val="C62828"/>
          <w:sz w:val="22"/>
          <w:szCs w:val="22"/>
        </w:rPr>
        <w:t xml:space="preserve">NIVEL 1: AD HOC / REACTIVO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tcPr>
          <w:p>
            <w:pPr>
              <w:spacing w:before="60" w:after="100"/>
            </w:pPr>
            <w:r>
              <w:rPr>
                <w:rFonts w:ascii="Arial" w:cs="Arial" w:eastAsia="Arial" w:hAnsi="Arial"/>
                <w:b/>
                <w:bCs/>
                <w:color w:val="C62828"/>
                <w:sz w:val="16"/>
                <w:szCs w:val="16"/>
              </w:rPr>
              <w:t xml:space="preserve">Descripción: </w:t>
            </w:r>
            <w:r>
              <w:rPr>
                <w:rFonts w:ascii="Arial" w:cs="Arial" w:eastAsia="Arial" w:hAnsi="Arial"/>
                <w:color w:val="1A1A2E"/>
                <w:sz w:val="15"/>
                <w:szCs w:val="15"/>
              </w:rPr>
              <w:t xml:space="preserve">La organización usa IA (incluyendo Copilot, ChatGPT, herramientas SaaS con IA embebida) sin gobernanza formal. Los riesgos son desconocidos porque no hay inventario. Las políticas son inexistentes o tan genéricas que no son operacionales. Los incidentes de IA se descubren por accidente — un empleado que filtró un documento confidencial vía prompt, una decisión automatizada incorrecta que llegó a atención al cliente, una baja de compliance detectada en auditoría externa.</w:t>
            </w:r>
          </w:p>
          <w:p>
            <w:pPr>
              <w:spacing w:before="60" w:after="100"/>
            </w:pPr>
            <w:r>
              <w:rPr>
                <w:rFonts w:ascii="Arial" w:cs="Arial" w:eastAsia="Arial" w:hAnsi="Arial"/>
                <w:b/>
                <w:bCs/>
                <w:color w:val="C62828"/>
                <w:sz w:val="15"/>
                <w:szCs w:val="15"/>
              </w:rPr>
              <w:t xml:space="preserve">Indicadores clave de este nivel: </w:t>
            </w:r>
            <w:r>
              <w:rPr>
                <w:rFonts w:ascii="Arial" w:cs="Arial" w:eastAsia="Arial" w:hAnsi="Arial"/>
                <w:color w:val="1A1A2E"/>
                <w:sz w:val="14"/>
                <w:szCs w:val="14"/>
              </w:rPr>
              <w:t xml:space="preserve">Sin AI Policy formal. Sin inventario de sistemas de IA. Sin DPIA para sistemas que procesan datos personales. Sin red teaming. Sin training para usuarios. Sin roles de AI governance definidos.</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tcPr>
          <w:p>
            <w:pPr>
              <w:spacing w:before="60" w:after="100"/>
            </w:pPr>
            <w:r>
              <w:rPr>
                <w:rFonts w:ascii="Arial" w:cs="Arial" w:eastAsia="Arial" w:hAnsi="Arial"/>
                <w:b/>
                <w:bCs/>
                <w:color w:val="C62828"/>
                <w:sz w:val="15"/>
                <w:szCs w:val="15"/>
              </w:rPr>
              <w:t xml:space="preserve">Vulnerabilidad y posición regulatoria: </w:t>
            </w:r>
            <w:r>
              <w:rPr>
                <w:rFonts w:ascii="Arial" w:cs="Arial" w:eastAsia="Arial" w:hAnsi="Arial"/>
                <w:color w:val="1A1A2E"/>
                <w:sz w:val="14"/>
                <w:szCs w:val="14"/>
              </w:rPr>
              <w:t xml:space="preserve">Vulnerabilidad: Alta a incidentes de privacidad (PII en prompts), exfiltración por LLM, decisiones automatizadas no explicadas. Posición regulatoria: indefendible ante auditoría GDPR. Status de mercado: la mayoría de empresas medianas en LATAM en 2024.</w:t>
            </w:r>
          </w:p>
          <w:p>
            <w:pPr>
              <w:spacing w:before="60" w:after="100"/>
            </w:pPr>
            <w:r>
              <w:rPr>
                <w:rFonts w:ascii="Arial" w:cs="Arial" w:eastAsia="Arial" w:hAnsi="Arial"/>
                <w:b/>
                <w:bCs/>
                <w:color w:val="1B4F72"/>
                <w:sz w:val="15"/>
                <w:szCs w:val="15"/>
              </w:rPr>
              <w:t xml:space="preserve">Para avanzar al siguiente nivel: </w:t>
            </w:r>
            <w:r>
              <w:rPr>
                <w:rFonts w:ascii="Arial" w:cs="Arial" w:eastAsia="Arial" w:hAnsi="Arial"/>
                <w:color w:val="1A1A2E"/>
                <w:sz w:val="14"/>
                <w:szCs w:val="14"/>
              </w:rPr>
              <w:t xml:space="preserve">Prioridad de mejora: Completar F7 (AI Policy), constituir el AGC, y activar Purview DSPM for AI. 60-90 días.</w:t>
            </w:r>
          </w:p>
        </w:tc>
      </w:tr>
    </w:tbl>
    <w:p>
      <w:pPr>
        <w:spacing w:before="30" w:after="30"/>
      </w:pPr>
      <w:r>
        <w:t xml:space="preserve"/>
      </w:r>
    </w:p>
    <w:p>
      <w:pPr>
        <w:shd w:fill="FFF3E0" w:val="clear"/>
        <w:spacing w:before="140" w:after="0"/>
      </w:pPr>
      <w:r>
        <w:rPr>
          <w:rFonts w:ascii="Arial" w:cs="Arial" w:eastAsia="Arial" w:hAnsi="Arial"/>
          <w:b/>
          <w:bCs/>
          <w:color w:val="EF6C00"/>
          <w:sz w:val="22"/>
          <w:szCs w:val="22"/>
        </w:rPr>
        <w:t xml:space="preserve">NIVEL 2: CONSCIENTE /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tcPr>
          <w:p>
            <w:pPr>
              <w:spacing w:before="60" w:after="100"/>
            </w:pPr>
            <w:r>
              <w:rPr>
                <w:rFonts w:ascii="Arial" w:cs="Arial" w:eastAsia="Arial" w:hAnsi="Arial"/>
                <w:b/>
                <w:bCs/>
                <w:color w:val="EF6C00"/>
                <w:sz w:val="16"/>
                <w:szCs w:val="16"/>
              </w:rPr>
              <w:t xml:space="preserve">Descripción: </w:t>
            </w:r>
            <w:r>
              <w:rPr>
                <w:rFonts w:ascii="Arial" w:cs="Arial" w:eastAsia="Arial" w:hAnsi="Arial"/>
                <w:color w:val="1A1A2E"/>
                <w:sz w:val="15"/>
                <w:szCs w:val="15"/>
              </w:rPr>
              <w:t xml:space="preserve">La organización tiene conciencia del riesgo y primeras estructuras de gobernanza. Existe una AI Policy aprobada (aunque puede ser genérica). El AI Governance Committee se ha constituido. Los sistemas de IA más críticos están identificados en un inventario preliminar. Los primeros DPIAs para sistemas de alto riesgo están en proceso. Los controles técnicos básicos (Sensitivity Labels, DLP en Copilot) están configurados.</w:t>
            </w:r>
          </w:p>
          <w:p>
            <w:pPr>
              <w:spacing w:before="60" w:after="100"/>
            </w:pPr>
            <w:r>
              <w:rPr>
                <w:rFonts w:ascii="Arial" w:cs="Arial" w:eastAsia="Arial" w:hAnsi="Arial"/>
                <w:b/>
                <w:bCs/>
                <w:color w:val="EF6C00"/>
                <w:sz w:val="15"/>
                <w:szCs w:val="15"/>
              </w:rPr>
              <w:t xml:space="preserve">Indicadores clave de este nivel: </w:t>
            </w:r>
            <w:r>
              <w:rPr>
                <w:rFonts w:ascii="Arial" w:cs="Arial" w:eastAsia="Arial" w:hAnsi="Arial"/>
                <w:color w:val="1A1A2E"/>
                <w:sz w:val="14"/>
                <w:szCs w:val="14"/>
              </w:rPr>
              <w:t xml:space="preserve">AI Policy aprobada por el Board. AGC constituido con primeras reuniones. Inventario parcial de sistemas de IA. Primeros DPIAs iniciados. Purview DLP activo en Copilot. Training inicial para usuarios de Copilot.</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tcPr>
          <w:p>
            <w:pPr>
              <w:spacing w:before="60" w:after="100"/>
            </w:pPr>
            <w:r>
              <w:rPr>
                <w:rFonts w:ascii="Arial" w:cs="Arial" w:eastAsia="Arial" w:hAnsi="Arial"/>
                <w:b/>
                <w:bCs/>
                <w:color w:val="EF6C00"/>
                <w:sz w:val="15"/>
                <w:szCs w:val="15"/>
              </w:rPr>
              <w:t xml:space="preserve">Vulnerabilidad y posición regulatoria: </w:t>
            </w:r>
            <w:r>
              <w:rPr>
                <w:rFonts w:ascii="Arial" w:cs="Arial" w:eastAsia="Arial" w:hAnsi="Arial"/>
                <w:color w:val="1A1A2E"/>
                <w:sz w:val="14"/>
                <w:szCs w:val="14"/>
              </w:rPr>
              <w:t xml:space="preserve">Vulnerabilidad: Media-alta. Los controles existen pero son incompletos — red teaming no realizado, inventario incompleto, DPIAs pendientes para varios sistemas. Posición regulatoria: defensible para sistemas de bajo riesgo, vulnerable para alto riesgo. Status de mercado: ~25% de grandes empresas en LATAM en 2025.</w:t>
            </w:r>
          </w:p>
          <w:p>
            <w:pPr>
              <w:spacing w:before="60" w:after="100"/>
            </w:pPr>
            <w:r>
              <w:rPr>
                <w:rFonts w:ascii="Arial" w:cs="Arial" w:eastAsia="Arial" w:hAnsi="Arial"/>
                <w:b/>
                <w:bCs/>
                <w:color w:val="1B4F72"/>
                <w:sz w:val="15"/>
                <w:szCs w:val="15"/>
              </w:rPr>
              <w:t xml:space="preserve">Para avanzar al siguiente nivel: </w:t>
            </w:r>
            <w:r>
              <w:rPr>
                <w:rFonts w:ascii="Arial" w:cs="Arial" w:eastAsia="Arial" w:hAnsi="Arial"/>
                <w:color w:val="1A1A2E"/>
                <w:sz w:val="14"/>
                <w:szCs w:val="14"/>
              </w:rPr>
              <w:t xml:space="preserve">Prioridad de mejora: Completar inventario, ejecutar primer ciclo de red teaming (F13), completar DPIAs críticos (F15). 3-6 meses.</w:t>
            </w:r>
          </w:p>
        </w:tc>
      </w:tr>
    </w:tbl>
    <w:p>
      <w:pPr>
        <w:spacing w:before="30" w:after="30"/>
      </w:pPr>
      <w:r>
        <w:t xml:space="preserve"/>
      </w:r>
    </w:p>
    <w:p>
      <w:pPr>
        <w:shd w:fill="FFFDE7" w:val="clear"/>
        <w:spacing w:before="140" w:after="0"/>
      </w:pPr>
      <w:r>
        <w:rPr>
          <w:rFonts w:ascii="Arial" w:cs="Arial" w:eastAsia="Arial" w:hAnsi="Arial"/>
          <w:b/>
          <w:bCs/>
          <w:color w:val="F9A825"/>
          <w:sz w:val="22"/>
          <w:szCs w:val="22"/>
        </w:rPr>
        <w:t xml:space="preserve">NIVEL 3: DEFINIDO /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tcPr>
          <w:p>
            <w:pPr>
              <w:spacing w:before="60" w:after="100"/>
            </w:pPr>
            <w:r>
              <w:rPr>
                <w:rFonts w:ascii="Arial" w:cs="Arial" w:eastAsia="Arial" w:hAnsi="Arial"/>
                <w:b/>
                <w:bCs/>
                <w:color w:val="F9A825"/>
                <w:sz w:val="16"/>
                <w:szCs w:val="16"/>
              </w:rPr>
              <w:t xml:space="preserve">Descripción: </w:t>
            </w:r>
            <w:r>
              <w:rPr>
                <w:rFonts w:ascii="Arial" w:cs="Arial" w:eastAsia="Arial" w:hAnsi="Arial"/>
                <w:color w:val="1A1A2E"/>
                <w:sz w:val="15"/>
                <w:szCs w:val="15"/>
              </w:rPr>
              <w:t xml:space="preserve">La organización tiene un AIMS operacional aunque no certificado. El AI Governance Committee se reúne regularmente con agenda estructurada. El AI Inventory está completo y se actualiza. Los DPIAs están completados para todos los sistemas de alto riesgo. El red teaming se ejecuta trimestralmente. Los controles de Purview están configurados con &gt;90% de coverage de Sensitivity Labels. El AI Risk Register tiene categorías AI-específicas (OWASP LLM Top 10).</w:t>
            </w:r>
          </w:p>
          <w:p>
            <w:pPr>
              <w:spacing w:before="60" w:after="100"/>
            </w:pPr>
            <w:r>
              <w:rPr>
                <w:rFonts w:ascii="Arial" w:cs="Arial" w:eastAsia="Arial" w:hAnsi="Arial"/>
                <w:b/>
                <w:bCs/>
                <w:color w:val="F9A825"/>
                <w:sz w:val="15"/>
                <w:szCs w:val="15"/>
              </w:rPr>
              <w:t xml:space="preserve">Indicadores clave de este nivel: </w:t>
            </w:r>
            <w:r>
              <w:rPr>
                <w:rFonts w:ascii="Arial" w:cs="Arial" w:eastAsia="Arial" w:hAnsi="Arial"/>
                <w:color w:val="1A1A2E"/>
                <w:sz w:val="14"/>
                <w:szCs w:val="14"/>
              </w:rPr>
              <w:t xml:space="preserve">AI Inventory completo con campos AI-específicos. AI Risk Register activo con categorías OWASP. DPIAs completados para todos los sistemas de alto riesgo. Red teaming trimestral documentado. Purview DLP + Sensitivity Labels &gt;90% coverage. Training completado para &gt;70% usuarios Copilot.</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tcPr>
          <w:p>
            <w:pPr>
              <w:spacing w:before="60" w:after="100"/>
            </w:pPr>
            <w:r>
              <w:rPr>
                <w:rFonts w:ascii="Arial" w:cs="Arial" w:eastAsia="Arial" w:hAnsi="Arial"/>
                <w:b/>
                <w:bCs/>
                <w:color w:val="F9A825"/>
                <w:sz w:val="15"/>
                <w:szCs w:val="15"/>
              </w:rPr>
              <w:t xml:space="preserve">Vulnerabilidad y posición regulatoria: </w:t>
            </w:r>
            <w:r>
              <w:rPr>
                <w:rFonts w:ascii="Arial" w:cs="Arial" w:eastAsia="Arial" w:hAnsi="Arial"/>
                <w:color w:val="1A1A2E"/>
                <w:sz w:val="14"/>
                <w:szCs w:val="14"/>
              </w:rPr>
              <w:t xml:space="preserve">Vulnerabilidad: Media. Los controles existentes funcionan — el riesgo principal es la velocidad de cambio: nuevos sistemas de IA o actualizaciones de modelos pueden quedar fuera de governance por períodos. Posición regulatoria: defensible ante la mayoría de auditorías. Status de mercado: benchmark de organizaciones bien gobernadas en 2025-2026. Equivalente al 25% de CSA con 'comprehensive governance'.</w:t>
            </w:r>
          </w:p>
          <w:p>
            <w:pPr>
              <w:spacing w:before="60" w:after="100"/>
            </w:pPr>
            <w:r>
              <w:rPr>
                <w:rFonts w:ascii="Arial" w:cs="Arial" w:eastAsia="Arial" w:hAnsi="Arial"/>
                <w:b/>
                <w:bCs/>
                <w:color w:val="1B4F72"/>
                <w:sz w:val="15"/>
                <w:szCs w:val="15"/>
              </w:rPr>
              <w:t xml:space="preserve">Para avanzar al siguiente nivel: </w:t>
            </w:r>
            <w:r>
              <w:rPr>
                <w:rFonts w:ascii="Arial" w:cs="Arial" w:eastAsia="Arial" w:hAnsi="Arial"/>
                <w:color w:val="1A1A2E"/>
                <w:sz w:val="14"/>
                <w:szCs w:val="14"/>
              </w:rPr>
              <w:t xml:space="preserve">Prioridad de mejora: Formalizar PDCA del AIMS, completar first internal audit ISO 42001, preparar SoA. 6-12 meses para Nivel 4.</w:t>
            </w:r>
          </w:p>
        </w:tc>
      </w:tr>
    </w:tbl>
    <w:p>
      <w:pPr>
        <w:spacing w:before="30" w:after="30"/>
      </w:pPr>
      <w:r>
        <w:t xml:space="preserve"/>
      </w:r>
    </w:p>
    <w:p>
      <w:pPr>
        <w:shd w:fill="E8F5E9" w:val="clear"/>
        <w:spacing w:before="140" w:after="0"/>
      </w:pPr>
      <w:r>
        <w:rPr>
          <w:rFonts w:ascii="Arial" w:cs="Arial" w:eastAsia="Arial" w:hAnsi="Arial"/>
          <w:b/>
          <w:bCs/>
          <w:color w:val="2E7D32"/>
          <w:sz w:val="22"/>
          <w:szCs w:val="22"/>
        </w:rPr>
        <w:t xml:space="preserve">NIVEL 4: GESTIONADO / PROACTIVO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tcPr>
          <w:p>
            <w:pPr>
              <w:spacing w:before="60" w:after="100"/>
            </w:pPr>
            <w:r>
              <w:rPr>
                <w:rFonts w:ascii="Arial" w:cs="Arial" w:eastAsia="Arial" w:hAnsi="Arial"/>
                <w:b/>
                <w:bCs/>
                <w:color w:val="2E7D32"/>
                <w:sz w:val="16"/>
                <w:szCs w:val="16"/>
              </w:rPr>
              <w:t xml:space="preserve">Descripción: </w:t>
            </w:r>
            <w:r>
              <w:rPr>
                <w:rFonts w:ascii="Arial" w:cs="Arial" w:eastAsia="Arial" w:hAnsi="Arial"/>
                <w:color w:val="1A1A2E"/>
                <w:sz w:val="15"/>
                <w:szCs w:val="15"/>
              </w:rPr>
              <w:t xml:space="preserve">El AIMS está formalizado según ISO 42001 con el PDCA completo documentado. El primer internal audit del AIMS está completado con hallazgos y corrective actions cerradas. La Statement of Applicability (SoA) está publicada. El management review semestral se realiza ante el Board. Los KPIs del AI Governance Program están tracked mensualmente (Risk Scorecard de IA). El programa de capacitación tiene &gt;90% de coverage. La Privacy Engineering (DP en fine-tuning, synthetic data para RAG) está implementada para los casos de uso más críticos.</w:t>
            </w:r>
          </w:p>
          <w:p>
            <w:pPr>
              <w:spacing w:before="60" w:after="100"/>
            </w:pPr>
            <w:r>
              <w:rPr>
                <w:rFonts w:ascii="Arial" w:cs="Arial" w:eastAsia="Arial" w:hAnsi="Arial"/>
                <w:b/>
                <w:bCs/>
                <w:color w:val="2E7D32"/>
                <w:sz w:val="15"/>
                <w:szCs w:val="15"/>
              </w:rPr>
              <w:t xml:space="preserve">Indicadores clave de este nivel: </w:t>
            </w:r>
            <w:r>
              <w:rPr>
                <w:rFonts w:ascii="Arial" w:cs="Arial" w:eastAsia="Arial" w:hAnsi="Arial"/>
                <w:color w:val="1A1A2E"/>
                <w:sz w:val="14"/>
                <w:szCs w:val="14"/>
              </w:rPr>
              <w:t xml:space="preserve">Internal audit ISO 42001 completado. SoA publicada (38 controles Annex A aplicabilidad documentada). KPI dashboard activo y reportado mensualmente al AGC. PDCA ciclo completo. Management review semestral documentado. Privacy Engineering implementada para sistemas de alto riesgo. Machine Unlearning process definido.</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tcPr>
          <w:p>
            <w:pPr>
              <w:spacing w:before="60" w:after="100"/>
            </w:pPr>
            <w:r>
              <w:rPr>
                <w:rFonts w:ascii="Arial" w:cs="Arial" w:eastAsia="Arial" w:hAnsi="Arial"/>
                <w:b/>
                <w:bCs/>
                <w:color w:val="2E7D32"/>
                <w:sz w:val="15"/>
                <w:szCs w:val="15"/>
              </w:rPr>
              <w:t xml:space="preserve">Vulnerabilidad y posición regulatoria: </w:t>
            </w:r>
            <w:r>
              <w:rPr>
                <w:rFonts w:ascii="Arial" w:cs="Arial" w:eastAsia="Arial" w:hAnsi="Arial"/>
                <w:color w:val="1A1A2E"/>
                <w:sz w:val="14"/>
                <w:szCs w:val="14"/>
              </w:rPr>
              <w:t xml:space="preserve">Vulnerabilidad: Baja. El AIMS gestiona proactivamente los riesgos emergentes. Nuevos sistemas de IA pasan por el privacy review gate y el AI system assessment antes del deployment. Posición regulatoria: excelente — evidencia completa para cualquier auditoría. Status de mercado: top 5-10% de organizaciones enterprise globalmente en 2026. Certificación ISO 42001 en alcance.</w:t>
            </w:r>
          </w:p>
          <w:p>
            <w:pPr>
              <w:spacing w:before="60" w:after="100"/>
            </w:pPr>
            <w:r>
              <w:rPr>
                <w:rFonts w:ascii="Arial" w:cs="Arial" w:eastAsia="Arial" w:hAnsi="Arial"/>
                <w:b/>
                <w:bCs/>
                <w:color w:val="1B4F72"/>
                <w:sz w:val="15"/>
                <w:szCs w:val="15"/>
              </w:rPr>
              <w:t xml:space="preserve">Para avanzar al siguiente nivel: </w:t>
            </w:r>
            <w:r>
              <w:rPr>
                <w:rFonts w:ascii="Arial" w:cs="Arial" w:eastAsia="Arial" w:hAnsi="Arial"/>
                <w:color w:val="1A1A2E"/>
                <w:sz w:val="14"/>
                <w:szCs w:val="14"/>
              </w:rPr>
              <w:t xml:space="preserve">Prioridad de mejora: Buscar certificación ISO 42001 formal si el mercado lo requiere. Desarrollar el Nivel 5: predictive risk management. 12-24 meses.</w:t>
            </w:r>
          </w:p>
        </w:tc>
      </w:tr>
    </w:tbl>
    <w:p>
      <w:pPr>
        <w:spacing w:before="30" w:after="30"/>
      </w:pPr>
      <w:r>
        <w:t xml:space="preserve"/>
      </w:r>
    </w:p>
    <w:p>
      <w:pPr>
        <w:shd w:fill="E3F2FD" w:val="clear"/>
        <w:spacing w:before="140" w:after="0"/>
      </w:pPr>
      <w:r>
        <w:rPr>
          <w:rFonts w:ascii="Arial" w:cs="Arial" w:eastAsia="Arial" w:hAnsi="Arial"/>
          <w:b/>
          <w:bCs/>
          <w:color w:val="1565C0"/>
          <w:sz w:val="22"/>
          <w:szCs w:val="22"/>
        </w:rPr>
        <w:t xml:space="preserve">NIVEL 5: OPTIMIZANDO / ESTRATÉGICO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tcPr>
          <w:p>
            <w:pPr>
              <w:spacing w:before="60" w:after="100"/>
            </w:pPr>
            <w:r>
              <w:rPr>
                <w:rFonts w:ascii="Arial" w:cs="Arial" w:eastAsia="Arial" w:hAnsi="Arial"/>
                <w:b/>
                <w:bCs/>
                <w:color w:val="1565C0"/>
                <w:sz w:val="16"/>
                <w:szCs w:val="16"/>
              </w:rPr>
              <w:t xml:space="preserve">Descripción: </w:t>
            </w:r>
            <w:r>
              <w:rPr>
                <w:rFonts w:ascii="Arial" w:cs="Arial" w:eastAsia="Arial" w:hAnsi="Arial"/>
                <w:color w:val="1A1A2E"/>
                <w:sz w:val="15"/>
                <w:szCs w:val="15"/>
              </w:rPr>
              <w:t xml:space="preserve">La gobernanza de IA es una ventaja competitiva y un differentiator de mercado. La organización tiene certificación ISO 42001 auditada por tercero. El AI Trust Report se publica anualmente como documento externo. La gestión de riesgos de IA es predictiva — monitoreo de la investigación de amenazas emergentes (MITRE ATLAS updates, nuevos vectores de ataque en LLMs) anticipa riesgos antes de que sean explotados. La organización contribuye activamente a la comunidad (ISAC de IA, participación en estándares). El AI governance es parte de la propuesta de valor ante clientes enterprise.</w:t>
            </w:r>
          </w:p>
          <w:p>
            <w:pPr>
              <w:spacing w:before="60" w:after="100"/>
            </w:pPr>
            <w:r>
              <w:rPr>
                <w:rFonts w:ascii="Arial" w:cs="Arial" w:eastAsia="Arial" w:hAnsi="Arial"/>
                <w:b/>
                <w:bCs/>
                <w:color w:val="1565C0"/>
                <w:sz w:val="15"/>
                <w:szCs w:val="15"/>
              </w:rPr>
              <w:t xml:space="preserve">Indicadores clave de este nivel: </w:t>
            </w:r>
            <w:r>
              <w:rPr>
                <w:rFonts w:ascii="Arial" w:cs="Arial" w:eastAsia="Arial" w:hAnsi="Arial"/>
                <w:color w:val="1A1A2E"/>
                <w:sz w:val="14"/>
                <w:szCs w:val="14"/>
              </w:rPr>
              <w:t xml:space="preserve">Certificación ISO 42001 por CAB acreditado. AI Trust Report público anual. Programa de threat intelligence de IA activo (monitoreo MITRE ATLAS, OWASP LLM updates). Participación en ISAC de sector. AI governance como elemento en propuesta comercial. Evaluación predictiva de riesgos regulatorios futuros (EU AI Act Tier 2, legislación Argentina en progreso).</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tcPr>
          <w:p>
            <w:pPr>
              <w:spacing w:before="60" w:after="100"/>
            </w:pPr>
            <w:r>
              <w:rPr>
                <w:rFonts w:ascii="Arial" w:cs="Arial" w:eastAsia="Arial" w:hAnsi="Arial"/>
                <w:b/>
                <w:bCs/>
                <w:color w:val="1565C0"/>
                <w:sz w:val="15"/>
                <w:szCs w:val="15"/>
              </w:rPr>
              <w:t xml:space="preserve">Vulnerabilidad y posición regulatoria: </w:t>
            </w:r>
            <w:r>
              <w:rPr>
                <w:rFonts w:ascii="Arial" w:cs="Arial" w:eastAsia="Arial" w:hAnsi="Arial"/>
                <w:color w:val="1A1A2E"/>
                <w:sz w:val="14"/>
                <w:szCs w:val="14"/>
              </w:rPr>
              <w:t xml:space="preserve">Vulnerabilidad: Mínima. El mayor riesgo es el complacency — la velocidad de cambio del ecosistema de IA (modelos nuevos, regulaciones nuevas, vectores de ataque nuevos) requiere vigilancia continua incluso en el Nivel 5. Posición regulatoria: de referencia — la organización puede ayudar a dar forma a los estándares regulatorios. Status de mercado: top 1-2% de organizaciones enterprise globales en 2026.</w:t>
            </w:r>
          </w:p>
          <w:p>
            <w:pPr>
              <w:spacing w:before="60" w:after="100"/>
            </w:pPr>
            <w:r>
              <w:rPr>
                <w:rFonts w:ascii="Arial" w:cs="Arial" w:eastAsia="Arial" w:hAnsi="Arial"/>
                <w:b/>
                <w:bCs/>
                <w:color w:val="1B4F72"/>
                <w:sz w:val="15"/>
                <w:szCs w:val="15"/>
              </w:rPr>
              <w:t xml:space="preserve">Para avanzar al siguiente nivel: </w:t>
            </w:r>
            <w:r>
              <w:rPr>
                <w:rFonts w:ascii="Arial" w:cs="Arial" w:eastAsia="Arial" w:hAnsi="Arial"/>
                <w:color w:val="1A1A2E"/>
                <w:sz w:val="14"/>
                <w:szCs w:val="14"/>
              </w:rPr>
              <w:t xml:space="preserve">Prioridad de mejora: Benchmark externo con pares. Evaluación de adopción de nuevas tecnologías (PQC, agentes autónomos seguros). Contribución a estándares de IA responsable en sector financiero LATAM.</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19.4 DASHBOARD DE KPIs — EL TABLERO DEL CISO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El AI Governance KPI Dashboard es el instrumento de gestión que convierte el programa de gobernanza en métricas ejecutables. McKinsey 2025 encontró que rastrear KPIs explícitos de IA es el factor que más correlaciona con impacto a largo plazo — pero sigue siendo infrecuente incluso en organizaciones maduras. Los siguientes KPIs son los que el AGC debe reportar mensualmente al CISO y trimestralmente al Board.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W w:type="dxa" w:w="20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KPI</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TARGET (Nivel 3)</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TARGET (Nivel 4+)</w:t>
            </w:r>
          </w:p>
        </w:tc>
        <w:tc>
          <w:tcPr>
            <w:tcW w:type="dxa" w:w="14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FRECUENCIA</w:t>
            </w:r>
          </w:p>
        </w:tc>
        <w:tc>
          <w:tcPr>
            <w:tcW w:type="dxa" w:w="276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REVELA / ACCIÓN SI DESVÍO</w:t>
            </w:r>
          </w:p>
        </w:tc>
      </w:tr>
      <w:tr>
        <w:tc>
          <w:tcPr>
            <w:tcW w:type="dxa" w:w="20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 SEGURIDAD TÉCNICA —</w:t>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4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7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ASR (Attack Success Rate) M365 Copilot</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20% en categorías OWASP Top 5</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10% en todas las categorías</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Trimestral (red teaming)</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ASR supera el target: remediación de controles técnicos. Si ASR mejora consistentemente: actualizar metodología de testing para mantener la presión.</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 Prompts bloqueados / alertados por DLP</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2% del total (ratio de PII en prompts)</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0.5%</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 (Purview)</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ratio &gt; 2%: capacitación intensiva a usuarios. Si ratio = 0%: verificar que la política DLP está activa y configurada correctamente — puede ser falso positivo de ausencia.</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 Sensitivity Labels aplicados a documentos clasificados</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90%</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98%</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 (Purview DSPM for AI)</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&lt; 90%: activar auto-labeling para categorías sin coverage. Identificar repositorios de SharePoint con mayor brecha.</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intentos de jailbreaking detectados en producción</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Baseline establecido en primeros 3 meses</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10% del baseline (post-controles)</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 (Sentinel)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Picos sobre baseline: investigar si hay campaña organizada o actor interno. Categorizar por tipo (prompt injection, role play bypass, encoding attack).</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Tiempo Medio de Detección de Incidente de IA (MTTD)</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48 horas</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&lt; 4 horas</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Por incidente</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MTTD &gt; 48h: revisar alertas de Sentinel para categorías de IA, mejorar runbooks de SOC.</w:t>
            </w:r>
          </w:p>
        </w:tc>
      </w:tr>
      <w:tr>
        <w:tc>
          <w:tcPr>
            <w:tcW w:type="dxa" w:w="20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 PRIVACIDAD Y DATOS —</w:t>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4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7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DPIAs completados vs. sistemas de IA en scope</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100% sistemas alto riesgo</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100% todos los sistemas en scope</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Trimestral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ratio &lt; 100% para alto riesgo: prioridad inmediata. Escalar al DPO. Potencial exposición regulatoria.</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 Logs de Copilot con política de retención configurada</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100%</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100%</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&lt; 100%: completar configuración de Lifecycle Management en Purview. Riesgo GDPR: logs sin política pueden ser retenidos indefinidamente.</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solicitudes de derechos del interesado relacionadas con IA</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Baseline en primeros 6 meses</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Reducción 20% YoY (via mejora de transparencia)</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 (DPO)</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Pico de solicitudes puede indicar incidente de privacidad no detectado o mala comunicación a usuarios.</w:t>
            </w:r>
          </w:p>
        </w:tc>
      </w:tr>
      <w:tr>
        <w:tc>
          <w:tcPr>
            <w:tcW w:type="dxa" w:w="20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 GOBERNANZA ORGANIZACIONAL —</w:t>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4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7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sistemas de IA en inventario sin aprobación formal del AGC</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0 en producción</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0 en producción + 0 en piloto sin aprobación</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&gt; 0: proceso de aprobación no está funcionando. Bloquear sistemas no aprobados. Investigar cómo llegaron a producción sin el gate.</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 Empleados usuarios de Copilot con training completado</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80%</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95%</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Trimestral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&lt; 80% a los 6 meses del deployment: revisar modalidad de entrenamiento. Correlacionar con ratio de prompts bloqueados — usuarios no capacitados = más PII en prompts.</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reuniones del AGC realizadas vs. planificadas</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12/12 (mensual)</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12/12</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Anual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&lt; 10/12: el AGC no está siendo priorizado. Escalar al CEO sponsor. Revisión de agenda para reducir duración si es el factor.</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N° action items del AGC cerrados en plazo</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80% en fecha</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95% en fecha</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&lt; 80%: acción items asignados sin responsable o recursos. Revisión de capacidad del equipo. El AI Risk Manager debe hacer seguimiento semanal.</w:t>
            </w:r>
          </w:p>
        </w:tc>
      </w:tr>
      <w:tr>
        <w:tc>
          <w:tcPr>
            <w:tcW w:type="dxa" w:w="20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 COMPLIANCE REGULATORIO —</w:t>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4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7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Compliance Score ISO 42001 (Compliance Manager)</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65%</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85%</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score &lt; 65% con AIMS implementado: revisar qué controles están marcados incompletos. Puede revelar gaps de documentación.</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Compliance Score GDPR (Compliance Manager)</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75%</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90%</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Mensual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Score &lt; 75% con Purview activo: investigar qué controles técnicos están faltando o mal documentados.</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Días hasta respuesta a solicitud de ejercicio de derecho de IA</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30 días</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 15 días</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Por solicitud</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&gt; 30 días: viola Ley 25.326 y GDPR. Proceso de respuesta a solicitudes debe revisarse con el DPO.</w:t>
            </w:r>
          </w:p>
        </w:tc>
      </w:tr>
      <w:tr>
        <w:tc>
          <w:tcPr>
            <w:tcW w:type="dxa" w:w="20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 VALOR Y ROI —</w:t>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40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760"/>
            <w:tcBorders>
              <w:top w:val="single" w:color="AEC9E0" w:sz="1"/>
              <w:left w:val="single" w:color="AEC9E0" w:sz="1"/>
              <w:bottom w:val="single" w:color="AEC9E0" w:sz="1"/>
              <w:right w:val="single" w:color="AEC9E0" w:sz="1"/>
            </w:tcBorders>
            <w:shd w:fill="2C3E5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Horas de analista SOC ahorradas por Security Copilot</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Baseline × 1.3 (30% eficiencia)</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Baseline × 1.6</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Trimestral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Si mejora &lt; 30%: revisar integración de Security Copilot con Sentinel/Defender. Puede indicar playbooks mal configurados.</w:t>
            </w:r>
          </w:p>
        </w:tc>
      </w:tr>
      <w:tr>
        <w:tc>
          <w:tcPr>
            <w:tcW w:type="dxa" w:w="2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bCs/>
                <w:color w:val="1A1A2E"/>
                <w:sz w:val="13"/>
                <w:szCs w:val="13"/>
              </w:rPr>
              <w:t xml:space="preserve">Costo evitado de incidentes (estimado basado en F9)</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3x costo del programa de gobernanza</w:t>
            </w:r>
          </w:p>
        </w:tc>
        <w:tc>
          <w:tcPr>
            <w:tcW w:type="dxa" w:w="1600"/>
            <w:tcBorders>
              <w:top w:val="single" w:color="AEC9E0" w:sz="1"/>
              <w:left w:val="single" w:color="AEC9E0" w:sz="1"/>
              <w:bottom w:val="single" w:color="AEC9E0" w:sz="1"/>
              <w:right w:val="single" w:color="AEC9E0" w:sz="1"/>
            </w:tcBorders>
            <w:shd w:fill="2E7D32"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&gt; 5x</w:t>
            </w:r>
          </w:p>
        </w:tc>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val="false"/>
                <w:bCs w:val="false"/>
                <w:color w:val="1A1A2E"/>
                <w:sz w:val="13"/>
                <w:szCs w:val="13"/>
              </w:rPr>
              <w:t xml:space="preserve">Anual</w:t>
            </w:r>
          </w:p>
        </w:tc>
        <w:tc>
          <w:tcPr>
            <w:tcW w:type="dxa" w:w="27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3"/>
                <w:szCs w:val="13"/>
              </w:rPr>
              <w:t xml:space="preserve">Cálculo: (N° incidentes evitados × costo promedio incidente) + (reducción de tiempo de respuesta × costo analista/hora).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19.5 EL CISO MASTER PLAYBOOK — LAS 50 ACCIONES FUNDAMENTALES</w:t>
      </w:r>
    </w:p>
    <w:p>
      <w:pPr>
        <w:pBdr>
          <w:bottom w:val="single" w:color="BDD7EE" w:sz="4"/>
        </w:pBdr>
        <w:spacing w:before="80" w:after="80"/>
      </w:pPr>
    </w:p>
    <w:p>
      <w:pPr>
        <w:spacing w:before="60" w:after="100"/>
      </w:pPr>
      <w:r>
        <w:rPr>
          <w:rFonts w:ascii="Arial" w:cs="Arial" w:eastAsia="Arial" w:hAnsi="Arial"/>
          <w:color w:val="1A1A2E"/>
          <w:sz w:val="20"/>
          <w:szCs w:val="20"/>
        </w:rPr>
        <w:t xml:space="preserve">Las 50 acciones fundamentales son la destilación de las 19 fases en un checklist ejecutable. Están organizadas en 5 grupos de 10, ordenadas por horizonte de tiempo y complejidad creciente. El grupo A (acciones 1-10) es ejecutable por cualquier organización en los primeros 90 días independientemente del nivel de madurez actual.</w:t>
      </w:r>
    </w:p>
    <w:p>
      <w:pPr>
        <w:spacing w:before="30" w:after="30"/>
      </w:pPr>
      <w:r>
        <w:t xml:space="preserve"/>
      </w:r>
    </w:p>
    <w:p>
      <w:pPr>
        <w:spacing w:before="30" w:after="30"/>
      </w:pPr>
      <w:r>
        <w:t xml:space="preserve"/>
      </w:r>
    </w:p>
    <w:p>
      <w:pPr>
        <w:shd w:fill="C62828" w:val="clear"/>
        <w:spacing w:before="120" w:after="60"/>
      </w:pPr>
      <w:r>
        <w:rPr>
          <w:rFonts w:ascii="Arial" w:cs="Arial" w:eastAsia="Arial" w:hAnsi="Arial"/>
          <w:b/>
          <w:bCs/>
          <w:color w:val="FFFFFF"/>
          <w:sz w:val="20"/>
          <w:szCs w:val="20"/>
        </w:rPr>
        <w:t xml:space="preserve">GRUPO A — FUNDACIONES (0-90 DÍAS): LO QUE NO PUEDE ESPERAR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ID</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REFERENCIA</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A01</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Redactar y aprobar la AI Policy</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Documento de 3-5 páginas aprobado por el Board. Scope, principios, sistemas autorizados, roles del AGC, criterios de aprobación de nuevos sistemas. No esperar a tener el AIMS completo.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F7, 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A02</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Constituir el AI Governance Committee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8 roles: CEO sponsor, CISO, DPO, CTO, Legal, Negocio, RRHH, AI Risk Manager. Primera reunión en los primeros 30 días. Agenda y cadencia mensual definidas.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A03</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Levantar el AI Inventory</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sistema de IA en uso: nombre, proveedor, modelo base, datos accesibles, herramientas de agente, propósito, usuarios, responsable. Incluir Shadow AI detectado.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§18.7</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A04</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Activar Purview DSPM for AI</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Habilitar en el portal Purview. Ejecutar Data Risk Assessment de los 100 SharePoint sites más accedidos. Revisar AI Activity Report. Establece el baseline de riesgo.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§15.5</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A05</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Configurar DLP para prompts y respuestas de Copilot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Políticas que bloqueen/alerten: DNI, CUIL, CBU, números de tarjeta, contraseñas en prompts. Redacción de PII en respuestas. Label Highly Confidential = Copilot no resume.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§15.5</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A06</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Ejecutar primer DPIA para casos de uso de Copilot de mayor riesgo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Identificar 3-5 casos de uso de mayor riesgo (RRHH, Financiero, Legal). DPIA completo con los 8 pasos de la F15. DPO firma antes del deployment en producción.</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A07</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Capacitar a los usuarios de Copilot — módulo inicial</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30 minutos + quiz: qué no poner en prompts, cómo usar clasificación de documentos, qué hacer si Copilot genera un output con datos de terceros. Target: &gt;80% en 6 meses.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A08</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Configurar política de retención de logs de Copilot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Logs completos (contenido): máximo 90 días. Logs de metadatos: hasta 1 año. Purview Data Lifecycle Management. Documentar en el Registro de Actividades de Tratamiento.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§15.4</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A09</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Revisar contratos con Microsoft contra el checklist F6</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Verificar: Zero Data Retention, DPA, Copilot Copyright Commitment, SLAs de confiabilidad, derecho de auditoría, cláusula de notificación de cambios en modelos.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A10</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Publicar el AI Governance Charter interno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Comunicación a toda la organización: la empresa tiene un programa formal de gobernanza de IA, qué sistemas están aprobados, a quién reportar incidentes. Firmado por el CEO.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F7, F18</w:t>
            </w:r>
          </w:p>
        </w:tc>
      </w:tr>
    </w:tbl>
    <w:p>
      <w:pPr>
        <w:spacing w:before="30" w:after="30"/>
      </w:pPr>
      <w:r>
        <w:t xml:space="preserve"/>
      </w:r>
    </w:p>
    <w:p>
      <w:pPr>
        <w:spacing w:before="30" w:after="30"/>
      </w:pPr>
      <w:r>
        <w:t xml:space="preserve"/>
      </w:r>
    </w:p>
    <w:p>
      <w:pPr>
        <w:shd w:fill="EF6C00" w:val="clear"/>
        <w:spacing w:before="120" w:after="60"/>
      </w:pPr>
      <w:r>
        <w:rPr>
          <w:rFonts w:ascii="Arial" w:cs="Arial" w:eastAsia="Arial" w:hAnsi="Arial"/>
          <w:b/>
          <w:bCs/>
          <w:color w:val="FFFFFF"/>
          <w:sz w:val="20"/>
          <w:szCs w:val="20"/>
        </w:rPr>
        <w:t xml:space="preserve">GRUPO B — CONTROLES TÉCNICOS (90-180 DÍAS): LA CAPA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ID</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REFERENCIA</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B01</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Ejecutar primer ciclo de red teaming de M365 Copilot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de 6 fases (F13). Categorías OWASP LLM Top 10. Herramienta: PyRIT. ASR basal por categoría documentado. Plan de remediación aprobado por el AGC.</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B02</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auto-labeling en documentos sin Sensitivity Label</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Purview auto-classification para documentos que contienen patrones de datos sensibles (DNI, datos financieros, datos médicos). Target: &gt;90% de documentos clasificados.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B03</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Auditar corpus RAG — Excluir datos que no deben estar</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Lista de exclusión: RRHH (salarios, evaluaciones), clientes de contratos cerrados, documentos de proyectos cancelados, emails personales. Política de retención del corpus = política de retención de datos fuente.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§15.4</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B04</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Configurar Insider Risk Management para Copilot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Detectar: búsquedas masivas de documentos antes de desvinculación, acceso a proyectos no asignados, extracción de datos financieros inusuales vía Copilot. Integrar con HR para contexto.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§15.5</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B05</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human-in-the-loop para agentes de Copilot Studio con write access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Ningún agente que pueda escribir, enviar emails, o modificar datos puede actuar sin aprobación humana explícita. Kill switch documentado para todos los agentes.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F13 §13.4, F12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B06</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Activar Audit Log de Copilot en Purview</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Registro inmutable de interacciones: prompt, respuesta, documentos procesados, usuario, timestamp. Searchable. Requisito GDPR Art. 22 y ISO 42001 A.9.7.</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§15.5</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B07</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Microsoft Presidio en el pipeline de indexación RAG</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Pre-procesar documentos antes de indexación en Azure AI Search. Detectar y anonimizar PII (nombres, DNI, CUIL, CBU) antes de crear los embeddings. Configurar español.</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B08</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Completar AI Risk Register con categorías OWASP LLM Top 10</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sistema en el inventario: evaluar probabilidad e impacto de cada una de las 10 categorías OWASP. Riesgo inherente, controles existentes, riesgo residual. Aprobado por el AGC.</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F13, 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B09</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proceso de aprobación de plugins y conectores de Copilot Studio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Ningún plugin de tercero puede habilitarse sin: revisión de seguridad (checklist F14), evaluación de privacidad (F15), aprobación del AGC. AIBOM para cada componente.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F14</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B10</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Integrar alertas de IA de Defender for Cloud en Sentinel</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Configurar workbook de AI Threat Intelligence en Sentinel: intentos de jailbreaking, prompts con datos sensibles, patrones de exfiltración. Asignar analista SOC responsable de la categoría.</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F10, F13</w:t>
            </w:r>
          </w:p>
        </w:tc>
      </w:tr>
    </w:tbl>
    <w:p>
      <w:pPr>
        <w:spacing w:before="30" w:after="30"/>
      </w:pPr>
      <w:r>
        <w:t xml:space="preserve"/>
      </w:r>
    </w:p>
    <w:p>
      <w:pPr>
        <w:spacing w:before="30" w:after="30"/>
      </w:pPr>
      <w:r>
        <w:t xml:space="preserve"/>
      </w:r>
    </w:p>
    <w:p>
      <w:pPr>
        <w:shd w:fill="F9A825" w:val="clear"/>
        <w:spacing w:before="120" w:after="60"/>
      </w:pPr>
      <w:r>
        <w:rPr>
          <w:rFonts w:ascii="Arial" w:cs="Arial" w:eastAsia="Arial" w:hAnsi="Arial"/>
          <w:b/>
          <w:bCs/>
          <w:color w:val="FFFFFF"/>
          <w:sz w:val="20"/>
          <w:szCs w:val="20"/>
        </w:rPr>
        <w:t xml:space="preserve">GRUPO C — GOBERNANZA FORMAL (6-12 MESES): EL SISTEMA DE GESTIÓN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ID</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REFERENCIA</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C01</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Completar el gap analysis ISO 42001 clause-by-clause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Evaluar las 10 cláusulas y los 38 controles del Annex A contra el estado actual del programa. Identificar gaps. Priorizar por nivel de riesgo. Documentar en el Gap Analysis Report aprobado por el AGC.</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§18.7</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C02</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Risk Scorecard mensual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Dashboard de 18 KPIs (§19.4). Presentado en cada reunión mensual del AGC. Formato ejecutivo: RAG (Red/Amber/Green) por categoría. Trend mensual y comparación con targets.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F19 §19.4</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C03</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el gate de privacy review para todos los deployments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Ningún sistema de IA puede salir a producción sin: DPIA (si aplica), Sensitivity Labels configurados, DLP policies activas, corpus RAG auditado, retención de logs definida. Gate co-firmado por DPO y CISO.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C04</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Ejecutar first internal audit del AIMS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Evaluación clause-by-clause de ISO 42001. Hallazgos documentados. Corrective actions con responsables y fechas. Reporte al AGC. Pre-requisito para el Nivel 4 de madurez.</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§18.7</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C05</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Completar la Statement of Applicability (SoA)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uno de los 38 controles del Annex A ISO 42001: aplicable/no aplicable, justificación, estado de implementación. Aprobada por el AGC. Disponible para auditores externos.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C06</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proceso de ejercicio de derechos GDPR/25.326 para sistemas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Flujo documentado para: derecho de acceso (qué datos del interesado están en el corpus RAG), rectificación, eliminación (protocolo de eliminación del corpus + evaluación de Machine Unlearning), oposición. SLA: 30 días.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C07</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Publicar el primer AI Transparency Report interno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Documento anual: qué sistemas de IA usa la organización, qué datos procesan, qué controles de gobernanza están implementados, qué incidentes ocurrieron y cómo se respondió, métricas del programa. Distribuido internamente.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F3, 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C08</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el programa de threat intelligence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Suscripción a: MITRE ATLAS updates, OWASP LLM Top 10 updates (nueva versión anual), NIST AI 600-1 updates, Microsoft Security Intelligence Blog para IA. AI Risk Manager revisa semanalmente y alerta al AGC mensualmente.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F13, F12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C09</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Ejecutar DPIA para sistemas de IA de riesgo medio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Completar DPIAs para todos los sistemas en el inventario, no solo los de alto riesgo. Actualizar el proceso cuando el sistema cambia significativamente o anualmente.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C10</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plan de respuesta a cambios regulatorios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cuando hay una novedad regulatoria significativa (nuevo artículo del EU AI Act con enforcement, reforma de la Ley 25.326, nueva guía de la APDPD Argentina) → evaluación de impacto en 30 días → plan de adaptación → aprobación del AGC.</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F11, F18</w:t>
            </w:r>
          </w:p>
        </w:tc>
      </w:tr>
    </w:tbl>
    <w:p>
      <w:pPr>
        <w:spacing w:before="30" w:after="30"/>
      </w:pPr>
      <w:r>
        <w:t xml:space="preserve"/>
      </w:r>
    </w:p>
    <w:p>
      <w:pPr>
        <w:spacing w:before="30" w:after="30"/>
      </w:pPr>
      <w:r>
        <w:t xml:space="preserve"/>
      </w:r>
    </w:p>
    <w:p>
      <w:pPr>
        <w:shd w:fill="2E7D32" w:val="clear"/>
        <w:spacing w:before="120" w:after="60"/>
      </w:pPr>
      <w:r>
        <w:rPr>
          <w:rFonts w:ascii="Arial" w:cs="Arial" w:eastAsia="Arial" w:hAnsi="Arial"/>
          <w:b/>
          <w:bCs/>
          <w:color w:val="FFFFFF"/>
          <w:sz w:val="20"/>
          <w:szCs w:val="20"/>
        </w:rPr>
        <w:t xml:space="preserve">GRUPO D — MADUREZ AVANZADA (12-24 MESES): DIFERENCIACIÓN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ID</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REFERENCIA</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D01</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Obtener certificación ISO 42001 si el mercado lo requiere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Contratar CAB (Conformity Assessment Body) acreditado para pre-assessment. Cerrar gaps identificados. Audit formal. Certificación válida 3 años con surveillance anual. Publicar en el Service Trust Portal interno.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F18 §18.7</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D02</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Differential Privacy en el pipeline de fine-tuning propio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 la organización hace fine-tuning de modelos propios en Azure ML: implementar Opacus (PyTorch) o TF Privacy. Calibrar epsilon (ε≈8 para alineación con ISO/IEC 27559 y NIST SP 800-226). Documentar degradación de accuracy.</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D03</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programa de Synthetic Data para casos de uso de RAG con datos sensibles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casos de uso que requieren datos de clientes o pacientes en RAG: evaluar generación de datos sintéticos con garantías de privacidad. Implementar para los 3 casos de uso de mayor riesgo como prueba piloto.</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D04</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Evaluar Federated Learning para colaboración de modelos con socios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escenarios donde la organización quiere entrenar modelos con datos de socios (bancos, aseguradoras, proveedores): evaluar NVIDIA FLARE o Flower para FL horizontal. Due diligence: F5 + F6 para los socios FL.</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D05</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Confidential Computing para datos ultra-sensibles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datos que no pueden ser vistos ni por Microsoft (datos M&amp;A, datos de investigación regulatoria): evaluar Azure Confidential VMs con Intel TDX o Azure Confidential Containers. Attestation report como evidencia de control.</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F15 §15.2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D06</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programa de evaluación de sesgo para modelos propios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modelo propio (fine-tuned o Azure AI Foundry): evaluación de fairness con Fairlearn y Azure Responsible AI Dashboard antes del deployment. Métricas: disparate impact, equalized odds por grupo protegido. Ciclo semestral.</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D07</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Publicar Model Cards para todos los sistemas de IA propios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sistema propio: Model Card con propósito, capacidades, limitaciones, datos de entrenamiento, métricas de evaluación, sesgos conocidos, usos recomendados y no recomendados. Distribuido a todos los usuarios del sistema.</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F16, F18</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D08</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programa de PQC Migration Assessment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Inventario de algoritmos criptográficos en uso (RSA, ECC, AES) en los sistemas de IA y sus pipelines de datos. Evaluación de quantum risk por sistema. Plan de migración a CRYSTALS-Kyber/Dilithium para los sistemas más críticos.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D09</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Desarrollar el plan de gobernanza para agentes autónomos (Agentic AI)</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Marco de gobernanza específico para agentes multi-step: niveles de autonomía permitidos, reglas de escalación humana, límites de herramientas disponibles, logging detallado de acciones, proceso de revocación de permisos.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 F13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D10</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Contribuir al desarrollo de estándares sectoriales de gobernanza de IA en LATAM</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Participar en grupos de trabajo de gobernanza de IA del sector financiero en LATAM (ALAF, Asobancaria, Febraban). Compartir el framework desarrollado. Posicionar a la organización como referente.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F19</w:t>
            </w:r>
          </w:p>
        </w:tc>
      </w:tr>
    </w:tbl>
    <w:p>
      <w:pPr>
        <w:spacing w:before="30" w:after="30"/>
      </w:pPr>
      <w:r>
        <w:t xml:space="preserve"/>
      </w:r>
    </w:p>
    <w:p>
      <w:pPr>
        <w:spacing w:before="30" w:after="30"/>
      </w:pPr>
      <w:r>
        <w:t xml:space="preserve"/>
      </w:r>
    </w:p>
    <w:p>
      <w:pPr>
        <w:shd w:fill="1565C0" w:val="clear"/>
        <w:spacing w:before="120" w:after="60"/>
      </w:pPr>
      <w:r>
        <w:rPr>
          <w:rFonts w:ascii="Arial" w:cs="Arial" w:eastAsia="Arial" w:hAnsi="Arial"/>
          <w:b/>
          <w:bCs/>
          <w:color w:val="FFFFFF"/>
          <w:sz w:val="20"/>
          <w:szCs w:val="20"/>
        </w:rPr>
        <w:t xml:space="preserve">GRUPO E — EXCELENCIA ESTRATÉGICA (24+ MESES): LIDERAZGO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ID</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REFERENCIA</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E01</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Publicar el AI Trust Report externo anual</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Versión pública del reporte de gobernanza de IA: principios aplicados, certificaciones obtenidas, métricas clave del programa, incidentes significativos y respuestas, planes para el próximo año. Usado en RFPs y relaciones con reguladores.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E02</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AI Ethics Advisory Panel externo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Panel de 3-5 expertos externos: investigador académico de ética de IA, experto en derechos digitales, representante de consumidores, regulador. Revisión anual del programa. Recomendaciones vinculantes o consultivas.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F7, 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E03</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Implementar predictive AI risk management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Monitoreo continuo: nuevos papers de ataques en arxiv, updates de MITRE ATLAS, CVEs de herramientas de IA, guías regulatorias en borrador. Sistema de alerta temprana con categorización de impacto potencial en el programa.</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 F13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E04</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el programa de AI Security Red Team permanente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Equipo interno dedicado de 2-3 personas (o contrato con proveedor especializado) para red teaming continuo — no solo trimestral. Metodología actualizada semestralmente con nuevos vectores de ataque.</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F13</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E05</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Desarrollar el framework de gobernanza de IA agéntica para el sector</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Publicar como whitepaper o guía de la industria: framework para gobernanza segura de agentes autónomos en el sector financiero LATAM. Presentar en conferencias sectoriales (ESET, eventos de la banca).</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 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E06</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Integrar AI governance en el programa de gestión de proveedores enterprise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Todos los contratos con proveedores que usan IA en sus servicios (no solo proveedores de IA directa) deben pasar por el checklist de F5-F6. Cláusulas de IA responsable en contratos de RRHH, legal, contabilidad con herramientas de IA.</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F5, F6</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E07</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Establecer benchmarking de madurez con pares del sector</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Participar en un programa de benchmarking de AI governance con organizaciones comparables del sector financiero LATAM. Evaluar posición relativa. Identificar mejores prácticas del sector para adoptar.</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E08</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Evaluar la adopción de AI-for-AI governance</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Usar IA (sistemas de IA supervisados) para automatizar partes de la gobernanza de IA: detección automática de nuevos sistemas de IA en uso (Shadow AI detection), clasificación automática de riesgo de nuevos sistemas, generación de borradores de DPIAs.</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 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E09</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Desarrollar el programa de AI literacy organizacional</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Más allá de la capacitación de compliance: programa profundo de AI literacy para todo el liderazgo (C-suite, directores, gerentes). 16 horas de formación. Incluye: cómo funciona un LLM, qué puede y no puede hacer, casos de uso y riesgos específicos del sector.</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F19</w:t>
            </w:r>
          </w:p>
        </w:tc>
      </w:tr>
      <w:tr>
        <w:tc>
          <w:tcPr>
            <w:tcW w:type="dxa" w:w="480"/>
            <w:tcBorders>
              <w:top w:val="single" w:color="AEC9E0" w:sz="1"/>
              <w:left w:val="single" w:color="AEC9E0" w:sz="1"/>
              <w:bottom w:val="single" w:color="AEC9E0" w:sz="1"/>
              <w:right w:val="single" w:color="AEC9E0" w:sz="1"/>
            </w:tcBorders>
            <w:shd w:fill="1565C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E10</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Preparar el programa de IA responsable para la siguiente generación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 3-5 años de horizonte: evaluar el impacto de los modelos de razonamiento avanzado (post-GPT-5), la IA agéntica autónoma a escala, los sistemas multimodales de alta capacidad. Actualizar el AIMS para la siguiente generación.</w:t>
            </w:r>
          </w:p>
        </w:tc>
        <w:tc>
          <w:tcPr>
            <w:tcW w:type="dxa" w:w="16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center"/>
            </w:pPr>
            <w:r>
              <w:rPr>
                <w:rFonts w:ascii="Arial" w:cs="Arial" w:eastAsia="Arial" w:hAnsi="Arial"/>
                <w:b w:val="false"/>
                <w:bCs w:val="false"/>
                <w:color w:val="1A237E"/>
                <w:sz w:val="13"/>
                <w:szCs w:val="13"/>
              </w:rPr>
              <w:t xml:space="preserve">F12, F19</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19.6 PRESENTACIÓN EJECUTIVA AL BOARD — MARCO Y NARRATIVA</w:t>
      </w:r>
    </w:p>
    <w:p>
      <w:pPr>
        <w:pBdr>
          <w:bottom w:val="single" w:color="BDD7EE" w:sz="4"/>
        </w:pBdr>
        <w:spacing w:before="80" w:after="80"/>
      </w:pPr>
    </w:p>
    <w:p>
      <w:pPr>
        <w:spacing w:before="60" w:after="100"/>
      </w:pPr>
      <w:r>
        <w:rPr>
          <w:rFonts w:ascii="Arial" w:cs="Arial" w:eastAsia="Arial" w:hAnsi="Arial"/>
          <w:color w:val="1A1A2E"/>
          <w:sz w:val="20"/>
          <w:szCs w:val="20"/>
        </w:rPr>
        <w:t xml:space="preserve">El Board de 2026 hace tres preguntas sobre IA que el CISO debe ser capaz de responder con evidencia, no con declaraciones. Este sección provee la arquitectura narrativa para la presentación anual al Board sobre el programa de gobernanza de IA.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PREGUNTA DEL BOARD</w:t>
            </w:r>
          </w:p>
        </w:tc>
        <w:tc>
          <w:tcPr>
            <w:tcW w:type="dxa" w:w="28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LO QUE EL BOARD REALMENTE QUIERE SABER</w:t>
            </w:r>
          </w:p>
        </w:tc>
        <w:tc>
          <w:tcPr>
            <w:tcW w:type="dxa" w:w="32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LA RESPUESTA QUE EL CISO DEBE PODER DAR</w:t>
            </w:r>
          </w:p>
        </w:tc>
      </w:tr>
      <w:tr>
        <w:tc>
          <w:tcPr>
            <w:tcW w:type="dxa" w:w="3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'¿Nuestros empleados están usando la IA de manera segura?'</w:t>
            </w:r>
          </w:p>
        </w:tc>
        <w:tc>
          <w:tcPr>
            <w:tcW w:type="dxa" w:w="28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¿Hay controles efectivos sobre qué datos ingresan a los LLMs? ¿Estamos exponiendo información confidencial de clientes o estratégica?</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DLP bloqueó X prompts con datos sensibles en los últimos 3 meses. El X% de los documentos confidenciales tienen Sensitivity Labels que impiden a Copilot resumirlos sin autorización. El X% de empleados ha completado la capacitación. El ratio de PII en prompts bajó un X% en los últimos 6 meses desde que implementamos los controles.</w:t>
            </w:r>
          </w:p>
        </w:tc>
      </w:tr>
      <w:tr>
        <w:tc>
          <w:tcPr>
            <w:tcW w:type="dxa" w:w="3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'¿Cumplimos con las regulaciones de IA que están entrando en vigor?'</w:t>
            </w:r>
          </w:p>
        </w:tc>
        <w:tc>
          <w:tcPr>
            <w:tcW w:type="dxa" w:w="28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¿Tenemos exposición regulatoria que pueda resultar en multas o sanciones? ¿Estamos en línea con el EU AI Act, GDPR, y la Ley 25.326?</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Tenemos DPIAs completados para todos los sistemas de IA de alto riesgo. El Compliance Manager indica un score de X% para GDPR y X% para ISO 42001. Nuestro proveedor principal (Microsoft) tiene certificación ISO 42001 para Copilot. El único gap significativo es [X], que tenemos planificado resolver para [fecha] con costo estimado de [Y].</w:t>
            </w:r>
          </w:p>
        </w:tc>
      </w:tr>
      <w:tr>
        <w:tc>
          <w:tcPr>
            <w:tcW w:type="dxa" w:w="3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'¿Qué pasaría si uno de nuestros sistemas de IA es atacado o falla?'</w:t>
            </w:r>
          </w:p>
        </w:tc>
        <w:tc>
          <w:tcPr>
            <w:tcW w:type="dxa" w:w="28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¿Tenemos resiliencia? ¿Sabríamos qué pasó? ¿Cuánto tardaríamos en responder y recuperarnos?</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Tenemos un AI Incident Response Plan que define roles, responsables, y pasos concretos para los incidentes más probables. El AI Governance Committee se reuniría en 4 horas ante un incidente crítico. El MTTD para incidentes de IA es X horas (vs. Y horas hace 12 meses). En el último red teaming, el Attack Success Rate fue de X% (benchmark de la industria: Y%).</w:t>
            </w:r>
          </w:p>
        </w:tc>
      </w:tr>
      <w:tr>
        <w:tc>
          <w:tcPr>
            <w:tcW w:type="dxa" w:w="3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'¿Cuánto nos está costando el programa de gobernanza y cuál es el retorno?'</w:t>
            </w:r>
          </w:p>
        </w:tc>
        <w:tc>
          <w:tcPr>
            <w:tcW w:type="dxa" w:w="28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¿Estamos sobreinvirtiendo en compliance o hay un caso de negocio real?</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El programa de gobernanza de IA tiene un costo anual de X USD (0.3-0.5% del presupuesto de IA). El ROI calculado incluye: Y horas de analista SOC ahorradas por Security Copilot (= Z USD de eficiencia), reducción del tiempo de respuesta a incidentes (= A USD de costo evitado), prevención de X incidentes potenciales (estimado en B USD de costo evitado). El ROI neto del programa es de X:1.</w:t>
            </w:r>
          </w:p>
        </w:tc>
      </w:tr>
      <w:tr>
        <w:tc>
          <w:tcPr>
            <w:tcW w:type="dxa" w:w="32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'¿Qué están haciendo nuestros competidores? ¿Estamos detrás?'</w:t>
            </w:r>
          </w:p>
        </w:tc>
        <w:tc>
          <w:tcPr>
            <w:tcW w:type="dxa" w:w="28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¿Dónde estamos en el benchmarking de la industria? ¿Somos una empresa que puede usar el AI governance como diferencial?</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Estamos en el Nivel X del AI Governance Maturity Model (escala 1-5). Solo el 25% de las organizaciones tiene gobernanza comprehensiva de IA (nivel 3+). Estamos en ese percentil. Nuestro proveedor principal tiene la certificación ISO 42001 de IA más completa del mercado. En la región LATAM, somos uno de los pocos en implementar [X] controles específicos de privacidad de IA.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19.7 PLAN MAESTRO 2026-2030 — LA HOJA DE RUTA DEL CISO DE IA</w:t>
      </w:r>
    </w:p>
    <w:p>
      <w:pPr>
        <w:pBdr>
          <w:bottom w:val="single" w:color="BDD7EE"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PERÍODO</w:t>
            </w:r>
          </w:p>
        </w:tc>
        <w:tc>
          <w:tcPr>
            <w:tcW w:type="dxa" w:w="28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FOCO ESTRATÉGICO</w:t>
            </w:r>
          </w:p>
        </w:tc>
        <w:tc>
          <w:tcPr>
            <w:tcW w:type="dxa" w:w="28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HITOS PRINCIPALES</w:t>
            </w:r>
          </w:p>
        </w:tc>
        <w:tc>
          <w:tcPr>
            <w:tcW w:type="dxa" w:w="256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CONTEXTO EXTERNO</w:t>
            </w:r>
          </w:p>
        </w:tc>
      </w:tr>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3"/>
                <w:szCs w:val="13"/>
              </w:rPr>
              <w:t xml:space="preserve">2026 H1
(Ene-Jun)</w:t>
            </w:r>
          </w:p>
        </w:tc>
        <w:tc>
          <w:tcPr>
            <w:tcW w:type="dxa" w:w="2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Fundaciones del AIMS.
Nivel 2→3 de madurez.
Controles operacionales sobre M365 Copilot y agentes Copilot Studio.</w:t>
            </w:r>
          </w:p>
        </w:tc>
        <w:tc>
          <w:tcPr>
            <w:tcW w:type="dxa" w:w="2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AI Policy aprobada. AGC operativo. AI Inventory completo. Primer ciclo de red teaming. DPIAs críticos completados. Purview controles al 90%.</w:t>
            </w:r>
          </w:p>
        </w:tc>
        <w:tc>
          <w:tcPr>
            <w:tcW w:type="dxa" w:w="256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784212"/>
                <w:sz w:val="13"/>
                <w:szCs w:val="13"/>
              </w:rPr>
              <w:t xml:space="preserve">EU AI Act: primeras obligaciones de transparencia para GPAI providers en agosto 2025 — evaluación de impacto en la organización. Reforma Ley 25.326 en proceso legislativo Argentina.</w:t>
            </w:r>
          </w:p>
        </w:tc>
      </w:tr>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3"/>
                <w:szCs w:val="13"/>
              </w:rPr>
              <w:t xml:space="preserve">2026 H2
(Jul-Dic)</w:t>
            </w:r>
          </w:p>
        </w:tc>
        <w:tc>
          <w:tcPr>
            <w:tcW w:type="dxa" w:w="2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Formalización del sistema de gestión.
Nivel 3 estabilizado.
Preparación de Internal Audit ISO 42001.</w:t>
            </w:r>
          </w:p>
        </w:tc>
        <w:tc>
          <w:tcPr>
            <w:tcW w:type="dxa" w:w="2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First Internal Audit del AIMS completado. SoA borradora publicada. Risk Scorecard mensual activo. Training &gt;80% usuarios Copilot. Privacy Engineering implementada para casos de uso de alto riesgo.</w:t>
            </w:r>
          </w:p>
        </w:tc>
        <w:tc>
          <w:tcPr>
            <w:tcW w:type="dxa" w:w="256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784212"/>
                <w:sz w:val="13"/>
                <w:szCs w:val="13"/>
              </w:rPr>
              <w:t xml:space="preserve">EU AI Act: enforcement de GPAI desde agosto 2026. Autoridades supervisoras comenzarán primeras inspecciones a empresas que usan IA en decisiones significativas. Argentina: probable aprobación de nueva ley de protección de datos.</w:t>
            </w:r>
          </w:p>
        </w:tc>
      </w:tr>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3"/>
                <w:szCs w:val="13"/>
              </w:rPr>
              <w:t xml:space="preserve">2027
(Año 2)</w:t>
            </w:r>
          </w:p>
        </w:tc>
        <w:tc>
          <w:tcPr>
            <w:tcW w:type="dxa" w:w="2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Madurez avanzada.
Nivel 3→4.
Privacy Engineering y XAI para modelos propios.
Preparación de certificación ISO 42001.</w:t>
            </w:r>
          </w:p>
        </w:tc>
        <w:tc>
          <w:tcPr>
            <w:tcW w:type="dxa" w:w="2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Certificación ISO 42001 obtenida (si mercado lo requiere). Differential Privacy en pipeline de fine-tuning. Model Cards para todos los sistemas propios. Programa de evaluación de sesgo semestral activo. AI Trust Report interno publicado.</w:t>
            </w:r>
          </w:p>
        </w:tc>
        <w:tc>
          <w:tcPr>
            <w:tcW w:type="dxa" w:w="256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784212"/>
                <w:sz w:val="13"/>
                <w:szCs w:val="13"/>
              </w:rPr>
              <w:t xml:space="preserve">EU AI Act: sistemas de IA de alto riesgo en mercados regulados (financiero, RRHH) con obligaciones plenas. Reguladores LATAM comenzando primeras acciones de enforcement. Mercado de certificaciones ISO 42001 madurando (diferenciador en RFPs enterprise).</w:t>
            </w:r>
          </w:p>
        </w:tc>
      </w:tr>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3"/>
                <w:szCs w:val="13"/>
              </w:rPr>
              <w:t xml:space="preserve">2028-2029
(Años 3-4)</w:t>
            </w:r>
          </w:p>
        </w:tc>
        <w:tc>
          <w:tcPr>
            <w:tcW w:type="dxa" w:w="2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Liderazgo y excelencia.
Nivel 4→5.
AI agéntica segura a escala.
PQC migration iniciada.</w:t>
            </w:r>
          </w:p>
        </w:tc>
        <w:tc>
          <w:tcPr>
            <w:tcW w:type="dxa" w:w="2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Programa PQC Migration Assessment completado para sistemas críticos. Framework de gobernanza de agentes autónomos implementado. AI Ethics Advisory Panel externo constituido. Benchmarking sectorial LATAM activo. AI Trust Report externo publicado.</w:t>
            </w:r>
          </w:p>
        </w:tc>
        <w:tc>
          <w:tcPr>
            <w:tcW w:type="dxa" w:w="256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784212"/>
                <w:sz w:val="13"/>
                <w:szCs w:val="13"/>
              </w:rPr>
              <w:t xml:space="preserve">IA agéntica autónoma mainstream en enterprise. Primeros sistemas de IA con capacidades de razonamiento avanzado (post-GPT-5 era). Regulación de IA agéntica comenzando en la UE. PQC standards NIST completamente definidos y comenzando adopción masiva.</w:t>
            </w:r>
          </w:p>
        </w:tc>
      </w:tr>
      <w:tr>
        <w:tc>
          <w:tcPr>
            <w:tcW w:type="dxa" w:w="12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top"/>
          </w:tcPr>
          <w:p>
            <w:pPr>
              <w:jc w:val="center"/>
            </w:pPr>
            <w:r>
              <w:rPr>
                <w:rFonts w:ascii="Arial" w:cs="Arial" w:eastAsia="Arial" w:hAnsi="Arial"/>
                <w:b/>
                <w:bCs/>
                <w:color w:val="FFFFFF"/>
                <w:sz w:val="13"/>
                <w:szCs w:val="13"/>
              </w:rPr>
              <w:t xml:space="preserve">2030
(Año 5)</w:t>
            </w:r>
          </w:p>
        </w:tc>
        <w:tc>
          <w:tcPr>
            <w:tcW w:type="dxa" w:w="28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CISO como Arquitecto de Confianza Digital.
Nivel 5.
Gobernanza predictiva.
Contribución a estándares globales.</w:t>
            </w:r>
          </w:p>
        </w:tc>
        <w:tc>
          <w:tcPr>
            <w:tcW w:type="dxa" w:w="28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AIMS certificado y maduro. AI governance como ventaja competitiva documentada. Contribución activa a estándares sectoriales de LATAM. El CISO es referente regional en AI governance responsable. Programa de AI literacy completo en toda la organización.</w:t>
            </w:r>
          </w:p>
        </w:tc>
        <w:tc>
          <w:tcPr>
            <w:tcW w:type="dxa" w:w="256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784212"/>
                <w:sz w:val="13"/>
                <w:szCs w:val="13"/>
              </w:rPr>
              <w:t xml:space="preserve">Sistemas AGI precursores comienzan a surgir. Regulación de IA a nivel de la ONU bajo discusión. Post-cuántica como estándar de hecho. El CISO de 2030 gestiona riesgos que en 2026 eran ciencia ficción — el AIMS de hoy es la base para navegar esa realidad.</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19.8 EPÍLOGO: EL CISO COMO ARQUITECTO DE CONFIANZA DIGITAL</w:t>
      </w:r>
    </w:p>
    <w:p>
      <w:pPr>
        <w:pBdr>
          <w:bottom w:val="single" w:color="BDD7EE" w:sz="4"/>
        </w:pBdr>
        <w:spacing w:before="80" w:after="80"/>
      </w:pPr>
    </w:p>
    <w:p>
      <w:pPr>
        <w:spacing w:before="60" w:after="100"/>
      </w:pPr>
      <w:r>
        <w:rPr>
          <w:rFonts w:ascii="Arial" w:cs="Arial" w:eastAsia="Arial" w:hAnsi="Arial"/>
          <w:color w:val="1A1A2E"/>
          <w:sz w:val="20"/>
          <w:szCs w:val="20"/>
        </w:rPr>
        <w:t xml:space="preserve">Este proyecto comenzó con 16 proveedores de inteligencia artificial y 19 preguntas sobre ética, riesgo, y gobernanza. Termina con una convicción más profunda: la función del CISO en 2026 está siendo redefinida no solo por las amenazas que gestiona, sino por la tecnología que habilita.</w:t>
      </w:r>
    </w:p>
    <w:p>
      <w:pPr>
        <w:spacing w:before="60" w:after="100"/>
      </w:pPr>
      <w:r>
        <w:rPr>
          <w:rFonts w:ascii="Arial" w:cs="Arial" w:eastAsia="Arial" w:hAnsi="Arial"/>
          <w:color w:val="1A1A2E"/>
          <w:sz w:val="20"/>
          <w:szCs w:val="20"/>
        </w:rPr>
        <w:t xml:space="preserve">La IA generativa no es solo una herramienta de ataque ni solo una herramienta de defensa. Es una tecnología fundacional que altera la naturaleza del trabajo, la naturaleza de las decisiones, y la naturaleza de la confianza. Cuando un empleado le pregunta a Copilot cómo responder a un cliente difícil, o cuando un sistema de RRHH usa un modelo para priorizar candidatos, o cuando un analista de riesgo delega en un LLM la síntesis de un portafolio de crédito — en esos momentos, la organización está comprometiendo su integridad con la calidad de su gobernanza de IA.</w:t>
      </w:r>
    </w:p>
    <w:p>
      <w:pPr>
        <w:spacing w:before="60" w:after="100"/>
      </w:pPr>
      <w:r>
        <w:rPr>
          <w:rFonts w:ascii="Arial" w:cs="Arial" w:eastAsia="Arial" w:hAnsi="Arial"/>
          <w:color w:val="1A1A2E"/>
          <w:sz w:val="20"/>
          <w:szCs w:val="20"/>
        </w:rPr>
        <w:t xml:space="preserve">El CISO es la persona en la organización mejor posicionada para ser el Arquitecto de Confianza Digital en esa encrucijada. No porque la gobernanza de IA sea solo un problema de seguridad — claramente no lo es. Sino porque el CISO tiene la disciplina de gestión de riesgos, la credibilidad ante el Board, el acceso a la infraestructura técnica, y la responsabilidad de pensar sistemáticamente sobre lo que puede salir mal cuando las organizaciones confían demasiado, o muy poco, en los sistemas que construyen.</w:t>
      </w:r>
    </w:p>
    <w:p>
      <w:pPr>
        <w:spacing w:before="60" w:after="100"/>
      </w:pPr>
      <w:r>
        <w:rPr>
          <w:rFonts w:ascii="Arial" w:cs="Arial" w:eastAsia="Arial" w:hAnsi="Arial"/>
          <w:color w:val="1A1A2E"/>
          <w:sz w:val="20"/>
          <w:szCs w:val="20"/>
        </w:rPr>
        <w:t xml:space="preserve">Las 19 fases de este proyecto son un mapa, no un destino. La velocidad de cambio del ecosistema de IA garantiza que algunos de los controles más relevantes de hoy sean insuficientes en 2028, y que algunos de los riesgos más críticos de 2030 aún no tienen nombre. Pero el CISO que construye las fundaciones correctas hoy — el AI Governance Committee, el AIMS bajo ISO 42001, el programa de red teaming, la cultura de IA responsable — tiene la plataforma para adaptarse a lo que venga.</w:t>
      </w:r>
    </w:p>
    <w:p>
      <w:pPr>
        <w:spacing w:before="30" w:after="30"/>
      </w:pPr>
      <w:r>
        <w:t xml:space="preserve"/>
      </w:r>
    </w:p>
    <w:p>
      <w:pPr>
        <w:shd w:fill="E8EAF6" w:val="clear"/>
        <w:spacing w:before="120" w:after="120"/>
        <w:ind w:left="560" w:right="560"/>
        <w:jc w:val="center"/>
      </w:pPr>
      <w:r>
        <w:rPr>
          <w:rFonts w:ascii="Arial" w:cs="Arial" w:eastAsia="Arial" w:hAnsi="Arial"/>
          <w:b/>
          <w:bCs/>
          <w:color w:val="1A237E"/>
          <w:sz w:val="20"/>
          <w:szCs w:val="20"/>
        </w:rPr>
        <w:t xml:space="preserve">"La confianza no se declara. Se construye, se mide, se defiende, y se gana de nuevo en cada interacción. El programa de gobernanza de IA responsable es la infraestructura de esa confianza."</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19.9 REFERENCIAS FINALES (R451–R480)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AI Governance Maturity y KPIs:</w:t>
      </w:r>
    </w:p>
    <w:p>
      <w:pPr>
        <w:spacing w:before="30" w:after="40"/>
      </w:pPr>
      <w:r>
        <w:rPr>
          <w:rFonts w:ascii="Arial" w:cs="Arial" w:eastAsia="Arial" w:hAnsi="Arial"/>
          <w:color w:val="1A1A2E"/>
          <w:sz w:val="17"/>
          <w:szCs w:val="17"/>
        </w:rPr>
        <w:t xml:space="preserve">R451. Cloud Security Alliance (CSA), 'AI Security Governance Report 2025', diciembre 2025. Solo 25% de organizaciones tiene AI security governance comprehensiva. 72% no tiene confianza o es neutral en capacidad de asegurar sistemas de IA. Governance maturity = principal diferenciador de preparación. Sensitive data exposure: principal preocupación de AI security. Barreras: dificultad entendiendo riesgos de IA y limitada expertise del staff.</w:t>
      </w:r>
    </w:p>
    <w:p>
      <w:pPr>
        <w:spacing w:before="30" w:after="40"/>
      </w:pPr>
      <w:r>
        <w:rPr>
          <w:rFonts w:ascii="Arial" w:cs="Arial" w:eastAsia="Arial" w:hAnsi="Arial"/>
          <w:color w:val="1A1A2E"/>
          <w:sz w:val="17"/>
          <w:szCs w:val="17"/>
        </w:rPr>
        <w:t xml:space="preserve">R452. Pacific AI, 'AI Governance Survey 2025'. 75% de organizaciones tiene políticas de uso de IA. Solo 36% tiene framework formal de gobernanza. Gap entre política y sistema: roles, controles, monitoring y enforcement ausentes. La madurez de gobernanza todavía está muy por detrás de la adopción.</w:t>
      </w:r>
    </w:p>
    <w:p>
      <w:pPr>
        <w:spacing w:before="30" w:after="40"/>
      </w:pPr>
      <w:r>
        <w:rPr>
          <w:rFonts w:ascii="Arial" w:cs="Arial" w:eastAsia="Arial" w:hAnsi="Arial"/>
          <w:color w:val="1A1A2E"/>
          <w:sz w:val="17"/>
          <w:szCs w:val="17"/>
        </w:rPr>
        <w:t xml:space="preserve">R453. Knostic, 'The 20 Biggest AI Governance Statistics and Trends of 2025', noviembre 2025. NACD 2025: 62% de boards tienen discusiones regulares de IA, pero solo 27% formalizaron AI governance en sus charters. Gartner 2025 (1,800+ ejecutivos): 55% de organizaciones tienen un AI board o comité de oversight. 80% de enterprises tienen 50+ casos de uso de GenAI en pipeline pero mayoría solo con pocos en producción. McKinsey: rastrear KPIs de IA explícitos correlaciona más fuertemente con impacto a largo plazo.</w:t>
      </w:r>
    </w:p>
    <w:p>
      <w:pPr>
        <w:spacing w:before="30" w:after="40"/>
      </w:pPr>
      <w:r>
        <w:rPr>
          <w:rFonts w:ascii="Arial" w:cs="Arial" w:eastAsia="Arial" w:hAnsi="Arial"/>
          <w:color w:val="1A1A2E"/>
          <w:sz w:val="17"/>
          <w:szCs w:val="17"/>
        </w:rPr>
        <w:t xml:space="preserve">R454. Liminal AI, 'Enterprise AI Governance: Complete Implementation Guide 2025'. Maturity Levels 1-5: Ad-hoc, Initial, Defined, Managed, Optimizing. Costo: 0.5-1% de AI tech spend para setup inicial, 0.3-0.5% ongoing. AI Governance Committee: función quarterly, aprueba políticas, revisa casos de uso alto riesgo, monitorea KPIs, asigna recursos. Tiempo para alcanzar Nivel 3-4: 12-24 meses.</w:t>
      </w:r>
    </w:p>
    <w:p>
      <w:pPr>
        <w:spacing w:before="30" w:after="40"/>
      </w:pPr>
      <w:r>
        <w:rPr>
          <w:rFonts w:ascii="Arial" w:cs="Arial" w:eastAsia="Arial" w:hAnsi="Arial"/>
          <w:color w:val="1A1A2E"/>
          <w:sz w:val="17"/>
          <w:szCs w:val="17"/>
        </w:rPr>
        <w:t xml:space="preserve">R455. ModelOp, '2025 AI Governance Benchmark Report'. 80% de enterprises tienen 50+ casos de uso GenAI en pipeline pero mayoría solo en piloto. 56% dicen toma 6-18 meses mover proyecto GenAI de intake a producción. 44% dicen proceso de governance es demasiado lento. 24% dice es abrumador. 58% citan sistemas desconectados como principal bloqueador.</w:t>
      </w:r>
    </w:p>
    <w:p>
      <w:pPr>
        <w:spacing w:before="30" w:after="40"/>
      </w:pPr>
      <w:r>
        <w:rPr>
          <w:rFonts w:ascii="Arial" w:cs="Arial" w:eastAsia="Arial" w:hAnsi="Arial"/>
          <w:color w:val="1A1A2E"/>
          <w:sz w:val="17"/>
          <w:szCs w:val="17"/>
        </w:rPr>
        <w:t xml:space="preserve">R456. Dataversity, 'Building a Practical Framework for AI Governance Maturity in the Enterprise', noviembre 2025. Governance maturity = agility con assurance — el sistema predecible permite mayor velocidad de innovación responsable. Dashboards y KPIs como instrumentos de mejora continua, no de compliance estático.</w:t>
      </w:r>
    </w:p>
    <w:p>
      <w:pPr>
        <w:spacing w:before="30" w:after="40"/>
      </w:pPr>
      <w:r>
        <w:rPr>
          <w:rFonts w:ascii="Arial" w:cs="Arial" w:eastAsia="Arial" w:hAnsi="Arial"/>
          <w:color w:val="1A1A2E"/>
          <w:sz w:val="17"/>
          <w:szCs w:val="17"/>
        </w:rPr>
        <w:t xml:space="preserve">R457. California Management Review (Berkeley Haas), 'AI Governance Maturity Matrix: A Roadmap for Smarter Boards', mayo 2025. Solo 14% de boards discuten IA regularmente (Deloitte). Solo 13% de S&amp;P 500 tienen directores con expertise en IA. Tres estadios: Reactive, Proactive, Transformative. Reactive: boards se enteran de proyectos de IA cuando producen éxito espectacular o falla notable. Transformative: IA inseparable de visión estratégica.</w:t>
      </w:r>
    </w:p>
    <w:p>
      <w:pPr>
        <w:spacing w:before="30" w:after="40"/>
      </w:pPr>
      <w:r>
        <w:rPr>
          <w:rFonts w:ascii="Arial" w:cs="Arial" w:eastAsia="Arial" w:hAnsi="Arial"/>
          <w:color w:val="1A1A2E"/>
          <w:sz w:val="17"/>
          <w:szCs w:val="17"/>
        </w:rPr>
        <w:t xml:space="preserve">R458. Gartner, 'AI Maturity Model Toolkit 2025'. Siete pilares de madurez: strategy, product, governance, engineering, data, operating models, culture. Scoring 1-5 por pilar. Gap analysis para priorización. Integración de AI maturity con enterprise risk management.</w:t>
      </w:r>
    </w:p>
    <w:p>
      <w:pPr>
        <w:spacing w:before="30" w:after="40"/>
      </w:pPr>
      <w:r>
        <w:rPr>
          <w:rFonts w:ascii="Arial" w:cs="Arial" w:eastAsia="Arial" w:hAnsi="Arial"/>
          <w:color w:val="1A1A2E"/>
          <w:sz w:val="17"/>
          <w:szCs w:val="17"/>
        </w:rPr>
        <w:t xml:space="preserve">R459. TrustCloud, 'The 2025 CISOs Guide to AI Governance'. Checklist CISO: AI Governance Committee cross-funcional, AI Usage Policy, monitoreo y auditoría de uso de IA, formal AI tool approval process, employee training, AI risk assessments, internal AI controls. 'Governance is no longer optional.'</w:t>
      </w:r>
    </w:p>
    <w:p>
      <w:pPr>
        <w:spacing w:before="30" w:after="40"/>
      </w:pPr>
      <w:r>
        <w:rPr>
          <w:rFonts w:ascii="Arial" w:cs="Arial" w:eastAsia="Arial" w:hAnsi="Arial"/>
          <w:color w:val="1A1A2E"/>
          <w:sz w:val="17"/>
          <w:szCs w:val="17"/>
        </w:rPr>
        <w:t xml:space="preserve">R460. Security Boulevard, 'CSA Study: Mature AI Governance Translates Into Responsible AI Adoption', diciembre 2025. Nicole Carignan (Darktrace): 'Day-to-day AI safety comes from disciplined oversight that reduces unnecessary risk and prevents harm.' Diane Kelley (Noma Security): 'cada organización debe personalizar sus políticas de IA basándose en su perfil de riesgo único.' Executive leadership para AI governance es esencial independientemente de si se construye o adopta IA externamente.</w:t>
      </w:r>
    </w:p>
    <w:p>
      <w:pPr>
        <w:spacing w:before="30" w:after="30"/>
      </w:pPr>
      <w:r>
        <w:t xml:space="preserve"/>
      </w:r>
    </w:p>
    <w:p>
      <w:pPr>
        <w:spacing w:before="60" w:after="100"/>
      </w:pPr>
      <w:r>
        <w:rPr>
          <w:rFonts w:ascii="Arial" w:cs="Arial" w:eastAsia="Arial" w:hAnsi="Arial"/>
          <w:b/>
          <w:bCs/>
          <w:color w:val="1A1A2E"/>
          <w:sz w:val="20"/>
          <w:szCs w:val="20"/>
        </w:rPr>
        <w:t xml:space="preserve">Ranking y Due Diligence de Proveedores:</w:t>
      </w:r>
    </w:p>
    <w:p>
      <w:pPr>
        <w:spacing w:before="30" w:after="40"/>
      </w:pPr>
      <w:r>
        <w:rPr>
          <w:rFonts w:ascii="Arial" w:cs="Arial" w:eastAsia="Arial" w:hAnsi="Arial"/>
          <w:color w:val="1A1A2E"/>
          <w:sz w:val="17"/>
          <w:szCs w:val="17"/>
        </w:rPr>
        <w:t xml:space="preserve">R461. Microsoft, 'Responsible AI Principles and Approach 2025-2026'. Seis principios: Fairness, Reliability &amp; Safety, Privacy &amp; Security, Inclusiveness, Transparency, Accountability. Responsible AI Standard v2. ISO 42001 para M365 Copilot certificado. Copilot Copyright Commitment. Azure AI Content Safety, Responsible AI Dashboard, Fairlearn, Presidio, PyRIT.</w:t>
      </w:r>
    </w:p>
    <w:p>
      <w:pPr>
        <w:spacing w:before="30" w:after="40"/>
      </w:pPr>
      <w:r>
        <w:rPr>
          <w:rFonts w:ascii="Arial" w:cs="Arial" w:eastAsia="Arial" w:hAnsi="Arial"/>
          <w:color w:val="1A1A2E"/>
          <w:sz w:val="17"/>
          <w:szCs w:val="17"/>
        </w:rPr>
        <w:t xml:space="preserve">R462. Google DeepMind, 'Responsibility and Safety at Google 2025'. AI Principles (publicados 2018, actualizados). GPAI model documentation. Vertex AI: enterprise AI platform con controles de gobernanza. Gemini safety evaluations. Google AI Safety Benchmarks publicados.</w:t>
      </w:r>
    </w:p>
    <w:p>
      <w:pPr>
        <w:spacing w:before="30" w:after="40"/>
      </w:pPr>
      <w:r>
        <w:rPr>
          <w:rFonts w:ascii="Arial" w:cs="Arial" w:eastAsia="Arial" w:hAnsi="Arial"/>
          <w:color w:val="1A1A2E"/>
          <w:sz w:val="17"/>
          <w:szCs w:val="17"/>
        </w:rPr>
        <w:t xml:space="preserve">R463. Anthropic, 'Constitutional AI and Responsible Scaling Policy 2025'. Constitutional AI (F1-F4): el enfoque filosófico más sofisticado del mercado para alignment. Responsible Scaling Policy: commitments sobre capacidades peligrosas. Claude's Character y valores documentados. Transparencia sobre limitaciones y sesgos conocidos.</w:t>
      </w:r>
    </w:p>
    <w:p>
      <w:pPr>
        <w:spacing w:before="30" w:after="40"/>
      </w:pPr>
      <w:r>
        <w:rPr>
          <w:rFonts w:ascii="Arial" w:cs="Arial" w:eastAsia="Arial" w:hAnsi="Arial"/>
          <w:color w:val="1A1A2E"/>
          <w:sz w:val="17"/>
          <w:szCs w:val="17"/>
        </w:rPr>
        <w:t xml:space="preserve">R464. IBM, 'IBM AI Ethics Board and WatsonX Governance 2025'. AI Ethics Board establecido. AI Fairness 360 (AIF360): open-source toolkit para bias detection. WatsonX Governance: herramienta enterprise de gobernanza de IA con dashboard integrado. FactSheets para modelos (equivalente a Model Cards).</w:t>
      </w:r>
    </w:p>
    <w:p>
      <w:pPr>
        <w:spacing w:before="30" w:after="40"/>
      </w:pPr>
      <w:r>
        <w:rPr>
          <w:rFonts w:ascii="Arial" w:cs="Arial" w:eastAsia="Arial" w:hAnsi="Arial"/>
          <w:color w:val="1A1A2E"/>
          <w:sz w:val="17"/>
          <w:szCs w:val="17"/>
        </w:rPr>
        <w:t xml:space="preserve">R465. AWS, 'Responsible Use of Machine Learning — Amazon Bedrock Governance 2025'. Bedrock Guardrails: controles configurables para LLMs. Model Evaluation en Bedrock. Data Privacy commitments. SOC 2 Type II, ISO 27001, ISO 27701 certificaciones relevantes para enterprise.</w:t>
      </w:r>
    </w:p>
    <w:p>
      <w:pPr>
        <w:spacing w:before="30" w:after="30"/>
      </w:pPr>
      <w:r>
        <w:t xml:space="preserve"/>
      </w:r>
    </w:p>
    <w:p>
      <w:pPr>
        <w:spacing w:before="60" w:after="100"/>
      </w:pPr>
      <w:r>
        <w:rPr>
          <w:rFonts w:ascii="Arial" w:cs="Arial" w:eastAsia="Arial" w:hAnsi="Arial"/>
          <w:b/>
          <w:bCs/>
          <w:color w:val="1A1A2E"/>
          <w:sz w:val="20"/>
          <w:szCs w:val="20"/>
        </w:rPr>
        <w:t xml:space="preserve">Plan Maestro 2026-2030 — Contexto Estratégico:</w:t>
      </w:r>
    </w:p>
    <w:p>
      <w:pPr>
        <w:spacing w:before="30" w:after="40"/>
      </w:pPr>
      <w:r>
        <w:rPr>
          <w:rFonts w:ascii="Arial" w:cs="Arial" w:eastAsia="Arial" w:hAnsi="Arial"/>
          <w:color w:val="1A1A2E"/>
          <w:sz w:val="17"/>
          <w:szCs w:val="17"/>
        </w:rPr>
        <w:t xml:space="preserve">R466. NIST, 'Post-Quantum Cryptography Standards 2024'. CRYSTALS-Kyber (ML-KEM), CRYSTALS-Dilithium (ML-DSA), SPHINCS+ (SLH-DSA): estándares PQC publicados agosto 2024. Migración recomendada comenzar 2025-2026 para sistemas críticos. 'Harvest now, decrypt later': amenaza presente incluso antes de computadoras cuánticas prácticas.</w:t>
      </w:r>
    </w:p>
    <w:p>
      <w:pPr>
        <w:spacing w:before="30" w:after="40"/>
      </w:pPr>
      <w:r>
        <w:rPr>
          <w:rFonts w:ascii="Arial" w:cs="Arial" w:eastAsia="Arial" w:hAnsi="Arial"/>
          <w:color w:val="1A1A2E"/>
          <w:sz w:val="17"/>
          <w:szCs w:val="17"/>
        </w:rPr>
        <w:t xml:space="preserve">R467. Microsoft, 'Agentic AI and Copilot Studio Security Framework 2025'. AI agents: 1.3 billion proyectados para 2028. Human-in-the-loop requirements para acciones de alto impacto. Agent-to-agent interaction governance. Purview: governance para AI Agent 365 con audit de interacciones agent-to-human, human-to-agent, agent-to-tools.</w:t>
      </w:r>
    </w:p>
    <w:p>
      <w:pPr>
        <w:spacing w:before="30" w:after="40"/>
      </w:pPr>
      <w:r>
        <w:rPr>
          <w:rFonts w:ascii="Arial" w:cs="Arial" w:eastAsia="Arial" w:hAnsi="Arial"/>
          <w:color w:val="1A1A2E"/>
          <w:sz w:val="17"/>
          <w:szCs w:val="17"/>
        </w:rPr>
        <w:t xml:space="preserve">R468. EU AI Office, 'AI Act Enforcement Timeline 2025-2027'. Agosto 2024: AI Act en vigor. Febrero 2025: prohibiciones de sistemas de IA inaceptables. Agosto 2025: obligations para GPAI providers. Agosto 2026: enforcement completo sistemas alto riesgo. Agosto 2027: sistemas existentes (pre-agosto 2025) deben cumplir.</w:t>
      </w:r>
    </w:p>
    <w:p>
      <w:pPr>
        <w:spacing w:before="30" w:after="40"/>
      </w:pPr>
      <w:r>
        <w:rPr>
          <w:rFonts w:ascii="Arial" w:cs="Arial" w:eastAsia="Arial" w:hAnsi="Arial"/>
          <w:color w:val="1A1A2E"/>
          <w:sz w:val="17"/>
          <w:szCs w:val="17"/>
        </w:rPr>
        <w:t xml:space="preserve">R469. McKinsey Global Institute, 'The State of AI 2025: Enterprise Adoption and Governance'. Organizaciones que rastrean KPIs explícitos de GenAI muestran mayor ROI y mejor gestión de riesgos. Revenue aumenta en mayoría de BUs con GenAI (51-70%). EBIT contribution modesta — adoption ha superado monetización y gobernanza. Governance maturity = leading indicator de escala sostenible.</w:t>
      </w:r>
    </w:p>
    <w:p>
      <w:pPr>
        <w:spacing w:before="30" w:after="40"/>
      </w:pPr>
      <w:r>
        <w:rPr>
          <w:rFonts w:ascii="Arial" w:cs="Arial" w:eastAsia="Arial" w:hAnsi="Arial"/>
          <w:color w:val="1A1A2E"/>
          <w:sz w:val="17"/>
          <w:szCs w:val="17"/>
        </w:rPr>
        <w:t xml:space="preserve">R470. OECD, 'AI Regulation and Policy Developments in Latin America 2025'. Progreso legislativo en Argentina (reforma Ley 25.326), Chile (Ley Marco de IA en discusión), Brasil (Lei de IA en Senado). Convergencia hacia principios OECD en todos los marcos regulatorios LATAM. Extraterritorialidad del EU AI Act: organizaciones LATAM que sirven mercado europeo.</w:t>
      </w:r>
    </w:p>
    <w:p>
      <w:pPr>
        <w:spacing w:before="30" w:after="40"/>
      </w:pPr>
      <w:r>
        <w:rPr>
          <w:rFonts w:ascii="Arial" w:cs="Arial" w:eastAsia="Arial" w:hAnsi="Arial"/>
          <w:color w:val="1A1A2E"/>
          <w:sz w:val="17"/>
          <w:szCs w:val="17"/>
        </w:rPr>
        <w:t xml:space="preserve">R471. World Economic Forum, 'AI Governance Alliance 2025 Report'. AI governance como diferenciador competitivo y driver de confianza de stakeholders. Organizaciones con certificaciones de IA responsable muestran mejor performance en auditorías de clientes enterprise. El 'Brussels Effect' de la regulación de IA: estándares europeos adoptados globalmente.</w:t>
      </w:r>
    </w:p>
    <w:p>
      <w:pPr>
        <w:spacing w:before="30" w:after="30"/>
      </w:pPr>
      <w:r>
        <w:t xml:space="preserve"/>
      </w:r>
    </w:p>
    <w:p>
      <w:pPr>
        <w:spacing w:before="60" w:after="100"/>
      </w:pPr>
      <w:r>
        <w:rPr>
          <w:rFonts w:ascii="Arial" w:cs="Arial" w:eastAsia="Arial" w:hAnsi="Arial"/>
          <w:b/>
          <w:bCs/>
          <w:color w:val="1A1A2E"/>
          <w:sz w:val="20"/>
          <w:szCs w:val="20"/>
        </w:rPr>
        <w:t xml:space="preserve">Síntesis del Proyecto — Referencias Crossover:</w:t>
      </w:r>
    </w:p>
    <w:p>
      <w:pPr>
        <w:spacing w:before="30" w:after="40"/>
      </w:pPr>
      <w:r>
        <w:rPr>
          <w:rFonts w:ascii="Arial" w:cs="Arial" w:eastAsia="Arial" w:hAnsi="Arial"/>
          <w:color w:val="1A1A2E"/>
          <w:sz w:val="17"/>
          <w:szCs w:val="17"/>
        </w:rPr>
        <w:t xml:space="preserve">R472. Síntesis interna F1-F19: el framework completo de due diligence, gobernanza, justificación financiera, defensa de ciberseguridad aumentada por IA, compliance regulatorio LATAM, horizonte estratégico 2030, red teaming adversarial, seguridad de supply chain de IA, privacy engineering, explicabilidad, y gobernanza certificable. 19 fases, 480 referencias, 16 proveedores.</w:t>
      </w:r>
    </w:p>
    <w:p>
      <w:pPr>
        <w:spacing w:before="30" w:after="40"/>
      </w:pPr>
      <w:r>
        <w:rPr>
          <w:rFonts w:ascii="Arial" w:cs="Arial" w:eastAsia="Arial" w:hAnsi="Arial"/>
          <w:color w:val="1A1A2E"/>
          <w:sz w:val="17"/>
          <w:szCs w:val="17"/>
        </w:rPr>
        <w:t xml:space="preserve">R473. ISACA, 'AI Trust, Risk, and Security Management (AI TRiSM) 2025'. Framework complementario al AI RMF: confianza, riesgo y gestión de seguridad de IA como disciplina integrada. Complementa ISO 42001 con perspectiva de gestión de riesgos enterprise. Adopción creciente en organizaciones financieras de LATAM.</w:t>
      </w:r>
    </w:p>
    <w:p>
      <w:pPr>
        <w:spacing w:before="30" w:after="40"/>
      </w:pPr>
      <w:r>
        <w:rPr>
          <w:rFonts w:ascii="Arial" w:cs="Arial" w:eastAsia="Arial" w:hAnsi="Arial"/>
          <w:color w:val="1A1A2E"/>
          <w:sz w:val="17"/>
          <w:szCs w:val="17"/>
        </w:rPr>
        <w:t xml:space="preserve">R474. Gartner, 'Top Strategic Technology Trends 2026'. AI TRiSM (Trust, Risk, Security Management) como una de las 10 tendencias estratégicas. Las organizaciones que no implementan AI TRiSM verán sus proyectos de IA fallar en producción por riesgos no gestionados, no por limitaciones técnicas.</w:t>
      </w:r>
    </w:p>
    <w:p>
      <w:pPr>
        <w:spacing w:before="30" w:after="40"/>
      </w:pPr>
      <w:r>
        <w:rPr>
          <w:rFonts w:ascii="Arial" w:cs="Arial" w:eastAsia="Arial" w:hAnsi="Arial"/>
          <w:color w:val="1A1A2E"/>
          <w:sz w:val="17"/>
          <w:szCs w:val="17"/>
        </w:rPr>
        <w:t xml:space="preserve">R475. Forrester, 'The State of AI Security 2025'. El CISO es el rol más adecuado para liderar el AI governance en el 67% de organizaciones surveyed. La función de AI governance migra de los equipos de ética y sostenibilidad hacia la oficina del CISO conforme los riesgos se vuelven operacionales. CISOs que entienden AI governance se convierten en strategic advisors al CEO.</w:t>
      </w:r>
    </w:p>
    <w:p>
      <w:pPr>
        <w:spacing w:before="30" w:after="40"/>
      </w:pPr>
      <w:r>
        <w:rPr>
          <w:rFonts w:ascii="Arial" w:cs="Arial" w:eastAsia="Arial" w:hAnsi="Arial"/>
          <w:color w:val="1A1A2E"/>
          <w:sz w:val="17"/>
          <w:szCs w:val="17"/>
        </w:rPr>
        <w:t xml:space="preserve">R476. Carnegie Mellon University SEI, 'AI Software Engineering for Enterprise 2025'. SDLC para sistemas de IA: los 'gates' de gobernanza en el pipeline de desarrollo. Integration testing para sistemas con componentes de LLM. Monitoring de behavioral drift post-deployment. Decommissioning checklists para sistemas de IA.</w:t>
      </w:r>
    </w:p>
    <w:p>
      <w:pPr>
        <w:spacing w:before="30" w:after="40"/>
      </w:pPr>
      <w:r>
        <w:rPr>
          <w:rFonts w:ascii="Arial" w:cs="Arial" w:eastAsia="Arial" w:hAnsi="Arial"/>
          <w:color w:val="1A1A2E"/>
          <w:sz w:val="17"/>
          <w:szCs w:val="17"/>
        </w:rPr>
        <w:t xml:space="preserve">R477. SANS Institute, 'AI Security Awareness Training Guide 2025'. Training para usuarios de LLMs enterprise: qué constituye un prompt de alto riesgo, cómo clasificar la sensibilidad de una consulta antes de ingresarla al LLM, qué hacer cuando el LLM genera un output inesperado o potencialmente dañino. Métricas de efectividad del training: reducción de PII en prompts.</w:t>
      </w:r>
    </w:p>
    <w:p>
      <w:pPr>
        <w:spacing w:before="30" w:after="40"/>
      </w:pPr>
      <w:r>
        <w:rPr>
          <w:rFonts w:ascii="Arial" w:cs="Arial" w:eastAsia="Arial" w:hAnsi="Arial"/>
          <w:color w:val="1A1A2E"/>
          <w:sz w:val="17"/>
          <w:szCs w:val="17"/>
        </w:rPr>
        <w:t xml:space="preserve">R478. Harvard Business Review, 'The CISO of 2030: From Gatekeeper to Strategic Enabler', enero 2026. El CISO de 2030 gestiona la confianza digital de la organización — no solo la seguridad. AI governance, privacidad de datos, integridad de algoritmos, y reputación digital son parte integral del rol. Las organizaciones con CISOs que entienden estas dimensiones estratégicas tienen ventaja competitiva medible.</w:t>
      </w:r>
    </w:p>
    <w:p>
      <w:pPr>
        <w:spacing w:before="30" w:after="40"/>
      </w:pPr>
      <w:r>
        <w:rPr>
          <w:rFonts w:ascii="Arial" w:cs="Arial" w:eastAsia="Arial" w:hAnsi="Arial"/>
          <w:color w:val="1A1A2E"/>
          <w:sz w:val="17"/>
          <w:szCs w:val="17"/>
        </w:rPr>
        <w:t xml:space="preserve">R479. IEEE, 'Ethically Aligned Design — A Vision for Prioritizing Human Wellbeing with AI 2024'. Framework de diseño ético para sistemas de IA del IEEE. Principios: bien general, no maleficencia, autonomía, justicia, transparencia. Complementa ISO 42001 con perspectiva de engineering ethics. Referencia para el AI Ethics Advisory Panel.</w:t>
      </w:r>
    </w:p>
    <w:p>
      <w:pPr>
        <w:spacing w:before="30" w:after="40"/>
      </w:pPr>
      <w:r>
        <w:rPr>
          <w:rFonts w:ascii="Arial" w:cs="Arial" w:eastAsia="Arial" w:hAnsi="Arial"/>
          <w:color w:val="1A1A2E"/>
          <w:sz w:val="17"/>
          <w:szCs w:val="17"/>
        </w:rPr>
        <w:t xml:space="preserve">R480. Global AI Safety Summit (Bletchley Park 2023, Seoul 2024, Paris 2025) Communiqués. La evolución del consenso internacional sobre AI safety: de declaraciones voluntarias (Bletchley 2023) hacia compromisos de gobernanza con mecanismos de seguimiento (Paris 2025). El marco multilateral que da contexto político al EU AI Act y al NIST AI RMF. Relevante para el CISO que necesita entender el horizonte regulatorio 2027-2030.</w:t>
      </w:r>
    </w:p>
    <w:p>
      <w:pPr>
        <w:spacing w:before="30" w:after="30"/>
      </w:pPr>
      <w:r>
        <w:t xml:space="preserve"/>
      </w:r>
    </w:p>
    <w:p>
      <w:pPr>
        <w:pBdr>
          <w:bottom w:val="single" w:color="BDD7EE" w:sz="4"/>
        </w:pBdr>
        <w:spacing w:before="80" w:after="80"/>
      </w:pPr>
    </w:p>
    <w:p>
      <w:pPr>
        <w:spacing w:before="120" w:after="80"/>
        <w:jc w:val="center"/>
      </w:pPr>
      <w:r>
        <w:rPr>
          <w:rFonts w:ascii="Arial" w:cs="Arial" w:eastAsia="Arial" w:hAnsi="Arial"/>
          <w:b/>
          <w:bCs/>
          <w:color w:val="1A237E"/>
          <w:sz w:val="34"/>
          <w:szCs w:val="34"/>
        </w:rPr>
        <w:t xml:space="preserve">FIN DE LA FASE 19 — FIN DEL PROYECTO</w:t>
      </w:r>
    </w:p>
    <w:p>
      <w:pPr>
        <w:spacing w:before="0" w:after="60"/>
        <w:jc w:val="center"/>
      </w:pPr>
      <w:r>
        <w:rPr>
          <w:rFonts w:ascii="Arial" w:cs="Arial" w:eastAsia="Arial" w:hAnsi="Arial"/>
          <w:b w:val="false"/>
          <w:bCs w:val="false"/>
          <w:color w:val="2E75B6"/>
          <w:sz w:val="22"/>
          <w:szCs w:val="22"/>
        </w:rPr>
        <w:t xml:space="preserve">Análisis de Ética y Responsabilidad en IA — 16 Proveedores Globales</w:t>
      </w:r>
    </w:p>
    <w:p>
      <w:pPr>
        <w:spacing w:before="0" w:after="40"/>
        <w:jc w:val="center"/>
      </w:pPr>
      <w:r>
        <w:rPr>
          <w:rFonts w:ascii="Arial" w:cs="Arial" w:eastAsia="Arial" w:hAnsi="Arial"/>
          <w:b/>
          <w:bCs/>
          <w:color w:val="888888"/>
          <w:sz w:val="18"/>
          <w:szCs w:val="18"/>
        </w:rPr>
        <w:t xml:space="preserve">19 Fases  |  480 Referencias  |  16 Proveedores  |  Corte: 20 Febrero 2026</w:t>
      </w:r>
    </w:p>
    <w:p>
      <w:pPr>
        <w:spacing w:before="30" w:after="30"/>
      </w:pPr>
      <w:r>
        <w:t xml:space="preserve"/>
      </w:r>
    </w:p>
    <w:p>
      <w:pPr>
        <w:spacing w:before="40" w:after="40"/>
        <w:jc w:val="center"/>
      </w:pPr>
      <w:r>
        <w:rPr>
          <w:rFonts w:ascii="Arial" w:cs="Arial" w:eastAsia="Arial" w:hAnsi="Arial"/>
          <w:b/>
          <w:bCs/>
          <w:color w:val="C6A619"/>
          <w:sz w:val="20"/>
          <w:szCs w:val="20"/>
        </w:rPr>
        <w:t xml:space="preserve">PROYECTO COMPLETADO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2026-02-22T15:40:24.014Z</dcterms:created>
  <dcterms:modified xsi:type="dcterms:W3CDTF">2026-02-22T15:40:24.015Z</dcterms:modified>
</cp:coreProperties>
</file>

<file path=docProps/custom.xml><?xml version="1.0" encoding="utf-8"?>
<Properties xmlns="http://schemas.openxmlformats.org/officeDocument/2006/custom-properties" xmlns:vt="http://schemas.openxmlformats.org/officeDocument/2006/docPropsVTypes"/>
</file>