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19"/>
        <w:tblW w:w="0" w:type="auto"/>
        <w:tblBorders>
          <w:top w:val="threeDEngrave" w:sz="24" w:space="0" w:color="719355"/>
          <w:left w:val="threeDEngrave" w:sz="24" w:space="0" w:color="719355"/>
          <w:bottom w:val="threeDEmboss" w:sz="24" w:space="0" w:color="719355"/>
          <w:right w:val="threeDEmboss" w:sz="24" w:space="0" w:color="719355"/>
        </w:tblBorders>
        <w:tblCellMar>
          <w:top w:w="113" w:type="dxa"/>
          <w:bottom w:w="113" w:type="dxa"/>
        </w:tblCellMar>
        <w:tblLook w:val="00BF"/>
      </w:tblPr>
      <w:tblGrid>
        <w:gridCol w:w="1355"/>
        <w:gridCol w:w="7161"/>
      </w:tblGrid>
      <w:tr w:rsidR="00A946CC" w:rsidTr="00A55A8D">
        <w:tc>
          <w:tcPr>
            <w:tcW w:w="1355" w:type="dxa"/>
          </w:tcPr>
          <w:p w:rsidR="00A946CC" w:rsidRDefault="00A946CC" w:rsidP="00A55A8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flip:y">
                  <v:imagedata r:id="rId7" o:title="Pencil(2)"/>
                </v:shape>
              </w:pict>
            </w:r>
          </w:p>
        </w:tc>
        <w:tc>
          <w:tcPr>
            <w:tcW w:w="7161" w:type="dxa"/>
            <w:vAlign w:val="center"/>
          </w:tcPr>
          <w:p w:rsidR="00A946CC" w:rsidRDefault="00422439" w:rsidP="001A7081">
            <w:pPr>
              <w:pStyle w:val="NormalBCH"/>
              <w:rPr>
                <w:lang w:val="fr-FR"/>
              </w:rPr>
            </w:pPr>
            <w:r>
              <w:rPr>
                <w:b/>
                <w:lang w:val="fr-FR"/>
              </w:rPr>
              <w:t xml:space="preserve">ETUDE DE CAS </w:t>
            </w:r>
            <w:r w:rsidR="00A946CC">
              <w:rPr>
                <w:b/>
                <w:lang w:val="fr-FR"/>
              </w:rPr>
              <w:t xml:space="preserve">17: </w:t>
            </w:r>
            <w:r w:rsidR="00A946CC">
              <w:rPr>
                <w:b/>
                <w:lang w:val="fr-FR"/>
              </w:rPr>
              <w:br/>
              <w:t xml:space="preserve">Une organisation enregistre une lettre d’information sur la </w:t>
            </w:r>
            <w:r w:rsidR="001A7081">
              <w:rPr>
                <w:b/>
                <w:lang w:val="fr-FR"/>
              </w:rPr>
              <w:t>biosécurité</w:t>
            </w:r>
            <w:r w:rsidR="00A946CC">
              <w:rPr>
                <w:b/>
                <w:lang w:val="fr-FR"/>
              </w:rPr>
              <w:t>.</w:t>
            </w:r>
          </w:p>
        </w:tc>
      </w:tr>
    </w:tbl>
    <w:p w:rsidR="00A946CC" w:rsidRDefault="00A946CC">
      <w:pPr>
        <w:pStyle w:val="H2BCH"/>
        <w:rPr>
          <w:sz w:val="24"/>
          <w:lang w:val="fr-FR"/>
        </w:rPr>
      </w:pPr>
    </w:p>
    <w:p w:rsidR="00A55A8D" w:rsidRPr="001A7081" w:rsidRDefault="00A55A8D">
      <w:pPr>
        <w:pStyle w:val="H2BCH"/>
        <w:rPr>
          <w:sz w:val="24"/>
          <w:lang w:val="fr-FR"/>
        </w:rPr>
      </w:pPr>
    </w:p>
    <w:p w:rsidR="00A55A8D" w:rsidRPr="001A7081" w:rsidRDefault="00A55A8D">
      <w:pPr>
        <w:pStyle w:val="H2BCH"/>
        <w:rPr>
          <w:sz w:val="24"/>
          <w:lang w:val="fr-FR"/>
        </w:rPr>
      </w:pPr>
    </w:p>
    <w:p w:rsidR="00A946CC" w:rsidRPr="006D6397" w:rsidRDefault="00A946CC">
      <w:pPr>
        <w:pStyle w:val="H2BCH"/>
        <w:rPr>
          <w:sz w:val="24"/>
          <w:lang w:val="fr-FR"/>
        </w:rPr>
      </w:pPr>
      <w:r w:rsidRPr="006D6397">
        <w:rPr>
          <w:sz w:val="24"/>
          <w:lang w:val="fr-FR"/>
        </w:rPr>
        <w:t xml:space="preserve">Objectif: </w:t>
      </w:r>
    </w:p>
    <w:p w:rsidR="00A946CC" w:rsidRPr="001A7081" w:rsidRDefault="001A7081" w:rsidP="00B64034">
      <w:pPr>
        <w:pStyle w:val="BulletsNormalBCH"/>
      </w:pPr>
      <w:r w:rsidRPr="001A7081">
        <w:t>Apprendre à e</w:t>
      </w:r>
      <w:r w:rsidR="00A946CC" w:rsidRPr="001A7081">
        <w:t xml:space="preserve">nregistrer une </w:t>
      </w:r>
      <w:r w:rsidRPr="001A7081">
        <w:t xml:space="preserve">ressource </w:t>
      </w:r>
      <w:r w:rsidR="00BA4E45">
        <w:t xml:space="preserve">d’information sur la </w:t>
      </w:r>
      <w:r w:rsidR="00A946CC" w:rsidRPr="001A7081">
        <w:t xml:space="preserve"> biosécurité </w:t>
      </w:r>
      <w:r w:rsidRPr="001A7081">
        <w:t>au</w:t>
      </w:r>
      <w:r w:rsidR="00A946CC" w:rsidRPr="001A7081">
        <w:t xml:space="preserve"> </w:t>
      </w:r>
      <w:r w:rsidRPr="001A7081">
        <w:t>c</w:t>
      </w:r>
      <w:r w:rsidR="00A946CC" w:rsidRPr="001A7081">
        <w:t>entre d’échange pour la prévention des risques biotechnologiques.</w:t>
      </w:r>
    </w:p>
    <w:p w:rsidR="00A946CC" w:rsidRPr="001A7081" w:rsidRDefault="00A946CC">
      <w:pPr>
        <w:pStyle w:val="H2BCH"/>
        <w:rPr>
          <w:sz w:val="22"/>
          <w:szCs w:val="22"/>
          <w:lang w:val="fr-FR"/>
        </w:rPr>
      </w:pPr>
    </w:p>
    <w:p w:rsidR="00A946CC" w:rsidRDefault="00A946CC">
      <w:pPr>
        <w:pStyle w:val="H2BCH"/>
        <w:rPr>
          <w:sz w:val="24"/>
          <w:lang w:val="fr-FR"/>
        </w:rPr>
      </w:pPr>
      <w:proofErr w:type="gramStart"/>
      <w:r>
        <w:rPr>
          <w:sz w:val="24"/>
          <w:lang w:val="fr-FR"/>
        </w:rPr>
        <w:t>Références</w:t>
      </w:r>
      <w:proofErr w:type="gramEnd"/>
      <w:r>
        <w:rPr>
          <w:sz w:val="24"/>
          <w:lang w:val="fr-FR"/>
        </w:rPr>
        <w:t>:</w:t>
      </w:r>
    </w:p>
    <w:p w:rsidR="001A7081" w:rsidRPr="00FA73F5" w:rsidRDefault="001A7081" w:rsidP="001A7081">
      <w:pPr>
        <w:pStyle w:val="NormalBCH"/>
        <w:numPr>
          <w:ilvl w:val="0"/>
          <w:numId w:val="9"/>
        </w:numPr>
        <w:spacing w:line="276" w:lineRule="auto"/>
        <w:rPr>
          <w:sz w:val="22"/>
          <w:szCs w:val="22"/>
          <w:lang w:val="fr-FR"/>
        </w:rPr>
      </w:pPr>
      <w:r w:rsidRPr="00FA73F5">
        <w:rPr>
          <w:sz w:val="22"/>
          <w:szCs w:val="22"/>
          <w:lang w:val="fr-FR"/>
        </w:rPr>
        <w:t xml:space="preserve">Site de formation du CEPRB  (Aller à </w:t>
      </w:r>
      <w:hyperlink r:id="rId8" w:history="1">
        <w:r w:rsidRPr="00FA73F5">
          <w:rPr>
            <w:rStyle w:val="Hyperlink"/>
            <w:sz w:val="22"/>
            <w:szCs w:val="22"/>
            <w:lang w:val="fr-FR"/>
          </w:rPr>
          <w:t>http://bch.cbd.int</w:t>
        </w:r>
      </w:hyperlink>
      <w:r w:rsidRPr="00FA73F5">
        <w:rPr>
          <w:sz w:val="22"/>
          <w:szCs w:val="22"/>
          <w:lang w:val="fr-FR"/>
        </w:rPr>
        <w:t xml:space="preserve"> &gt; Aide (ou Ressources)  Site de formation du CEPRB)</w:t>
      </w:r>
    </w:p>
    <w:p w:rsidR="001A7081" w:rsidRPr="00FA73F5" w:rsidRDefault="001A7081" w:rsidP="001A7081">
      <w:pPr>
        <w:pStyle w:val="NormalBCH"/>
        <w:numPr>
          <w:ilvl w:val="0"/>
          <w:numId w:val="9"/>
        </w:numPr>
        <w:spacing w:line="276" w:lineRule="auto"/>
        <w:rPr>
          <w:sz w:val="22"/>
          <w:szCs w:val="22"/>
          <w:lang w:val="fr-FR"/>
        </w:rPr>
      </w:pPr>
      <w:r w:rsidRPr="00FA73F5">
        <w:rPr>
          <w:sz w:val="22"/>
          <w:szCs w:val="22"/>
          <w:lang w:val="fr-FR"/>
        </w:rPr>
        <w:t>Module de formation 06: Utilisation du centre de gestion</w:t>
      </w:r>
    </w:p>
    <w:p w:rsidR="001A7081" w:rsidRPr="00FA73F5" w:rsidRDefault="001A7081" w:rsidP="001A7081">
      <w:pPr>
        <w:pStyle w:val="NormalBCH"/>
        <w:numPr>
          <w:ilvl w:val="0"/>
          <w:numId w:val="9"/>
        </w:numPr>
        <w:spacing w:line="276" w:lineRule="auto"/>
        <w:rPr>
          <w:sz w:val="22"/>
          <w:szCs w:val="22"/>
          <w:lang w:val="fr-FR"/>
        </w:rPr>
      </w:pPr>
      <w:r w:rsidRPr="00FA73F5">
        <w:rPr>
          <w:sz w:val="22"/>
          <w:szCs w:val="22"/>
          <w:lang w:val="fr-FR"/>
        </w:rPr>
        <w:t>Module de formation 07: Enregistrement d’information dans le Portail Central du CEPRB</w:t>
      </w:r>
    </w:p>
    <w:p w:rsidR="001A7081" w:rsidRPr="00FA73F5" w:rsidRDefault="001A7081" w:rsidP="001A7081">
      <w:pPr>
        <w:pStyle w:val="NormalBCH"/>
        <w:numPr>
          <w:ilvl w:val="0"/>
          <w:numId w:val="9"/>
        </w:numPr>
        <w:spacing w:line="276" w:lineRule="auto"/>
        <w:rPr>
          <w:sz w:val="22"/>
          <w:szCs w:val="22"/>
          <w:lang w:val="fr-FR"/>
        </w:rPr>
      </w:pPr>
      <w:r w:rsidRPr="00FA73F5">
        <w:rPr>
          <w:sz w:val="22"/>
          <w:szCs w:val="22"/>
          <w:lang w:val="fr-FR"/>
        </w:rPr>
        <w:t>Module de formation 08:</w:t>
      </w:r>
      <w:r w:rsidR="000B57C6">
        <w:rPr>
          <w:sz w:val="22"/>
          <w:szCs w:val="22"/>
          <w:lang w:val="fr-FR"/>
        </w:rPr>
        <w:t xml:space="preserve"> Enregistrement d’informations n</w:t>
      </w:r>
      <w:r w:rsidRPr="00FA73F5">
        <w:rPr>
          <w:sz w:val="22"/>
          <w:szCs w:val="22"/>
          <w:lang w:val="fr-FR"/>
        </w:rPr>
        <w:t>ationales</w:t>
      </w:r>
    </w:p>
    <w:p w:rsidR="00A946CC" w:rsidRDefault="00A946CC">
      <w:pPr>
        <w:pStyle w:val="H2BCH"/>
        <w:rPr>
          <w:sz w:val="24"/>
          <w:lang w:val="fr-FR"/>
        </w:rPr>
      </w:pPr>
    </w:p>
    <w:p w:rsidR="00A946CC" w:rsidRPr="003341CA" w:rsidRDefault="00A946CC">
      <w:pPr>
        <w:pStyle w:val="H2BCH"/>
        <w:rPr>
          <w:sz w:val="24"/>
          <w:lang w:val="fr-FR"/>
        </w:rPr>
      </w:pPr>
      <w:r w:rsidRPr="003341CA">
        <w:rPr>
          <w:sz w:val="24"/>
          <w:lang w:val="fr-FR"/>
        </w:rPr>
        <w:t>Scénario:</w:t>
      </w:r>
    </w:p>
    <w:p w:rsidR="00A946CC" w:rsidRDefault="00A946CC" w:rsidP="00B64034">
      <w:pPr>
        <w:pStyle w:val="BulletsNormalBCH"/>
      </w:pPr>
    </w:p>
    <w:p w:rsidR="0053317D" w:rsidRPr="00FE5E24" w:rsidRDefault="0053317D" w:rsidP="0053317D">
      <w:pPr>
        <w:pStyle w:val="BulletsNormalBCH"/>
        <w:pBdr>
          <w:top w:val="single" w:sz="4" w:space="1" w:color="auto"/>
          <w:left w:val="single" w:sz="4" w:space="4" w:color="auto"/>
          <w:bottom w:val="single" w:sz="4" w:space="1" w:color="auto"/>
          <w:right w:val="single" w:sz="4" w:space="4" w:color="auto"/>
        </w:pBdr>
        <w:ind w:left="709" w:right="930"/>
        <w:rPr>
          <w:i/>
        </w:rPr>
      </w:pPr>
      <w:r w:rsidRPr="00FE5E24">
        <w:rPr>
          <w:i/>
        </w:rPr>
        <w:t xml:space="preserve">Option facultative : si vous </w:t>
      </w:r>
      <w:r w:rsidR="0063005A">
        <w:rPr>
          <w:i/>
        </w:rPr>
        <w:t>disposez</w:t>
      </w:r>
      <w:r w:rsidRPr="00FE5E24">
        <w:rPr>
          <w:i/>
        </w:rPr>
        <w:t xml:space="preserve"> personnellement ou si votre organisation dispose d’une information de biosécurité intéressante, vous voudrez probablement enregistrer cette information plutôt que de suivre le scénario </w:t>
      </w:r>
      <w:r w:rsidR="00753239">
        <w:rPr>
          <w:i/>
        </w:rPr>
        <w:t>proposé ci-dessous</w:t>
      </w:r>
      <w:r w:rsidRPr="00FE5E24">
        <w:rPr>
          <w:i/>
        </w:rPr>
        <w:t>.</w:t>
      </w:r>
    </w:p>
    <w:p w:rsidR="00A946CC" w:rsidRDefault="00A946CC" w:rsidP="00B64034">
      <w:pPr>
        <w:pStyle w:val="BulletsNormalBCH"/>
      </w:pPr>
    </w:p>
    <w:p w:rsidR="00A946CC" w:rsidRDefault="00A946CC" w:rsidP="00B64034">
      <w:pPr>
        <w:pStyle w:val="BulletsNormalBCH"/>
      </w:pPr>
    </w:p>
    <w:p w:rsidR="00A946CC" w:rsidRPr="003341CA" w:rsidRDefault="00A946CC" w:rsidP="00B64034">
      <w:pPr>
        <w:pStyle w:val="BulletsNormalBCH"/>
      </w:pPr>
      <w:r>
        <w:t xml:space="preserve">En tant que conseiller d’information pour le compte d’une organisation non gouvernementale située </w:t>
      </w:r>
      <w:r w:rsidR="00C25C4F">
        <w:t>en</w:t>
      </w:r>
      <w:r>
        <w:t xml:space="preserve"> Jamaïque (“Jam NGO”), vous avez été chargé de </w:t>
      </w:r>
      <w:proofErr w:type="gramStart"/>
      <w:r>
        <w:t>diffuser</w:t>
      </w:r>
      <w:proofErr w:type="gramEnd"/>
      <w:r>
        <w:t xml:space="preserve"> une information concernant une nouvelle lettre d’information sur la biodiversité que avez élaborée, qui traite essentiellement de renforcement des capacités et de </w:t>
      </w:r>
      <w:r w:rsidR="00C25C4F">
        <w:t>sensibilisation</w:t>
      </w:r>
      <w:r>
        <w:t xml:space="preserve"> du public. Elle s’intitule “Building </w:t>
      </w:r>
      <w:proofErr w:type="spellStart"/>
      <w:r>
        <w:t>Biosafety</w:t>
      </w:r>
      <w:proofErr w:type="spellEnd"/>
      <w:r>
        <w:t xml:space="preserve"> Bridges” (Edifier des passerelles de biosécurité) et sera diffusée trimestriellement à compter du 1er janvier 2006. Elle existe en version papier (6 pages) pour </w:t>
      </w:r>
      <w:r w:rsidR="00C25C4F">
        <w:t>vos sympathisants</w:t>
      </w:r>
      <w:r>
        <w:t xml:space="preserve"> qui en feront la demande auprès de vos services, et est téléchargeable gratuitement </w:t>
      </w:r>
      <w:r>
        <w:lastRenderedPageBreak/>
        <w:t xml:space="preserve">au format PDF à partir de votre site Web </w:t>
      </w:r>
      <w:hyperlink r:id="rId9" w:history="1">
        <w:r>
          <w:rPr>
            <w:rStyle w:val="Hyperlink"/>
            <w:i/>
            <w:sz w:val="24"/>
          </w:rPr>
          <w:t>www.jamngo.net/news</w:t>
        </w:r>
      </w:hyperlink>
      <w:r>
        <w:t xml:space="preserve">. Vous êtes ravi de pouvoir faire profiter </w:t>
      </w:r>
      <w:r w:rsidR="00C25C4F">
        <w:t xml:space="preserve">à titre gracieux </w:t>
      </w:r>
      <w:r>
        <w:t xml:space="preserve">de vos articles aux autres organisations à but non lucratif, à </w:t>
      </w:r>
      <w:r w:rsidR="00C25C4F">
        <w:t>tant que</w:t>
      </w:r>
      <w:r>
        <w:t xml:space="preserve"> v</w:t>
      </w:r>
      <w:r w:rsidR="00BA4E45">
        <w:t>os références sont clairement  mentionnées</w:t>
      </w:r>
      <w:r>
        <w:t>. Le code ISSN</w:t>
      </w:r>
      <w:r>
        <w:rPr>
          <w:rStyle w:val="FootnoteReference"/>
          <w:i/>
          <w:sz w:val="24"/>
        </w:rPr>
        <w:footnoteReference w:id="1"/>
      </w:r>
      <w:r>
        <w:t xml:space="preserve"> est  0123-5672. Cette donnée doit être mise à disposition </w:t>
      </w:r>
      <w:r w:rsidR="00C25C4F">
        <w:t>au</w:t>
      </w:r>
      <w:r>
        <w:t xml:space="preserve"> </w:t>
      </w:r>
      <w:r w:rsidR="00C25C4F">
        <w:t>c</w:t>
      </w:r>
      <w:r>
        <w:t xml:space="preserve">entre d’échange pour la prévention des risques biotechnologiques. (Remarque : Si vous avez préalablement créé d’autres fichiers tels que des coordonnées, ils pourront vous être utiles pour faire cet exercice. </w:t>
      </w:r>
      <w:r w:rsidRPr="003341CA">
        <w:t>Sinon, vous devrez créer un nouveau fichier.)</w:t>
      </w:r>
    </w:p>
    <w:p w:rsidR="00A946CC" w:rsidRPr="003341CA" w:rsidRDefault="00A946CC" w:rsidP="00B64034">
      <w:pPr>
        <w:pStyle w:val="BulletsNormalBCH"/>
      </w:pPr>
    </w:p>
    <w:p w:rsidR="00A946CC" w:rsidRDefault="00A946CC" w:rsidP="00B64034">
      <w:pPr>
        <w:pStyle w:val="BulletsNormalBCH"/>
      </w:pPr>
      <w:r>
        <w:t>Après avoir enregistré le fichier, demandez au formateur de le valider. (Normalement, c’est le Secrétariat qui en est chargé, le délai pouvant aller jusqu’à 48 heures). Une fois validé, trouvez et visualisez votre fichier en effectuant une recherche sur le BCH.</w:t>
      </w:r>
    </w:p>
    <w:p w:rsidR="00A946CC" w:rsidRDefault="00A946CC" w:rsidP="00B64034">
      <w:pPr>
        <w:pStyle w:val="BulletsNormalBCH"/>
      </w:pPr>
    </w:p>
    <w:p w:rsidR="00A946CC" w:rsidRDefault="00A946CC" w:rsidP="00B64034">
      <w:pPr>
        <w:pStyle w:val="BulletsNormalBCH"/>
      </w:pPr>
      <w:r>
        <w:t xml:space="preserve">Travail supplémentaire : s’il vous reste du temps, vous pouvez faire les exercices suivants : </w:t>
      </w:r>
    </w:p>
    <w:p w:rsidR="00A946CC" w:rsidRDefault="00A946CC" w:rsidP="00B64034">
      <w:pPr>
        <w:pStyle w:val="BulletsNormalBCH"/>
      </w:pPr>
    </w:p>
    <w:p w:rsidR="00A946CC" w:rsidRDefault="00A946CC" w:rsidP="00B64034">
      <w:pPr>
        <w:pStyle w:val="BulletsNormalBCH"/>
      </w:pPr>
      <w:r>
        <w:t>Enregistrer l’un des articles principaux qui apparaissent dans la première édition de la lettre d’information (Volume 1, p.2): “</w:t>
      </w:r>
      <w:proofErr w:type="spellStart"/>
      <w:r>
        <w:rPr>
          <w:i/>
        </w:rPr>
        <w:t>Capacity</w:t>
      </w:r>
      <w:proofErr w:type="spellEnd"/>
      <w:r>
        <w:rPr>
          <w:i/>
        </w:rPr>
        <w:t xml:space="preserve">-building </w:t>
      </w:r>
      <w:proofErr w:type="spellStart"/>
      <w:r>
        <w:rPr>
          <w:i/>
        </w:rPr>
        <w:t>lessons</w:t>
      </w:r>
      <w:proofErr w:type="spellEnd"/>
      <w:r>
        <w:rPr>
          <w:i/>
        </w:rPr>
        <w:t xml:space="preserve"> </w:t>
      </w:r>
      <w:proofErr w:type="spellStart"/>
      <w:r>
        <w:rPr>
          <w:i/>
        </w:rPr>
        <w:t>learned</w:t>
      </w:r>
      <w:proofErr w:type="spellEnd"/>
      <w:r>
        <w:rPr>
          <w:i/>
        </w:rPr>
        <w:t xml:space="preserve"> over the </w:t>
      </w:r>
      <w:proofErr w:type="spellStart"/>
      <w:r>
        <w:rPr>
          <w:i/>
        </w:rPr>
        <w:t>past</w:t>
      </w:r>
      <w:proofErr w:type="spellEnd"/>
      <w:r>
        <w:rPr>
          <w:i/>
        </w:rPr>
        <w:t xml:space="preserve"> </w:t>
      </w:r>
      <w:proofErr w:type="spellStart"/>
      <w:r>
        <w:rPr>
          <w:i/>
        </w:rPr>
        <w:t>ten</w:t>
      </w:r>
      <w:proofErr w:type="spellEnd"/>
      <w:r>
        <w:rPr>
          <w:i/>
        </w:rPr>
        <w:t xml:space="preserve"> </w:t>
      </w:r>
      <w:proofErr w:type="spellStart"/>
      <w:r>
        <w:rPr>
          <w:i/>
        </w:rPr>
        <w:t>years</w:t>
      </w:r>
      <w:proofErr w:type="spellEnd"/>
      <w:r>
        <w:rPr>
          <w:i/>
        </w:rPr>
        <w:t xml:space="preserve"> in </w:t>
      </w:r>
      <w:proofErr w:type="spellStart"/>
      <w:r>
        <w:rPr>
          <w:i/>
        </w:rPr>
        <w:t>Jamaica</w:t>
      </w:r>
      <w:proofErr w:type="spellEnd"/>
      <w:r>
        <w:t xml:space="preserve">” de </w:t>
      </w:r>
      <w:proofErr w:type="spellStart"/>
      <w:r>
        <w:t>Human</w:t>
      </w:r>
      <w:proofErr w:type="spellEnd"/>
      <w:r>
        <w:t xml:space="preserve"> </w:t>
      </w:r>
      <w:proofErr w:type="spellStart"/>
      <w:r>
        <w:t>Being</w:t>
      </w:r>
      <w:proofErr w:type="spellEnd"/>
      <w:r>
        <w:t xml:space="preserve"> (</w:t>
      </w:r>
      <w:r>
        <w:rPr>
          <w:i/>
          <w:iCs/>
        </w:rPr>
        <w:t>Tirer les leçons du renforcement des capacités sur les dix dernières années à la Jamaïque</w:t>
      </w:r>
      <w:r>
        <w:t>).</w:t>
      </w:r>
    </w:p>
    <w:p w:rsidR="00A946CC" w:rsidRDefault="00A946CC" w:rsidP="00B64034">
      <w:pPr>
        <w:pStyle w:val="BulletsNormalBCH"/>
      </w:pPr>
      <w:r>
        <w:t xml:space="preserve">Editez le fichier que </w:t>
      </w:r>
      <w:r w:rsidR="00C25C4F">
        <w:t xml:space="preserve">vous </w:t>
      </w:r>
      <w:r>
        <w:t xml:space="preserve">avez créé pour la lettre d’information “Building </w:t>
      </w:r>
      <w:proofErr w:type="spellStart"/>
      <w:r>
        <w:t>Biosafety</w:t>
      </w:r>
      <w:proofErr w:type="spellEnd"/>
      <w:r>
        <w:t xml:space="preserve"> Bridges” et modifiez-le en publication annuelle</w:t>
      </w:r>
      <w:r w:rsidR="00BA4E45">
        <w:t xml:space="preserve"> à comité de lecture</w:t>
      </w:r>
      <w:r>
        <w:t xml:space="preserve">. </w:t>
      </w:r>
    </w:p>
    <w:p w:rsidR="00A946CC" w:rsidRDefault="00A946CC" w:rsidP="00B64034">
      <w:pPr>
        <w:pStyle w:val="BulletsNormalBCH"/>
      </w:pPr>
      <w:r>
        <w:t xml:space="preserve">Editez le fichier que vous avez créé pour le “Building </w:t>
      </w:r>
      <w:proofErr w:type="spellStart"/>
      <w:r>
        <w:t>Biosafety</w:t>
      </w:r>
      <w:proofErr w:type="spellEnd"/>
      <w:r>
        <w:t xml:space="preserve"> Bridges” pour y ajouter des informations descriptives dans une autre langue.</w:t>
      </w:r>
    </w:p>
    <w:p w:rsidR="00A946CC" w:rsidRDefault="00A946CC" w:rsidP="00E5599C">
      <w:pPr>
        <w:pStyle w:val="H1BCH"/>
        <w:rPr>
          <w:sz w:val="24"/>
          <w:lang w:val="fr-FR"/>
        </w:rPr>
        <w:sectPr w:rsidR="00A946CC" w:rsidSect="00A55A8D">
          <w:footerReference w:type="default" r:id="rId10"/>
          <w:headerReference w:type="first" r:id="rId11"/>
          <w:footerReference w:type="first" r:id="rId12"/>
          <w:pgSz w:w="11900" w:h="16840"/>
          <w:pgMar w:top="1440" w:right="1800" w:bottom="1440" w:left="1800" w:header="144" w:footer="432" w:gutter="0"/>
          <w:cols w:space="708"/>
          <w:titlePg/>
        </w:sectPr>
      </w:pPr>
    </w:p>
    <w:p w:rsidR="00A946CC" w:rsidRDefault="00A946CC" w:rsidP="00B64034">
      <w:pPr>
        <w:pStyle w:val="BulletsNormalBCH"/>
      </w:pPr>
    </w:p>
    <w:tbl>
      <w:tblPr>
        <w:tblW w:w="0" w:type="auto"/>
        <w:tblBorders>
          <w:top w:val="threeDEngrave" w:sz="24" w:space="0" w:color="808080"/>
          <w:left w:val="threeDEngrave" w:sz="24" w:space="0" w:color="808080"/>
          <w:bottom w:val="threeDEmboss" w:sz="24" w:space="0" w:color="808080"/>
          <w:right w:val="threeDEmboss" w:sz="24" w:space="0" w:color="808080"/>
        </w:tblBorders>
        <w:tblCellMar>
          <w:top w:w="113" w:type="dxa"/>
          <w:bottom w:w="113" w:type="dxa"/>
        </w:tblCellMar>
        <w:tblLook w:val="00BF"/>
      </w:tblPr>
      <w:tblGrid>
        <w:gridCol w:w="1334"/>
        <w:gridCol w:w="7182"/>
      </w:tblGrid>
      <w:tr w:rsidR="00A946CC">
        <w:tc>
          <w:tcPr>
            <w:tcW w:w="1334" w:type="dxa"/>
          </w:tcPr>
          <w:p w:rsidR="00A946CC" w:rsidRDefault="00A946CC">
            <w:pPr>
              <w:jc w:val="center"/>
            </w:pPr>
            <w:r>
              <w:rPr>
                <w:rFonts w:ascii="Arial" w:hAnsi="Arial"/>
                <w:b/>
              </w:rPr>
              <w:br w:type="page"/>
            </w:r>
            <w:r>
              <w:pict>
                <v:shape id="_x0000_i1026" type="#_x0000_t75" style="width:48.75pt;height:48.75pt">
                  <v:imagedata r:id="rId13" o:title="Teach(2)"/>
                </v:shape>
              </w:pict>
            </w:r>
          </w:p>
        </w:tc>
        <w:tc>
          <w:tcPr>
            <w:tcW w:w="7182" w:type="dxa"/>
            <w:vAlign w:val="center"/>
          </w:tcPr>
          <w:p w:rsidR="00A946CC" w:rsidRDefault="00A946CC" w:rsidP="0053317D">
            <w:pPr>
              <w:pStyle w:val="NormalBCH"/>
              <w:rPr>
                <w:b/>
                <w:lang w:val="fr-FR"/>
              </w:rPr>
            </w:pPr>
            <w:r>
              <w:rPr>
                <w:b/>
                <w:lang w:val="fr-FR"/>
              </w:rPr>
              <w:t xml:space="preserve">ETUDE DE CAS N° 17 : </w:t>
            </w:r>
            <w:r>
              <w:rPr>
                <w:b/>
                <w:lang w:val="fr-FR"/>
              </w:rPr>
              <w:br/>
              <w:t xml:space="preserve">Une organisation enregistre une lettre d’information sur la </w:t>
            </w:r>
            <w:r w:rsidR="0053317D">
              <w:rPr>
                <w:b/>
                <w:lang w:val="fr-FR"/>
              </w:rPr>
              <w:t>biosécurité</w:t>
            </w:r>
            <w:r>
              <w:rPr>
                <w:b/>
                <w:lang w:val="fr-FR"/>
              </w:rPr>
              <w:t>.</w:t>
            </w:r>
          </w:p>
        </w:tc>
      </w:tr>
    </w:tbl>
    <w:p w:rsidR="00A946CC" w:rsidRDefault="00A946CC" w:rsidP="00FA2A61">
      <w:pPr>
        <w:pStyle w:val="NormalBCH"/>
        <w:rPr>
          <w:lang w:val="fr-FR"/>
        </w:rPr>
      </w:pPr>
    </w:p>
    <w:p w:rsidR="00A946CC" w:rsidRDefault="00A946CC" w:rsidP="00FA2A61">
      <w:pPr>
        <w:pStyle w:val="NormalBCH"/>
        <w:jc w:val="center"/>
        <w:rPr>
          <w:b/>
          <w:lang w:val="fr-FR"/>
        </w:rPr>
      </w:pPr>
      <w:r>
        <w:rPr>
          <w:b/>
          <w:lang w:val="fr-FR"/>
        </w:rPr>
        <w:t xml:space="preserve">NOTES POUR LE </w:t>
      </w:r>
      <w:r w:rsidR="00B64034">
        <w:rPr>
          <w:b/>
          <w:lang w:val="fr-FR"/>
        </w:rPr>
        <w:t>FORMATEUR</w:t>
      </w:r>
    </w:p>
    <w:p w:rsidR="00A946CC" w:rsidRDefault="00A946CC">
      <w:pPr>
        <w:pStyle w:val="H2BCH"/>
        <w:rPr>
          <w:sz w:val="24"/>
          <w:lang w:val="fr-FR"/>
        </w:rPr>
      </w:pPr>
    </w:p>
    <w:p w:rsidR="00A946CC" w:rsidRDefault="00A946CC">
      <w:pPr>
        <w:pStyle w:val="H2BCH"/>
        <w:rPr>
          <w:sz w:val="24"/>
          <w:lang w:val="fr-FR"/>
        </w:rPr>
      </w:pPr>
      <w:r>
        <w:rPr>
          <w:sz w:val="24"/>
          <w:lang w:val="fr-FR"/>
        </w:rPr>
        <w:t xml:space="preserve">Objectif de la </w:t>
      </w:r>
      <w:r w:rsidR="00B64034">
        <w:rPr>
          <w:sz w:val="24"/>
          <w:lang w:val="fr-FR"/>
        </w:rPr>
        <w:t>pratique</w:t>
      </w:r>
      <w:r>
        <w:rPr>
          <w:sz w:val="24"/>
          <w:lang w:val="fr-FR"/>
        </w:rPr>
        <w:t xml:space="preserve">: </w:t>
      </w:r>
    </w:p>
    <w:p w:rsidR="00A946CC" w:rsidRPr="00B64034" w:rsidRDefault="00B64034" w:rsidP="00B64034">
      <w:pPr>
        <w:pStyle w:val="BulletsNormalBCH"/>
      </w:pPr>
      <w:r w:rsidRPr="00B64034">
        <w:t xml:space="preserve">Apprendre </w:t>
      </w:r>
      <w:r w:rsidR="00A946CC" w:rsidRPr="00B64034">
        <w:t xml:space="preserve">à utiliser le </w:t>
      </w:r>
      <w:r w:rsidRPr="00B64034">
        <w:t>c</w:t>
      </w:r>
      <w:r w:rsidR="00A946CC" w:rsidRPr="00B64034">
        <w:t xml:space="preserve">entre de </w:t>
      </w:r>
      <w:r w:rsidRPr="00B64034">
        <w:t>g</w:t>
      </w:r>
      <w:r w:rsidR="00A946CC" w:rsidRPr="00B64034">
        <w:t xml:space="preserve">estion pour créer un </w:t>
      </w:r>
      <w:r w:rsidRPr="00B64034">
        <w:t>nouvel enregistrement  d</w:t>
      </w:r>
      <w:r w:rsidR="002F02FD">
        <w:t>e</w:t>
      </w:r>
      <w:r w:rsidRPr="00B64034">
        <w:t xml:space="preserve"> ressource </w:t>
      </w:r>
      <w:r w:rsidR="00A946CC" w:rsidRPr="00B64034">
        <w:t>d’information sur la bio</w:t>
      </w:r>
      <w:r w:rsidRPr="00B64034">
        <w:t>sécur</w:t>
      </w:r>
      <w:r w:rsidR="00A946CC" w:rsidRPr="00B64034">
        <w:t>ité.</w:t>
      </w:r>
    </w:p>
    <w:p w:rsidR="00A946CC" w:rsidRDefault="00A946CC">
      <w:pPr>
        <w:pStyle w:val="H2BCH"/>
        <w:rPr>
          <w:sz w:val="24"/>
          <w:lang w:val="fr-FR"/>
        </w:rPr>
      </w:pPr>
    </w:p>
    <w:p w:rsidR="00A946CC" w:rsidRPr="00B64034" w:rsidRDefault="00B64034">
      <w:pPr>
        <w:pStyle w:val="H2BCH"/>
        <w:rPr>
          <w:sz w:val="24"/>
          <w:lang w:val="fr-FR"/>
        </w:rPr>
      </w:pPr>
      <w:r w:rsidRPr="00B64034">
        <w:rPr>
          <w:sz w:val="24"/>
          <w:lang w:val="fr-FR"/>
        </w:rPr>
        <w:t>Pré-requis</w:t>
      </w:r>
      <w:r w:rsidR="00A946CC" w:rsidRPr="00B64034">
        <w:rPr>
          <w:sz w:val="24"/>
          <w:lang w:val="fr-FR"/>
        </w:rPr>
        <w:t>:</w:t>
      </w:r>
    </w:p>
    <w:p w:rsidR="00B64034" w:rsidRDefault="00B64034" w:rsidP="00B64034">
      <w:pPr>
        <w:widowControl w:val="0"/>
        <w:spacing w:line="360" w:lineRule="auto"/>
        <w:rPr>
          <w:rFonts w:ascii="Arial" w:hAnsi="Arial" w:cs="Arial"/>
          <w:sz w:val="22"/>
          <w:szCs w:val="22"/>
        </w:rPr>
      </w:pPr>
      <w:r w:rsidRPr="00327704">
        <w:rPr>
          <w:rFonts w:ascii="Arial" w:hAnsi="Arial" w:cs="Arial"/>
          <w:sz w:val="22"/>
          <w:szCs w:val="22"/>
        </w:rPr>
        <w:t xml:space="preserve">Un compte d’utilisateur du CEPRB et l’accès au CEPRB </w:t>
      </w:r>
    </w:p>
    <w:p w:rsidR="00A946CC" w:rsidRDefault="00A946CC" w:rsidP="00B64034">
      <w:pPr>
        <w:pStyle w:val="BulletsNormalBCH"/>
      </w:pPr>
      <w:r>
        <w:t xml:space="preserve"> </w:t>
      </w:r>
    </w:p>
    <w:p w:rsidR="00A946CC" w:rsidRDefault="00A946CC" w:rsidP="00B64034">
      <w:pPr>
        <w:pStyle w:val="BulletsNormalBCH"/>
      </w:pPr>
    </w:p>
    <w:p w:rsidR="00A946CC" w:rsidRDefault="00A946CC">
      <w:pPr>
        <w:pStyle w:val="H2BCH"/>
        <w:rPr>
          <w:sz w:val="24"/>
          <w:lang w:val="en-US"/>
        </w:rPr>
      </w:pPr>
      <w:proofErr w:type="spellStart"/>
      <w:r>
        <w:rPr>
          <w:sz w:val="24"/>
          <w:lang w:val="en-US"/>
        </w:rPr>
        <w:t>Remarques</w:t>
      </w:r>
      <w:proofErr w:type="spellEnd"/>
      <w:r>
        <w:rPr>
          <w:sz w:val="24"/>
          <w:lang w:val="en-US"/>
        </w:rPr>
        <w:t>:</w:t>
      </w:r>
    </w:p>
    <w:p w:rsidR="00B64034" w:rsidRPr="00B64034" w:rsidRDefault="00B64034" w:rsidP="00B64034">
      <w:pPr>
        <w:pStyle w:val="BulletsNormalBCH"/>
        <w:numPr>
          <w:ilvl w:val="0"/>
          <w:numId w:val="10"/>
        </w:numPr>
      </w:pPr>
      <w:r w:rsidRPr="00B64034">
        <w:t>Les utilisateurs peuvent travailler seul ou en petits groupes.</w:t>
      </w:r>
    </w:p>
    <w:p w:rsidR="00B64034" w:rsidRPr="00B64034" w:rsidRDefault="00B64034" w:rsidP="00B64034">
      <w:pPr>
        <w:pStyle w:val="BulletsNormalBCH"/>
        <w:numPr>
          <w:ilvl w:val="0"/>
          <w:numId w:val="10"/>
        </w:numPr>
      </w:pPr>
      <w:r w:rsidRPr="00B64034">
        <w:t xml:space="preserve">Les participants doivent disposer d’un compte d’utilisateur personnel au CEPRB.  Ils se connecteront au </w:t>
      </w:r>
      <w:r w:rsidR="001A5935">
        <w:rPr>
          <w:b/>
        </w:rPr>
        <w:t>s</w:t>
      </w:r>
      <w:r w:rsidRPr="00B64034">
        <w:rPr>
          <w:b/>
        </w:rPr>
        <w:t>ite de formation du CEPRB</w:t>
      </w:r>
      <w:r w:rsidRPr="00B64034">
        <w:t xml:space="preserve"> en utilisant leurs identifiants.  Veuillez vous référer au module de formation </w:t>
      </w:r>
      <w:r w:rsidRPr="00B64034">
        <w:rPr>
          <w:b/>
        </w:rPr>
        <w:t>“</w:t>
      </w:r>
      <w:r w:rsidRPr="00B64034">
        <w:t>MO06</w:t>
      </w:r>
      <w:r w:rsidRPr="00B64034">
        <w:rPr>
          <w:b/>
        </w:rPr>
        <w:t>”</w:t>
      </w:r>
      <w:r w:rsidRPr="00B64034">
        <w:t xml:space="preserve"> pour plus de précisions sur la création d’un compte d’utilisateur du CEPRB.</w:t>
      </w:r>
    </w:p>
    <w:p w:rsidR="00B64034" w:rsidRDefault="00B64034" w:rsidP="00B64034">
      <w:pPr>
        <w:pStyle w:val="BulletsNormalBCH"/>
        <w:numPr>
          <w:ilvl w:val="0"/>
          <w:numId w:val="10"/>
        </w:numPr>
      </w:pPr>
      <w:r w:rsidRPr="00B64034">
        <w:t>Il vous est conseillé de configurer votre espace personnel de formation pour votre atelier avant de commencer cet exercice. Dans le cas contraire, les participants peuvent choisir l’espace publique de formation, “Public BCH Training”.</w:t>
      </w:r>
    </w:p>
    <w:p w:rsidR="00B64034" w:rsidRDefault="00B64034" w:rsidP="00B64034">
      <w:pPr>
        <w:pStyle w:val="BulletsNormalBCH"/>
        <w:numPr>
          <w:ilvl w:val="0"/>
          <w:numId w:val="10"/>
        </w:numPr>
      </w:pPr>
      <w:r>
        <w:t>Les participants pourront : 1) saisir leurs propres données, ou 2) utiliser l’exemple donné.</w:t>
      </w:r>
    </w:p>
    <w:p w:rsidR="00B64034" w:rsidRDefault="00B64034" w:rsidP="00B64034">
      <w:pPr>
        <w:pStyle w:val="BulletsNormalBCH"/>
        <w:numPr>
          <w:ilvl w:val="0"/>
          <w:numId w:val="10"/>
        </w:numPr>
      </w:pPr>
      <w:r>
        <w:t>Si les participants n’ont pas fait l’étude de cas 04 (Enregistrer une personne à contacter</w:t>
      </w:r>
      <w:r w:rsidR="0053317D">
        <w:t xml:space="preserve"> et une autorité nationale compétente</w:t>
      </w:r>
      <w:r>
        <w:t xml:space="preserve">), le formateur devra probablement </w:t>
      </w:r>
      <w:r w:rsidR="0053317D">
        <w:t xml:space="preserve">fournir de l’aide pour créer l’enregistrement </w:t>
      </w:r>
      <w:r>
        <w:t>en lien.</w:t>
      </w:r>
    </w:p>
    <w:p w:rsidR="00B64034" w:rsidRDefault="00B64034" w:rsidP="00B64034">
      <w:pPr>
        <w:pStyle w:val="BulletsNormalBCH"/>
        <w:numPr>
          <w:ilvl w:val="0"/>
          <w:numId w:val="10"/>
        </w:numPr>
      </w:pPr>
      <w:r w:rsidRPr="0066352F">
        <w:t>A la fin de cet exercice, le formateur (connecté en tant qu’“Administrateur</w:t>
      </w:r>
      <w:r>
        <w:t xml:space="preserve">: </w:t>
      </w:r>
      <w:r w:rsidR="001A5935">
        <w:t>site de f</w:t>
      </w:r>
      <w:r>
        <w:t xml:space="preserve">ormation du CEPRB”) </w:t>
      </w:r>
      <w:r w:rsidRPr="0066352F">
        <w:t>devra valider les enregistrements soumis afin que les participants puissent y avoir accès da</w:t>
      </w:r>
      <w:r>
        <w:t xml:space="preserve">ns la section «Trouver </w:t>
      </w:r>
      <w:r>
        <w:lastRenderedPageBreak/>
        <w:t>l’Information» du site de f</w:t>
      </w:r>
      <w:r w:rsidRPr="0066352F">
        <w:t>ormation du CEPRB.</w:t>
      </w:r>
    </w:p>
    <w:p w:rsidR="00B64034" w:rsidRDefault="00B64034" w:rsidP="00B64034">
      <w:pPr>
        <w:pStyle w:val="BulletsNormalBCH"/>
        <w:numPr>
          <w:ilvl w:val="0"/>
          <w:numId w:val="10"/>
        </w:numPr>
      </w:pPr>
      <w:r>
        <w:t xml:space="preserve">Les </w:t>
      </w:r>
      <w:r w:rsidR="00C45BAE">
        <w:t>usagers peuvent consulter l’ «état des enregistrements» en suivant le lien dans le panneau de navigation gauche.</w:t>
      </w:r>
    </w:p>
    <w:p w:rsidR="00C45BAE" w:rsidRDefault="00C45BAE" w:rsidP="00C45BAE">
      <w:pPr>
        <w:pStyle w:val="BulletsNormalBCH"/>
        <w:numPr>
          <w:ilvl w:val="0"/>
          <w:numId w:val="10"/>
        </w:numPr>
      </w:pPr>
      <w:r>
        <w:t xml:space="preserve">Des tâches complémentaires (sans réponse clé) sont proposées aux participants </w:t>
      </w:r>
      <w:r w:rsidR="00352092">
        <w:t>qui</w:t>
      </w:r>
      <w:r>
        <w:t xml:space="preserve"> fini</w:t>
      </w:r>
      <w:r w:rsidR="00352092">
        <w:t>ront</w:t>
      </w:r>
      <w:r>
        <w:t xml:space="preserve"> leur exercice plus tôt (par exemple, éditer des fichiers existants et fournir des traductions).</w:t>
      </w:r>
    </w:p>
    <w:p w:rsidR="00C45BAE" w:rsidRPr="00B64034" w:rsidRDefault="00C45BAE" w:rsidP="00C45BAE">
      <w:pPr>
        <w:pStyle w:val="BulletsNormalBCH"/>
        <w:ind w:left="360"/>
      </w:pPr>
    </w:p>
    <w:p w:rsidR="00B64034" w:rsidRPr="00B64034" w:rsidRDefault="00B64034" w:rsidP="00B64034">
      <w:pPr>
        <w:pStyle w:val="NormalBCH"/>
        <w:rPr>
          <w:lang w:val="fr-FR"/>
        </w:rPr>
      </w:pPr>
    </w:p>
    <w:p w:rsidR="00A946CC" w:rsidRDefault="00A946CC" w:rsidP="003341CA">
      <w:pPr>
        <w:pStyle w:val="BulletsNormalBCH"/>
        <w:rPr>
          <w:b/>
        </w:rPr>
      </w:pPr>
    </w:p>
    <w:sectPr w:rsidR="00A946CC">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C2C" w:rsidRDefault="00AC3C2C">
      <w:r>
        <w:separator/>
      </w:r>
    </w:p>
  </w:endnote>
  <w:endnote w:type="continuationSeparator" w:id="0">
    <w:p w:rsidR="00AC3C2C" w:rsidRDefault="00AC3C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A8D" w:rsidRPr="00A55A8D" w:rsidRDefault="00A55A8D">
    <w:pPr>
      <w:pStyle w:val="Footer"/>
      <w:rPr>
        <w:rFonts w:ascii="Arial" w:hAnsi="Arial" w:cs="Arial"/>
        <w:sz w:val="20"/>
        <w:szCs w:val="20"/>
        <w:lang w:val="en-US"/>
      </w:rPr>
    </w:pPr>
    <w:r w:rsidRPr="00A55A8D">
      <w:rPr>
        <w:rFonts w:ascii="Arial" w:hAnsi="Arial" w:cs="Arial"/>
        <w:sz w:val="20"/>
        <w:szCs w:val="20"/>
        <w:lang w:val="en-US"/>
      </w:rPr>
      <w:t xml:space="preserve">Part of the </w:t>
    </w:r>
    <w:r w:rsidRPr="00A55A8D">
      <w:rPr>
        <w:rFonts w:ascii="Arial" w:hAnsi="Arial" w:cs="Arial"/>
        <w:b/>
        <w:sz w:val="20"/>
        <w:szCs w:val="20"/>
        <w:lang w:val="en-US"/>
      </w:rPr>
      <w:t>UNEP-GEF BCH</w:t>
    </w:r>
    <w:r w:rsidRPr="00A55A8D">
      <w:rPr>
        <w:rFonts w:ascii="Arial" w:hAnsi="Arial" w:cs="Arial"/>
        <w:sz w:val="20"/>
        <w:szCs w:val="20"/>
        <w:lang w:val="en-US"/>
      </w:rPr>
      <w:t xml:space="preserve"> Training Material package.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A8D" w:rsidRPr="00A55A8D" w:rsidRDefault="00A55A8D">
    <w:pPr>
      <w:pStyle w:val="Footer"/>
      <w:rPr>
        <w:rFonts w:ascii="Arial" w:hAnsi="Arial" w:cs="Arial"/>
        <w:sz w:val="20"/>
        <w:szCs w:val="20"/>
        <w:lang w:val="en-US"/>
      </w:rPr>
    </w:pPr>
    <w:r w:rsidRPr="00A55A8D">
      <w:rPr>
        <w:rFonts w:ascii="Arial" w:hAnsi="Arial" w:cs="Arial"/>
        <w:sz w:val="20"/>
        <w:szCs w:val="20"/>
        <w:lang w:val="en-US"/>
      </w:rPr>
      <w:t xml:space="preserve">Part of the </w:t>
    </w:r>
    <w:r w:rsidRPr="00A55A8D">
      <w:rPr>
        <w:rFonts w:ascii="Arial" w:hAnsi="Arial" w:cs="Arial"/>
        <w:b/>
        <w:sz w:val="20"/>
        <w:szCs w:val="20"/>
        <w:lang w:val="en-US"/>
      </w:rPr>
      <w:t>UNEP-GEF BCH</w:t>
    </w:r>
    <w:r w:rsidRPr="00A55A8D">
      <w:rPr>
        <w:rFonts w:ascii="Arial" w:hAnsi="Arial" w:cs="Arial"/>
        <w:sz w:val="20"/>
        <w:szCs w:val="20"/>
        <w:lang w:val="en-US"/>
      </w:rPr>
      <w:t xml:space="preserve"> Training Material package.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C2C" w:rsidRDefault="00AC3C2C">
      <w:r>
        <w:separator/>
      </w:r>
    </w:p>
  </w:footnote>
  <w:footnote w:type="continuationSeparator" w:id="0">
    <w:p w:rsidR="00AC3C2C" w:rsidRDefault="00AC3C2C">
      <w:r>
        <w:continuationSeparator/>
      </w:r>
    </w:p>
  </w:footnote>
  <w:footnote w:id="1">
    <w:p w:rsidR="00A946CC" w:rsidRDefault="00A946CC">
      <w:pPr>
        <w:pStyle w:val="FootnoteText"/>
        <w:rPr>
          <w:rFonts w:ascii="Arial" w:hAnsi="Arial"/>
          <w:sz w:val="20"/>
          <w:lang w:val="fr-FR"/>
        </w:rPr>
      </w:pPr>
      <w:r>
        <w:rPr>
          <w:rStyle w:val="FootnoteReference"/>
          <w:sz w:val="20"/>
        </w:rPr>
        <w:footnoteRef/>
      </w:r>
      <w:r>
        <w:rPr>
          <w:rFonts w:ascii="Arial" w:hAnsi="Arial"/>
          <w:sz w:val="20"/>
          <w:lang w:val="fr-FR"/>
        </w:rPr>
        <w:t xml:space="preserve"> Numéro international normalisé des publications en série, utilisé pour identifier une publication périodique.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A8D" w:rsidRDefault="00A55A8D" w:rsidP="00A55A8D">
    <w:pPr>
      <w:pStyle w:val="Header"/>
      <w:tabs>
        <w:tab w:val="left" w:pos="0"/>
      </w:tabs>
      <w:ind w:left="-1170"/>
    </w:pPr>
    <w:r w:rsidRPr="0032601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63.75pt">
          <v:imagedata r:id="rId1" o:title="banner module no unita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20AB8"/>
    <w:multiLevelType w:val="hybridMultilevel"/>
    <w:tmpl w:val="B908E0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484DD9"/>
    <w:multiLevelType w:val="hybridMultilevel"/>
    <w:tmpl w:val="CC3A83F8"/>
    <w:lvl w:ilvl="0" w:tplc="D62A9D7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F26F88"/>
    <w:multiLevelType w:val="hybridMultilevel"/>
    <w:tmpl w:val="38D0DE1A"/>
    <w:lvl w:ilvl="0" w:tplc="245E8E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3251B3"/>
    <w:multiLevelType w:val="hybridMultilevel"/>
    <w:tmpl w:val="06FEC21C"/>
    <w:lvl w:ilvl="0" w:tplc="A9587EE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92250A"/>
    <w:multiLevelType w:val="hybridMultilevel"/>
    <w:tmpl w:val="537E5A46"/>
    <w:lvl w:ilvl="0" w:tplc="20F0FE2A">
      <w:start w:val="1"/>
      <w:numFmt w:val="decimal"/>
      <w:pStyle w:val="Numberedparagraph"/>
      <w:lvlText w:val="%1."/>
      <w:lvlJc w:val="left"/>
      <w:pPr>
        <w:tabs>
          <w:tab w:val="num" w:pos="1080"/>
        </w:tabs>
        <w:ind w:left="1080" w:hanging="360"/>
      </w:p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31C62A97"/>
    <w:multiLevelType w:val="hybridMultilevel"/>
    <w:tmpl w:val="24B24408"/>
    <w:lvl w:ilvl="0" w:tplc="B136D1E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F56FB8"/>
    <w:multiLevelType w:val="hybridMultilevel"/>
    <w:tmpl w:val="4C327E6E"/>
    <w:lvl w:ilvl="0" w:tplc="A9587EE6">
      <w:start w:val="1"/>
      <w:numFmt w:val="bullet"/>
      <w:lvlText w:val=""/>
      <w:lvlJc w:val="left"/>
      <w:pPr>
        <w:tabs>
          <w:tab w:val="num" w:pos="1440"/>
        </w:tabs>
        <w:ind w:left="1440" w:hanging="360"/>
      </w:pPr>
      <w:rPr>
        <w:rFonts w:ascii="Symbol" w:hAnsi="Symbol"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4C3B3DCD"/>
    <w:multiLevelType w:val="hybridMultilevel"/>
    <w:tmpl w:val="3B42CD82"/>
    <w:lvl w:ilvl="0" w:tplc="A9587EE6">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8">
    <w:nsid w:val="75C6032E"/>
    <w:multiLevelType w:val="hybridMultilevel"/>
    <w:tmpl w:val="3CE4449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776B08B8"/>
    <w:multiLevelType w:val="hybridMultilevel"/>
    <w:tmpl w:val="328A5FA8"/>
    <w:lvl w:ilvl="0" w:tplc="C6D66A4E">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8"/>
  </w:num>
  <w:num w:numId="7">
    <w:abstractNumId w:val="9"/>
  </w:num>
  <w:num w:numId="8">
    <w:abstractNumId w:val="7"/>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26269"/>
    <w:rsid w:val="000B57C6"/>
    <w:rsid w:val="001A5935"/>
    <w:rsid w:val="001A7081"/>
    <w:rsid w:val="002C0689"/>
    <w:rsid w:val="002D3F04"/>
    <w:rsid w:val="002F02FD"/>
    <w:rsid w:val="003341CA"/>
    <w:rsid w:val="00352092"/>
    <w:rsid w:val="003B20FD"/>
    <w:rsid w:val="003D26DD"/>
    <w:rsid w:val="00422439"/>
    <w:rsid w:val="0053317D"/>
    <w:rsid w:val="00540ACB"/>
    <w:rsid w:val="00604138"/>
    <w:rsid w:val="0063005A"/>
    <w:rsid w:val="006733EB"/>
    <w:rsid w:val="006D6397"/>
    <w:rsid w:val="006E1AA6"/>
    <w:rsid w:val="00753239"/>
    <w:rsid w:val="008F447A"/>
    <w:rsid w:val="00972AEB"/>
    <w:rsid w:val="00972D5D"/>
    <w:rsid w:val="00A55A8D"/>
    <w:rsid w:val="00A946CC"/>
    <w:rsid w:val="00AC3C2C"/>
    <w:rsid w:val="00B26269"/>
    <w:rsid w:val="00B64034"/>
    <w:rsid w:val="00BA4E45"/>
    <w:rsid w:val="00BF7C68"/>
    <w:rsid w:val="00C25C4F"/>
    <w:rsid w:val="00C45BAE"/>
    <w:rsid w:val="00C778AB"/>
    <w:rsid w:val="00D733F8"/>
    <w:rsid w:val="00FA73F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b/>
      <w:kern w:val="32"/>
      <w:sz w:val="32"/>
      <w:szCs w:val="32"/>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outlineLvl w:val="2"/>
    </w:pPr>
    <w:rPr>
      <w:i/>
      <w:iCs/>
      <w:sz w:val="20"/>
      <w:szCs w:val="2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customStyle="1" w:styleId="NormalBCH">
    <w:name w:val="Normal  BCH"/>
    <w:basedOn w:val="Normal"/>
    <w:autoRedefine/>
    <w:pPr>
      <w:widowControl w:val="0"/>
      <w:spacing w:after="120" w:line="360" w:lineRule="auto"/>
    </w:pPr>
    <w:rPr>
      <w:rFonts w:ascii="Arial" w:hAnsi="Arial" w:cs="Arial"/>
      <w:snapToGrid w:val="0"/>
      <w:szCs w:val="20"/>
      <w:lang w:val="en-US"/>
    </w:rPr>
  </w:style>
  <w:style w:type="paragraph" w:customStyle="1" w:styleId="H1BCH">
    <w:name w:val="H1 BCH"/>
    <w:basedOn w:val="Heading1"/>
    <w:next w:val="NormalBCH"/>
    <w:autoRedefine/>
    <w:pPr>
      <w:keepLines/>
      <w:pageBreakBefore/>
      <w:widowControl w:val="0"/>
      <w:spacing w:after="240"/>
      <w:ind w:right="11"/>
      <w:jc w:val="both"/>
    </w:pPr>
    <w:rPr>
      <w:caps/>
      <w:snapToGrid w:val="0"/>
      <w:kern w:val="0"/>
      <w:sz w:val="28"/>
      <w:szCs w:val="28"/>
      <w:lang w:val="en-US"/>
    </w:rPr>
  </w:style>
  <w:style w:type="paragraph" w:customStyle="1" w:styleId="H2BCH">
    <w:name w:val="H2 BCH"/>
    <w:basedOn w:val="Heading2"/>
    <w:next w:val="NormalBCH"/>
    <w:autoRedefine/>
    <w:pPr>
      <w:keepLines/>
      <w:widowControl w:val="0"/>
      <w:spacing w:before="120" w:after="120"/>
      <w:ind w:right="11"/>
      <w:jc w:val="both"/>
    </w:pPr>
    <w:rPr>
      <w:i w:val="0"/>
      <w:snapToGrid w:val="0"/>
      <w:lang w:val="es-ES_tradnl"/>
    </w:rPr>
  </w:style>
  <w:style w:type="paragraph" w:customStyle="1" w:styleId="BulletsNormalBCH">
    <w:name w:val="Bullets Normal  BCH"/>
    <w:basedOn w:val="NormalBCH"/>
    <w:autoRedefine/>
    <w:rsid w:val="00B64034"/>
    <w:pPr>
      <w:spacing w:after="0"/>
    </w:pPr>
    <w:rPr>
      <w:color w:val="000000"/>
      <w:sz w:val="22"/>
      <w:szCs w:val="22"/>
      <w:lang w:val="fr-FR"/>
    </w:rPr>
  </w:style>
  <w:style w:type="paragraph" w:customStyle="1" w:styleId="Numberedparagraph">
    <w:name w:val="Numbered paragraph"/>
    <w:basedOn w:val="Normal"/>
    <w:pPr>
      <w:numPr>
        <w:numId w:val="3"/>
      </w:numPr>
      <w:spacing w:line="360" w:lineRule="auto"/>
      <w:jc w:val="both"/>
    </w:pPr>
    <w:rPr>
      <w:kern w:val="28"/>
      <w:sz w:val="22"/>
      <w:szCs w:val="20"/>
      <w:lang w:val="en-CA"/>
    </w:rPr>
  </w:style>
  <w:style w:type="paragraph" w:customStyle="1" w:styleId="ActivityPoint">
    <w:name w:val="Activity Point"/>
    <w:basedOn w:val="Normal"/>
    <w:pPr>
      <w:tabs>
        <w:tab w:val="left" w:pos="1080"/>
      </w:tabs>
      <w:spacing w:line="360" w:lineRule="auto"/>
      <w:ind w:left="1440" w:hanging="1440"/>
      <w:jc w:val="both"/>
    </w:pPr>
    <w:rPr>
      <w:kern w:val="28"/>
      <w:sz w:val="22"/>
      <w:szCs w:val="20"/>
      <w:lang w:val="en-CA"/>
    </w:rPr>
  </w:style>
  <w:style w:type="paragraph" w:styleId="Title">
    <w:name w:val="Title"/>
    <w:basedOn w:val="Normal"/>
    <w:qFormat/>
    <w:pPr>
      <w:jc w:val="center"/>
    </w:pPr>
    <w:rPr>
      <w:b/>
      <w:bCs/>
      <w:sz w:val="28"/>
      <w:lang w:val="en-US"/>
    </w:rPr>
  </w:style>
  <w:style w:type="paragraph" w:styleId="BodyText">
    <w:name w:val="Body Text"/>
    <w:basedOn w:val="Normal"/>
    <w:pPr>
      <w:pBdr>
        <w:bottom w:val="single" w:sz="4" w:space="1" w:color="auto"/>
      </w:pBdr>
      <w:jc w:val="center"/>
    </w:pPr>
    <w:rPr>
      <w:b/>
      <w:bCs/>
      <w:szCs w:val="20"/>
      <w:lang w:val="en-US"/>
    </w:rPr>
  </w:style>
  <w:style w:type="character" w:customStyle="1" w:styleId="hhelp">
    <w:name w:val="hhelp"/>
    <w:basedOn w:val="DefaultParagraphFont"/>
  </w:style>
  <w:style w:type="character" w:styleId="FollowedHyperlink">
    <w:name w:val="FollowedHyperlink"/>
    <w:basedOn w:val="DefaultParagraphFont"/>
    <w:rPr>
      <w:color w:val="800080"/>
      <w:u w:val="single"/>
    </w:rPr>
  </w:style>
  <w:style w:type="paragraph" w:customStyle="1" w:styleId="htitle">
    <w:name w:val="htitle"/>
    <w:basedOn w:val="Normal"/>
    <w:pPr>
      <w:spacing w:before="100" w:beforeAutospacing="1" w:after="100" w:afterAutospacing="1"/>
    </w:pPr>
    <w:rPr>
      <w:rFonts w:ascii="Arial Unicode MS" w:eastAsia="Arial Unicode MS" w:hAnsi="Arial Unicode MS" w:cs="Arial Unicode MS"/>
      <w:lang w:val="en-CA"/>
    </w:rPr>
  </w:style>
  <w:style w:type="paragraph" w:styleId="BodyTextIndent">
    <w:name w:val="Body Text Indent"/>
    <w:basedOn w:val="Normal"/>
    <w:pPr>
      <w:ind w:left="720"/>
    </w:pPr>
    <w:rPr>
      <w:sz w:val="20"/>
      <w:szCs w:val="20"/>
      <w:lang w:val="en-US"/>
    </w:rPr>
  </w:style>
  <w:style w:type="paragraph" w:styleId="BodyTextIndent2">
    <w:name w:val="Body Text Indent 2"/>
    <w:basedOn w:val="Normal"/>
    <w:pPr>
      <w:ind w:left="630"/>
    </w:pPr>
    <w:rPr>
      <w:sz w:val="20"/>
      <w:szCs w:val="20"/>
      <w:lang w:val="en-US"/>
    </w:rPr>
  </w:style>
  <w:style w:type="paragraph" w:styleId="FootnoteText">
    <w:name w:val="footnote text"/>
    <w:basedOn w:val="Normal"/>
    <w:semiHidden/>
    <w:rPr>
      <w:lang w:val="en-US"/>
    </w:rPr>
  </w:style>
  <w:style w:type="character" w:styleId="FootnoteReference">
    <w:name w:val="footnote reference"/>
    <w:basedOn w:val="DefaultParagraphFont"/>
    <w:semiHidden/>
    <w:rPr>
      <w:vertAlign w:val="superscript"/>
    </w:rPr>
  </w:style>
  <w:style w:type="paragraph" w:customStyle="1" w:styleId="Textedebulles">
    <w:name w:val="Texte de bulles"/>
    <w:basedOn w:val="Normal"/>
    <w:semiHidden/>
    <w:rPr>
      <w:rFonts w:ascii="Tahoma" w:hAnsi="Tahoma" w:cs="Tahoma"/>
      <w:sz w:val="16"/>
      <w:szCs w:val="16"/>
    </w:rPr>
  </w:style>
  <w:style w:type="paragraph" w:styleId="BalloonText">
    <w:name w:val="Balloon Text"/>
    <w:basedOn w:val="Normal"/>
    <w:semiHidden/>
    <w:rsid w:val="00422439"/>
    <w:rPr>
      <w:rFonts w:ascii="Tahoma" w:hAnsi="Tahoma" w:cs="Tahoma"/>
      <w:sz w:val="16"/>
      <w:szCs w:val="16"/>
    </w:rPr>
  </w:style>
  <w:style w:type="paragraph" w:styleId="Header">
    <w:name w:val="header"/>
    <w:basedOn w:val="Normal"/>
    <w:rsid w:val="00A55A8D"/>
    <w:pPr>
      <w:tabs>
        <w:tab w:val="center" w:pos="4320"/>
        <w:tab w:val="right" w:pos="8640"/>
      </w:tabs>
    </w:pPr>
  </w:style>
  <w:style w:type="paragraph" w:styleId="Footer">
    <w:name w:val="footer"/>
    <w:basedOn w:val="Normal"/>
    <w:rsid w:val="00A55A8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ch.cbd.in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amngo.net/new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4169</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7: REGISTERING DATA IN THE BCH CENTRAL PORTAL – GENERAL USERS</dc:title>
  <dc:creator>GMC</dc:creator>
  <cp:lastModifiedBy>Lamine Sano</cp:lastModifiedBy>
  <cp:revision>3</cp:revision>
  <cp:lastPrinted>2007-06-14T10:27:00Z</cp:lastPrinted>
  <dcterms:created xsi:type="dcterms:W3CDTF">2012-05-10T09:34:00Z</dcterms:created>
  <dcterms:modified xsi:type="dcterms:W3CDTF">2012-05-10T09:35:00Z</dcterms:modified>
</cp:coreProperties>
</file>