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03B5B">
      <w:pPr>
        <w:spacing w:before="2000"/>
      </w:pPr>
    </w:p>
    <w:p w14:paraId="339A9319">
      <w:pPr>
        <w:jc w:val="center"/>
      </w:pPr>
      <w:r>
        <w:rPr>
          <w:rFonts w:ascii="Arial" w:hAnsi="Arial" w:eastAsia="微软雅黑"/>
          <w:b/>
          <w:bCs/>
          <w:sz w:val="48"/>
          <w:szCs w:val="48"/>
        </w:rPr>
        <w:t>NDR市场加密流量方向</w:t>
      </w:r>
    </w:p>
    <w:p w14:paraId="3D288D70">
      <w:pPr>
        <w:spacing w:before="200"/>
        <w:jc w:val="center"/>
      </w:pPr>
      <w:r>
        <w:rPr>
          <w:rFonts w:ascii="Arial" w:hAnsi="Arial" w:eastAsia="微软雅黑"/>
          <w:b/>
          <w:bCs/>
          <w:sz w:val="48"/>
          <w:szCs w:val="48"/>
        </w:rPr>
        <w:t>深度分析报告</w:t>
      </w:r>
    </w:p>
    <w:p w14:paraId="2876DF6C">
      <w:pPr>
        <w:spacing w:before="400"/>
        <w:jc w:val="center"/>
      </w:pPr>
      <w:r>
        <w:rPr>
          <w:rFonts w:ascii="Arial" w:hAnsi="Arial" w:eastAsia="微软雅黑"/>
          <w:sz w:val="28"/>
          <w:szCs w:val="28"/>
        </w:rPr>
        <w:t>（2023-2025历史数据 + 2026-2030市场预测）</w:t>
      </w:r>
    </w:p>
    <w:p w14:paraId="2B39E9CA">
      <w:pPr>
        <w:spacing w:before="1500"/>
      </w:pPr>
    </w:p>
    <w:p w14:paraId="575570DB">
      <w:pPr>
        <w:jc w:val="center"/>
      </w:pPr>
      <w:r>
        <w:rPr>
          <w:rFonts w:ascii="Arial" w:hAnsi="Arial" w:eastAsia="微软雅黑"/>
          <w:sz w:val="24"/>
          <w:szCs w:val="24"/>
        </w:rPr>
        <w:t>报告日期：2026年4月</w:t>
      </w:r>
    </w:p>
    <w:p w14:paraId="5104168E">
      <w:pPr>
        <w:spacing w:before="100"/>
        <w:jc w:val="center"/>
      </w:pPr>
      <w:r>
        <w:rPr>
          <w:rFonts w:ascii="Arial" w:hAnsi="Arial" w:eastAsia="微软雅黑"/>
          <w:sz w:val="22"/>
          <w:szCs w:val="22"/>
        </w:rPr>
        <w:t>数据来源：IDC、Grand View Research、MarketsandMarkets、Zscaler等</w:t>
      </w:r>
    </w:p>
    <w:p w14:paraId="7E04B9D4">
      <w:r>
        <w:br w:type="page"/>
      </w:r>
    </w:p>
    <w:p w14:paraId="6EC65D32">
      <w:pPr>
        <w:pStyle w:val="2"/>
      </w:pPr>
      <w:r>
        <w:rPr>
          <w:rFonts w:ascii="Arial" w:hAnsi="Arial" w:eastAsia="微软雅黑"/>
          <w:b/>
          <w:bCs/>
          <w:sz w:val="32"/>
          <w:szCs w:val="32"/>
        </w:rPr>
        <w:t>摘要</w:t>
      </w:r>
    </w:p>
    <w:p w14:paraId="5A133BC1">
      <w:pPr>
        <w:spacing w:after="120"/>
        <w:jc w:val="both"/>
      </w:pPr>
      <w:r>
        <w:rPr>
          <w:rFonts w:ascii="Arial" w:hAnsi="Arial" w:eastAsia="微软雅黑"/>
          <w:sz w:val="22"/>
          <w:szCs w:val="22"/>
        </w:rPr>
        <w:t>本报告聚焦于全球及中国NDR（Network Detection &amp; Response，网络检测与响应）市场中加密流量检测（Encrypted Traffic Detection, ETD）细分方向的发展态势。基于IDC、Grand View Research、MarketsandMarkets、Zscaler等权威机构的最新数据，对近三年（2023-2025）市场规模增长进行深度分析，并对未来三年（2026-2030）发展趋势进行预测。</w:t>
      </w:r>
    </w:p>
    <w:p w14:paraId="246CFD36">
      <w:pPr>
        <w:pStyle w:val="3"/>
      </w:pPr>
      <w:r>
        <w:rPr>
          <w:rFonts w:ascii="Arial" w:hAnsi="Arial" w:eastAsia="微软雅黑"/>
          <w:b/>
          <w:bCs/>
          <w:sz w:val="28"/>
          <w:szCs w:val="28"/>
        </w:rPr>
        <w:t>核心发现</w:t>
      </w:r>
    </w:p>
    <w:p w14:paraId="536E803D">
      <w:pPr>
        <w:pStyle w:val="20"/>
        <w:numPr>
          <w:ilvl w:val="0"/>
          <w:numId w:val="1"/>
        </w:numPr>
        <w:spacing w:after="80"/>
      </w:pPr>
      <w:r>
        <w:rPr>
          <w:rFonts w:ascii="Arial" w:hAnsi="Arial" w:eastAsia="微软雅黑"/>
          <w:sz w:val="22"/>
          <w:szCs w:val="22"/>
        </w:rPr>
        <w:t>中国NDR市场：2024年市场规模达23.6亿元人民币，预计2027年突破60亿元，CAGR约18.6%</w:t>
      </w:r>
    </w:p>
    <w:p w14:paraId="3DA5F56D">
      <w:pPr>
        <w:pStyle w:val="20"/>
        <w:numPr>
          <w:ilvl w:val="0"/>
          <w:numId w:val="1"/>
        </w:numPr>
        <w:spacing w:after="80"/>
      </w:pPr>
      <w:r>
        <w:rPr>
          <w:rFonts w:ascii="Arial" w:hAnsi="Arial" w:eastAsia="微软雅黑"/>
          <w:sz w:val="22"/>
          <w:szCs w:val="22"/>
        </w:rPr>
        <w:t>全球NDR市场：2025年规模约37.7亿美元，预计2030年达61.5亿美元，CAGR约10.1%</w:t>
      </w:r>
    </w:p>
    <w:p w14:paraId="1DB7E6A3">
      <w:pPr>
        <w:pStyle w:val="20"/>
        <w:numPr>
          <w:ilvl w:val="0"/>
          <w:numId w:val="1"/>
        </w:numPr>
        <w:spacing w:after="80"/>
      </w:pPr>
      <w:r>
        <w:rPr>
          <w:rFonts w:ascii="Arial" w:hAnsi="Arial" w:eastAsia="微软雅黑"/>
          <w:sz w:val="22"/>
          <w:szCs w:val="22"/>
        </w:rPr>
        <w:t>加密流量威胁：87.2%的网络攻击通过加密通道进行，86.5%为恶意软件</w:t>
      </w:r>
    </w:p>
    <w:p w14:paraId="4B7D1078">
      <w:pPr>
        <w:pStyle w:val="20"/>
        <w:numPr>
          <w:ilvl w:val="0"/>
          <w:numId w:val="1"/>
        </w:numPr>
        <w:spacing w:after="80"/>
      </w:pPr>
      <w:r>
        <w:rPr>
          <w:rFonts w:ascii="Arial" w:hAnsi="Arial" w:eastAsia="微软雅黑"/>
          <w:sz w:val="22"/>
          <w:szCs w:val="22"/>
        </w:rPr>
        <w:t>加密流量渗透率：全球95%以上互联网流量已加密，TLS 1.3成为主导协议</w:t>
      </w:r>
    </w:p>
    <w:p w14:paraId="1E5E9BF9">
      <w:pPr>
        <w:pStyle w:val="20"/>
        <w:numPr>
          <w:ilvl w:val="0"/>
          <w:numId w:val="1"/>
        </w:numPr>
        <w:spacing w:after="120"/>
      </w:pPr>
      <w:r>
        <w:rPr>
          <w:rFonts w:ascii="Arial" w:hAnsi="Arial" w:eastAsia="微软雅黑"/>
          <w:sz w:val="22"/>
          <w:szCs w:val="22"/>
        </w:rPr>
        <w:t>ETD细分市场：预计CAGR达32%，成为NDR市场增长最快的细分赛道</w:t>
      </w:r>
    </w:p>
    <w:p w14:paraId="33800028">
      <w:r>
        <w:br w:type="page"/>
      </w:r>
    </w:p>
    <w:p w14:paraId="7EDAF552">
      <w:pPr>
        <w:pStyle w:val="2"/>
      </w:pPr>
      <w:r>
        <w:rPr>
          <w:rFonts w:ascii="Arial" w:hAnsi="Arial" w:eastAsia="微软雅黑"/>
          <w:b/>
          <w:bCs/>
          <w:sz w:val="32"/>
          <w:szCs w:val="32"/>
        </w:rPr>
        <w:t>一、中国NDR市场规模与格局（2022-2025）</w:t>
      </w:r>
    </w:p>
    <w:p w14:paraId="44CD96F8">
      <w:pPr>
        <w:pStyle w:val="3"/>
      </w:pPr>
      <w:r>
        <w:rPr>
          <w:rFonts w:ascii="Arial" w:hAnsi="Arial" w:eastAsia="微软雅黑"/>
          <w:b/>
          <w:bCs/>
          <w:sz w:val="28"/>
          <w:szCs w:val="28"/>
        </w:rPr>
        <w:t>1.1 市场规模变化趋势</w:t>
      </w:r>
    </w:p>
    <w:p w14:paraId="386F8002">
      <w:pPr>
        <w:spacing w:after="120"/>
        <w:jc w:val="both"/>
      </w:pPr>
      <w:r>
        <w:rPr>
          <w:rFonts w:ascii="Arial" w:hAnsi="Arial" w:eastAsia="微软雅黑"/>
          <w:sz w:val="22"/>
          <w:szCs w:val="22"/>
        </w:rPr>
        <w:t>根据IDC发布的《中国网络威胁检测与响应市场份额》系列报告，中国NDR市场近年来呈现以下发展态势：</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6"/>
        <w:gridCol w:w="2256"/>
        <w:gridCol w:w="2256"/>
        <w:gridCol w:w="3242"/>
      </w:tblGrid>
      <w:tr w14:paraId="679A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E599825">
            <w:pPr>
              <w:jc w:val="center"/>
            </w:pPr>
            <w:r>
              <w:rPr>
                <w:rFonts w:ascii="Arial" w:hAnsi="Arial" w:eastAsia="微软雅黑"/>
                <w:b/>
                <w:bCs/>
                <w:sz w:val="22"/>
                <w:szCs w:val="22"/>
              </w:rPr>
              <w:t>年份</w:t>
            </w:r>
          </w:p>
        </w:tc>
        <w:tc>
          <w:tcPr>
            <w:tcW w:w="225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0E43BB2">
            <w:pPr>
              <w:jc w:val="center"/>
            </w:pPr>
            <w:r>
              <w:rPr>
                <w:rFonts w:ascii="Arial" w:hAnsi="Arial" w:eastAsia="微软雅黑"/>
                <w:b/>
                <w:bCs/>
                <w:sz w:val="22"/>
                <w:szCs w:val="22"/>
              </w:rPr>
              <w:t>市场规模（亿元）</w:t>
            </w:r>
          </w:p>
        </w:tc>
        <w:tc>
          <w:tcPr>
            <w:tcW w:w="225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FA400E4">
            <w:pPr>
              <w:jc w:val="center"/>
            </w:pPr>
            <w:r>
              <w:rPr>
                <w:rFonts w:ascii="Arial" w:hAnsi="Arial" w:eastAsia="微软雅黑"/>
                <w:b/>
                <w:bCs/>
                <w:sz w:val="22"/>
                <w:szCs w:val="22"/>
              </w:rPr>
              <w:t>同比增速</w:t>
            </w:r>
          </w:p>
        </w:tc>
        <w:tc>
          <w:tcPr>
            <w:tcW w:w="3242"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34E9253">
            <w:pPr>
              <w:jc w:val="center"/>
            </w:pPr>
            <w:r>
              <w:rPr>
                <w:rFonts w:ascii="Arial" w:hAnsi="Arial" w:eastAsia="微软雅黑"/>
                <w:b/>
                <w:bCs/>
                <w:sz w:val="22"/>
                <w:szCs w:val="22"/>
              </w:rPr>
              <w:t>数据来源</w:t>
            </w:r>
          </w:p>
        </w:tc>
      </w:tr>
      <w:tr w14:paraId="7DCD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DE3676">
            <w:pPr>
              <w:jc w:val="center"/>
            </w:pPr>
            <w:r>
              <w:rPr>
                <w:rFonts w:ascii="Arial" w:hAnsi="Arial" w:eastAsia="微软雅黑"/>
                <w:sz w:val="22"/>
                <w:szCs w:val="22"/>
              </w:rPr>
              <w:t>2022年</w:t>
            </w:r>
          </w:p>
        </w:tc>
        <w:tc>
          <w:tcPr>
            <w:tcW w:w="225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702E35">
            <w:pPr>
              <w:jc w:val="center"/>
            </w:pPr>
            <w:r>
              <w:rPr>
                <w:rFonts w:ascii="Arial" w:hAnsi="Arial" w:eastAsia="微软雅黑"/>
                <w:sz w:val="22"/>
                <w:szCs w:val="22"/>
              </w:rPr>
              <w:t>23.4</w:t>
            </w:r>
          </w:p>
        </w:tc>
        <w:tc>
          <w:tcPr>
            <w:tcW w:w="225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ABF88A">
            <w:pPr>
              <w:jc w:val="center"/>
              <w:rPr>
                <w:rFonts w:hint="default" w:eastAsia="微软雅黑"/>
                <w:lang w:val="en-US" w:eastAsia="zh-CN"/>
              </w:rPr>
            </w:pPr>
            <w:r>
              <w:rPr>
                <w:rFonts w:ascii="Arial" w:hAnsi="Arial" w:eastAsia="微软雅黑"/>
                <w:sz w:val="22"/>
                <w:szCs w:val="22"/>
              </w:rPr>
              <w:t>+13.7%</w:t>
            </w:r>
          </w:p>
        </w:tc>
        <w:tc>
          <w:tcPr>
            <w:tcW w:w="324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71BEC1">
            <w:pPr>
              <w:jc w:val="center"/>
            </w:pPr>
            <w:r>
              <w:rPr>
                <w:rFonts w:ascii="Arial" w:hAnsi="Arial" w:eastAsia="微软雅黑"/>
                <w:sz w:val="22"/>
                <w:szCs w:val="22"/>
              </w:rPr>
              <w:t>IDC报告</w:t>
            </w:r>
          </w:p>
        </w:tc>
      </w:tr>
      <w:tr w14:paraId="3222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794A0">
            <w:pPr>
              <w:jc w:val="center"/>
            </w:pPr>
            <w:r>
              <w:rPr>
                <w:rFonts w:ascii="Arial" w:hAnsi="Arial" w:eastAsia="微软雅黑"/>
                <w:sz w:val="22"/>
                <w:szCs w:val="22"/>
              </w:rPr>
              <w:t>2023年</w:t>
            </w:r>
          </w:p>
        </w:tc>
        <w:tc>
          <w:tcPr>
            <w:tcW w:w="225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7ED0D2">
            <w:pPr>
              <w:jc w:val="center"/>
            </w:pPr>
            <w:r>
              <w:rPr>
                <w:rFonts w:ascii="Arial" w:hAnsi="Arial" w:eastAsia="微软雅黑"/>
                <w:sz w:val="22"/>
                <w:szCs w:val="22"/>
              </w:rPr>
              <w:t>23.8</w:t>
            </w:r>
          </w:p>
        </w:tc>
        <w:tc>
          <w:tcPr>
            <w:tcW w:w="225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599E3B">
            <w:pPr>
              <w:jc w:val="center"/>
            </w:pPr>
            <w:r>
              <w:rPr>
                <w:rFonts w:ascii="Arial" w:hAnsi="Arial" w:eastAsia="微软雅黑"/>
                <w:sz w:val="22"/>
                <w:szCs w:val="22"/>
              </w:rPr>
              <w:t>+1.6%</w:t>
            </w:r>
          </w:p>
        </w:tc>
        <w:tc>
          <w:tcPr>
            <w:tcW w:w="324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F3866B">
            <w:pPr>
              <w:jc w:val="center"/>
            </w:pPr>
            <w:r>
              <w:rPr>
                <w:rFonts w:ascii="Arial" w:hAnsi="Arial" w:eastAsia="微软雅黑"/>
                <w:sz w:val="22"/>
                <w:szCs w:val="22"/>
              </w:rPr>
              <w:t>IDC报告</w:t>
            </w:r>
          </w:p>
        </w:tc>
      </w:tr>
      <w:tr w14:paraId="7E01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279B70">
            <w:pPr>
              <w:jc w:val="center"/>
            </w:pPr>
            <w:r>
              <w:rPr>
                <w:rFonts w:ascii="Arial" w:hAnsi="Arial" w:eastAsia="微软雅黑"/>
                <w:sz w:val="22"/>
                <w:szCs w:val="22"/>
              </w:rPr>
              <w:t>2024年</w:t>
            </w:r>
          </w:p>
        </w:tc>
        <w:tc>
          <w:tcPr>
            <w:tcW w:w="225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5BC0A8">
            <w:pPr>
              <w:jc w:val="center"/>
            </w:pPr>
            <w:r>
              <w:rPr>
                <w:rFonts w:ascii="Arial" w:hAnsi="Arial" w:eastAsia="微软雅黑"/>
                <w:sz w:val="22"/>
                <w:szCs w:val="22"/>
              </w:rPr>
              <w:t>23.6</w:t>
            </w:r>
          </w:p>
        </w:tc>
        <w:tc>
          <w:tcPr>
            <w:tcW w:w="225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72DD7D">
            <w:pPr>
              <w:jc w:val="center"/>
            </w:pPr>
            <w:r>
              <w:rPr>
                <w:rFonts w:ascii="Arial" w:hAnsi="Arial" w:eastAsia="微软雅黑"/>
                <w:sz w:val="22"/>
                <w:szCs w:val="22"/>
              </w:rPr>
              <w:t>-0.9%</w:t>
            </w:r>
          </w:p>
        </w:tc>
        <w:tc>
          <w:tcPr>
            <w:tcW w:w="324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A373A1">
            <w:pPr>
              <w:jc w:val="center"/>
            </w:pPr>
            <w:r>
              <w:rPr>
                <w:rFonts w:ascii="Arial" w:hAnsi="Arial" w:eastAsia="微软雅黑"/>
                <w:sz w:val="22"/>
                <w:szCs w:val="22"/>
              </w:rPr>
              <w:t>IDC报告</w:t>
            </w:r>
          </w:p>
        </w:tc>
      </w:tr>
    </w:tbl>
    <w:p w14:paraId="67F0896E">
      <w:pPr>
        <w:spacing w:after="120"/>
        <w:jc w:val="left"/>
        <w:rPr>
          <w:rFonts w:ascii="Arial" w:hAnsi="Arial" w:eastAsia="微软雅黑"/>
          <w:sz w:val="22"/>
          <w:szCs w:val="22"/>
        </w:rPr>
      </w:pPr>
      <w:r>
        <w:rPr>
          <w:rFonts w:ascii="Arial" w:hAnsi="Arial" w:eastAsia="微软雅黑"/>
          <w:sz w:val="22"/>
          <w:szCs w:val="22"/>
        </w:rPr>
        <w:t>数据来源：</w:t>
      </w:r>
    </w:p>
    <w:p w14:paraId="1CF18E08">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Style w:val="18"/>
          <w:rFonts w:hint="eastAsia" w:ascii="Times New Roman" w:hAnsi="Times New Roman" w:eastAsia="宋体" w:cs="Times New Roman"/>
          <w:b w:val="0"/>
          <w:bCs w:val="0"/>
          <w:sz w:val="22"/>
          <w:szCs w:val="22"/>
          <w:lang w:val="en-US" w:eastAsia="zh-CN"/>
        </w:rPr>
      </w:pPr>
      <w:commentRangeStart w:id="0"/>
      <w:r>
        <w:rPr>
          <w:rStyle w:val="18"/>
          <w:rFonts w:hint="default" w:ascii="Times New Roman" w:hAnsi="Times New Roman" w:eastAsia="宋体" w:cs="Times New Roman"/>
          <w:b w:val="0"/>
          <w:bCs w:val="0"/>
          <w:sz w:val="22"/>
          <w:szCs w:val="22"/>
        </w:rPr>
        <w:t>IDC：《中国网络威胁检测与响应市场份额，2022：技术提升，市场下沉》（# CHC50358323）</w:t>
      </w:r>
      <w:commentRangeEnd w:id="0"/>
      <w:r>
        <w:commentReference w:id="0"/>
      </w:r>
    </w:p>
    <w:p w14:paraId="13F2C52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Style w:val="18"/>
          <w:rFonts w:hint="default" w:ascii="Times New Roman" w:hAnsi="Times New Roman" w:eastAsia="宋体" w:cs="Times New Roman"/>
          <w:b w:val="0"/>
          <w:bCs w:val="0"/>
          <w:sz w:val="22"/>
          <w:szCs w:val="22"/>
        </w:rPr>
      </w:pPr>
      <w:r>
        <w:rPr>
          <w:rFonts w:hint="default" w:ascii="Times New Roman" w:hAnsi="Times New Roman" w:eastAsia="宋体" w:cs="Times New Roman"/>
          <w:b w:val="0"/>
          <w:bCs w:val="0"/>
          <w:color w:val="0563C1"/>
          <w:sz w:val="22"/>
          <w:szCs w:val="22"/>
          <w:u w:val="single"/>
        </w:rPr>
        <w:fldChar w:fldCharType="begin"/>
      </w:r>
      <w:r>
        <w:rPr>
          <w:rFonts w:hint="default" w:ascii="Times New Roman" w:hAnsi="Times New Roman" w:eastAsia="宋体" w:cs="Times New Roman"/>
          <w:b w:val="0"/>
          <w:bCs w:val="0"/>
          <w:color w:val="0563C1"/>
          <w:sz w:val="22"/>
          <w:szCs w:val="22"/>
          <w:u w:val="single"/>
        </w:rPr>
        <w:instrText xml:space="preserve"> HYPERLINK "https://www.secrss.com/articles/67279" </w:instrText>
      </w:r>
      <w:r>
        <w:rPr>
          <w:rFonts w:hint="default" w:ascii="Times New Roman" w:hAnsi="Times New Roman" w:eastAsia="宋体" w:cs="Times New Roman"/>
          <w:b w:val="0"/>
          <w:bCs w:val="0"/>
          <w:color w:val="0563C1"/>
          <w:sz w:val="22"/>
          <w:szCs w:val="22"/>
          <w:u w:val="single"/>
        </w:rPr>
        <w:fldChar w:fldCharType="separate"/>
      </w:r>
      <w:r>
        <w:rPr>
          <w:rStyle w:val="18"/>
          <w:rFonts w:hint="default" w:ascii="Times New Roman" w:hAnsi="Times New Roman" w:eastAsia="宋体" w:cs="Times New Roman"/>
          <w:b w:val="0"/>
          <w:bCs w:val="0"/>
          <w:sz w:val="22"/>
          <w:szCs w:val="22"/>
        </w:rPr>
        <w:t>IDC</w:t>
      </w:r>
      <w:r>
        <w:rPr>
          <w:rStyle w:val="18"/>
          <w:rFonts w:hint="eastAsia" w:ascii="Times New Roman" w:hAnsi="Times New Roman" w:eastAsia="宋体" w:cs="Times New Roman"/>
          <w:b w:val="0"/>
          <w:bCs w:val="0"/>
          <w:sz w:val="22"/>
          <w:szCs w:val="22"/>
          <w:lang w:eastAsia="zh-CN"/>
        </w:rPr>
        <w:t>：</w:t>
      </w:r>
      <w:r>
        <w:rPr>
          <w:rStyle w:val="18"/>
          <w:rFonts w:hint="default" w:ascii="Times New Roman" w:hAnsi="Times New Roman" w:eastAsia="宋体" w:cs="Times New Roman"/>
          <w:b w:val="0"/>
          <w:bCs w:val="0"/>
          <w:sz w:val="22"/>
          <w:szCs w:val="22"/>
        </w:rPr>
        <w:t>《中国网络威胁检测与响应市场份额，2023：NDR 正在向更多技术栈延伸》（Doc # CHC50964624 ，2024年6月）</w:t>
      </w:r>
    </w:p>
    <w:p w14:paraId="1D82749C">
      <w:pPr>
        <w:rPr>
          <w:rStyle w:val="18"/>
          <w:rFonts w:hint="default" w:ascii="Times New Roman" w:hAnsi="Times New Roman" w:eastAsia="宋体" w:cs="Times New Roman"/>
          <w:b w:val="0"/>
          <w:bCs w:val="0"/>
          <w:sz w:val="22"/>
          <w:szCs w:val="22"/>
        </w:rPr>
      </w:pPr>
      <w:r>
        <w:rPr>
          <w:rFonts w:hint="default" w:ascii="Times New Roman" w:hAnsi="Times New Roman" w:eastAsia="宋体" w:cs="Times New Roman"/>
          <w:b w:val="0"/>
          <w:bCs w:val="0"/>
          <w:color w:val="0563C1"/>
          <w:sz w:val="22"/>
          <w:szCs w:val="22"/>
          <w:u w:val="single"/>
        </w:rPr>
        <w:fldChar w:fldCharType="end"/>
      </w:r>
      <w:r>
        <w:rPr>
          <w:rStyle w:val="18"/>
          <w:rFonts w:hint="eastAsia" w:ascii="Times New Roman" w:hAnsi="Times New Roman" w:eastAsia="宋体" w:cs="Times New Roman"/>
          <w:b w:val="0"/>
          <w:bCs w:val="0"/>
          <w:sz w:val="22"/>
          <w:szCs w:val="22"/>
          <w:lang w:val="en-US" w:eastAsia="zh-CN"/>
        </w:rPr>
        <w:t>IDC：</w:t>
      </w:r>
      <w:r>
        <w:rPr>
          <w:rStyle w:val="18"/>
          <w:rFonts w:hint="eastAsia" w:ascii="Times New Roman" w:hAnsi="Times New Roman" w:eastAsia="宋体" w:cs="Times New Roman"/>
          <w:b w:val="0"/>
          <w:bCs w:val="0"/>
          <w:sz w:val="22"/>
          <w:szCs w:val="22"/>
          <w:lang w:eastAsia="zh-CN"/>
        </w:rPr>
        <w:t>《</w:t>
      </w:r>
      <w:r>
        <w:rPr>
          <w:rStyle w:val="18"/>
          <w:rFonts w:hint="default" w:ascii="Times New Roman" w:hAnsi="Times New Roman" w:eastAsia="宋体" w:cs="Times New Roman"/>
          <w:b w:val="0"/>
          <w:bCs w:val="0"/>
          <w:sz w:val="22"/>
          <w:szCs w:val="22"/>
        </w:rPr>
        <w:fldChar w:fldCharType="begin"/>
      </w:r>
      <w:r>
        <w:rPr>
          <w:rStyle w:val="18"/>
          <w:rFonts w:hint="default" w:ascii="Times New Roman" w:hAnsi="Times New Roman" w:eastAsia="宋体" w:cs="Times New Roman"/>
          <w:b w:val="0"/>
          <w:bCs w:val="0"/>
          <w:sz w:val="22"/>
          <w:szCs w:val="22"/>
        </w:rPr>
        <w:instrText xml:space="preserve"> HYPERLINK "https://www.secrss.com/articles/79613" </w:instrText>
      </w:r>
      <w:r>
        <w:rPr>
          <w:rStyle w:val="18"/>
          <w:rFonts w:hint="default" w:ascii="Times New Roman" w:hAnsi="Times New Roman" w:eastAsia="宋体" w:cs="Times New Roman"/>
          <w:b w:val="0"/>
          <w:bCs w:val="0"/>
          <w:sz w:val="22"/>
          <w:szCs w:val="22"/>
        </w:rPr>
        <w:fldChar w:fldCharType="separate"/>
      </w:r>
      <w:r>
        <w:rPr>
          <w:rStyle w:val="18"/>
          <w:rFonts w:hint="default" w:ascii="Times New Roman" w:hAnsi="Times New Roman" w:eastAsia="宋体" w:cs="Times New Roman"/>
          <w:b w:val="0"/>
          <w:bCs w:val="0"/>
          <w:sz w:val="22"/>
          <w:szCs w:val="22"/>
        </w:rPr>
        <w:t>IDC 中国GenAI赋能的网络威胁检测与响应市场份额，2024：大模型深入应用，产品能力与运营效率双提升》（Doc # CHC52196225 ，2025年6月）</w:t>
      </w:r>
      <w:r>
        <w:rPr>
          <w:rStyle w:val="18"/>
          <w:rFonts w:hint="default" w:ascii="Times New Roman" w:hAnsi="Times New Roman" w:eastAsia="宋体" w:cs="Times New Roman"/>
          <w:b w:val="0"/>
          <w:bCs w:val="0"/>
          <w:sz w:val="22"/>
          <w:szCs w:val="22"/>
        </w:rPr>
        <w:fldChar w:fldCharType="end"/>
      </w:r>
    </w:p>
    <w:p w14:paraId="3ACFF763"/>
    <w:p w14:paraId="35A465DA">
      <w:pPr>
        <w:spacing w:after="120"/>
        <w:jc w:val="both"/>
        <w:rPr>
          <w:rFonts w:ascii="宋体" w:hAnsi="宋体" w:eastAsia="宋体" w:cs="宋体"/>
          <w:sz w:val="24"/>
          <w:szCs w:val="24"/>
        </w:rPr>
      </w:pPr>
      <w:r>
        <w:rPr>
          <w:rFonts w:ascii="宋体" w:hAnsi="宋体" w:eastAsia="宋体" w:cs="宋体"/>
          <w:sz w:val="24"/>
          <w:szCs w:val="24"/>
        </w:rPr>
        <w:drawing>
          <wp:inline distT="0" distB="0" distL="114300" distR="114300">
            <wp:extent cx="5534025" cy="5257800"/>
            <wp:effectExtent l="0" t="0" r="13335" b="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8"/>
                    <a:stretch>
                      <a:fillRect/>
                    </a:stretch>
                  </pic:blipFill>
                  <pic:spPr>
                    <a:xfrm>
                      <a:off x="0" y="0"/>
                      <a:ext cx="5534025" cy="5257800"/>
                    </a:xfrm>
                    <a:prstGeom prst="rect">
                      <a:avLst/>
                    </a:prstGeom>
                    <a:noFill/>
                    <a:ln w="9525">
                      <a:noFill/>
                    </a:ln>
                  </pic:spPr>
                </pic:pic>
              </a:graphicData>
            </a:graphic>
          </wp:inline>
        </w:drawing>
      </w:r>
    </w:p>
    <w:p w14:paraId="431D62C3">
      <w:pPr>
        <w:spacing w:after="120"/>
        <w:jc w:val="both"/>
        <w:rPr>
          <w:rFonts w:ascii="宋体" w:hAnsi="宋体" w:eastAsia="宋体" w:cs="宋体"/>
          <w:sz w:val="24"/>
          <w:szCs w:val="24"/>
        </w:rPr>
      </w:pPr>
      <w:r>
        <w:rPr>
          <w:rFonts w:ascii="宋体" w:hAnsi="宋体" w:eastAsia="宋体" w:cs="宋体"/>
          <w:sz w:val="24"/>
          <w:szCs w:val="24"/>
        </w:rPr>
        <w:drawing>
          <wp:inline distT="0" distB="0" distL="114300" distR="114300">
            <wp:extent cx="5937885" cy="5438775"/>
            <wp:effectExtent l="0" t="0" r="5715" b="1905"/>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9"/>
                    <a:stretch>
                      <a:fillRect/>
                    </a:stretch>
                  </pic:blipFill>
                  <pic:spPr>
                    <a:xfrm>
                      <a:off x="0" y="0"/>
                      <a:ext cx="5937885" cy="5438775"/>
                    </a:xfrm>
                    <a:prstGeom prst="rect">
                      <a:avLst/>
                    </a:prstGeom>
                    <a:noFill/>
                    <a:ln w="9525">
                      <a:noFill/>
                    </a:ln>
                  </pic:spPr>
                </pic:pic>
              </a:graphicData>
            </a:graphic>
          </wp:inline>
        </w:drawing>
      </w:r>
    </w:p>
    <w:p w14:paraId="02BFE182">
      <w:pPr>
        <w:spacing w:after="120"/>
        <w:jc w:val="both"/>
        <w:rPr>
          <w:rFonts w:ascii="宋体" w:hAnsi="宋体" w:eastAsia="宋体" w:cs="宋体"/>
          <w:sz w:val="24"/>
          <w:szCs w:val="24"/>
        </w:rPr>
      </w:pPr>
      <w:r>
        <w:rPr>
          <w:rFonts w:ascii="宋体" w:hAnsi="宋体" w:eastAsia="宋体" w:cs="宋体"/>
          <w:sz w:val="24"/>
          <w:szCs w:val="24"/>
        </w:rPr>
        <w:drawing>
          <wp:inline distT="0" distB="0" distL="114300" distR="114300">
            <wp:extent cx="5939790" cy="4766945"/>
            <wp:effectExtent l="0" t="0" r="3810" b="3175"/>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10"/>
                    <a:stretch>
                      <a:fillRect/>
                    </a:stretch>
                  </pic:blipFill>
                  <pic:spPr>
                    <a:xfrm>
                      <a:off x="0" y="0"/>
                      <a:ext cx="5939790" cy="4766945"/>
                    </a:xfrm>
                    <a:prstGeom prst="rect">
                      <a:avLst/>
                    </a:prstGeom>
                    <a:noFill/>
                    <a:ln w="9525">
                      <a:noFill/>
                    </a:ln>
                  </pic:spPr>
                </pic:pic>
              </a:graphicData>
            </a:graphic>
          </wp:inline>
        </w:drawing>
      </w:r>
    </w:p>
    <w:p w14:paraId="623CD35F">
      <w:pPr>
        <w:spacing w:after="120"/>
        <w:jc w:val="both"/>
        <w:rPr>
          <w:rFonts w:ascii="宋体" w:hAnsi="宋体" w:eastAsia="宋体" w:cs="宋体"/>
          <w:sz w:val="24"/>
          <w:szCs w:val="24"/>
        </w:rPr>
      </w:pPr>
      <w:r>
        <w:rPr>
          <w:rFonts w:ascii="宋体" w:hAnsi="宋体" w:eastAsia="宋体" w:cs="宋体"/>
          <w:sz w:val="24"/>
          <w:szCs w:val="24"/>
        </w:rPr>
        <w:drawing>
          <wp:inline distT="0" distB="0" distL="114300" distR="114300">
            <wp:extent cx="5939790" cy="4766945"/>
            <wp:effectExtent l="0" t="0" r="381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0"/>
                    <a:stretch>
                      <a:fillRect/>
                    </a:stretch>
                  </pic:blipFill>
                  <pic:spPr>
                    <a:xfrm>
                      <a:off x="0" y="0"/>
                      <a:ext cx="5939790" cy="4766945"/>
                    </a:xfrm>
                    <a:prstGeom prst="rect">
                      <a:avLst/>
                    </a:prstGeom>
                    <a:noFill/>
                    <a:ln w="9525">
                      <a:noFill/>
                    </a:ln>
                  </pic:spPr>
                </pic:pic>
              </a:graphicData>
            </a:graphic>
          </wp:inline>
        </w:drawing>
      </w:r>
    </w:p>
    <w:p w14:paraId="1064F0B8">
      <w:pPr>
        <w:spacing w:after="120"/>
        <w:jc w:val="both"/>
      </w:pPr>
      <w:r>
        <w:rPr>
          <w:rFonts w:ascii="Arial" w:hAnsi="Arial" w:eastAsia="微软雅黑"/>
          <w:sz w:val="22"/>
          <w:szCs w:val="22"/>
        </w:rPr>
        <w:t>【数据冲突标注】华经产业研究院数据显示2022年中国NDR市场规模为24.64亿元，与IDC数据存在约5%差异。差异原因：统计口径不同，华经采用厂商调研数据，IDC采用出货量统计。</w:t>
      </w:r>
    </w:p>
    <w:p w14:paraId="4D8C728A">
      <w:pPr>
        <w:pStyle w:val="3"/>
      </w:pPr>
      <w:r>
        <w:rPr>
          <w:rFonts w:ascii="Arial" w:hAnsi="Arial" w:eastAsia="微软雅黑"/>
          <w:b/>
          <w:bCs/>
          <w:sz w:val="28"/>
          <w:szCs w:val="28"/>
        </w:rPr>
        <w:t>1.2 市场竞争格局</w:t>
      </w:r>
    </w:p>
    <w:p w14:paraId="0B2D46AB">
      <w:pPr>
        <w:spacing w:after="120"/>
        <w:jc w:val="both"/>
      </w:pPr>
      <w:r>
        <w:rPr>
          <w:rFonts w:ascii="Arial" w:hAnsi="Arial" w:eastAsia="微软雅黑"/>
          <w:sz w:val="22"/>
          <w:szCs w:val="22"/>
        </w:rPr>
        <w:t>2024年中国NDR市场CR5（前五名厂商集中度）约为56.5%，市场集中度较高。主要厂商市场份额如下：</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1"/>
        <w:gridCol w:w="2462"/>
        <w:gridCol w:w="2462"/>
        <w:gridCol w:w="2215"/>
      </w:tblGrid>
      <w:tr w14:paraId="60BC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6CE03CB">
            <w:pPr>
              <w:jc w:val="center"/>
            </w:pPr>
            <w:r>
              <w:rPr>
                <w:rFonts w:ascii="Arial" w:hAnsi="Arial" w:eastAsia="微软雅黑"/>
                <w:b/>
                <w:bCs/>
                <w:sz w:val="22"/>
                <w:szCs w:val="22"/>
              </w:rPr>
              <w:t>排名</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90C075F">
            <w:pPr>
              <w:jc w:val="center"/>
            </w:pPr>
            <w:r>
              <w:rPr>
                <w:rFonts w:ascii="Arial" w:hAnsi="Arial" w:eastAsia="微软雅黑"/>
                <w:b/>
                <w:bCs/>
                <w:sz w:val="22"/>
                <w:szCs w:val="22"/>
              </w:rPr>
              <w:t>厂商</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B663333">
            <w:pPr>
              <w:jc w:val="center"/>
            </w:pPr>
            <w:r>
              <w:rPr>
                <w:rFonts w:ascii="Arial" w:hAnsi="Arial" w:eastAsia="微软雅黑"/>
                <w:b/>
                <w:bCs/>
                <w:sz w:val="22"/>
                <w:szCs w:val="22"/>
              </w:rPr>
              <w:t>市场份额</w:t>
            </w:r>
          </w:p>
        </w:tc>
        <w:tc>
          <w:tcPr>
            <w:tcW w:w="21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8D35A1E">
            <w:pPr>
              <w:jc w:val="center"/>
            </w:pPr>
            <w:r>
              <w:rPr>
                <w:rFonts w:ascii="Arial" w:hAnsi="Arial" w:eastAsia="微软雅黑"/>
                <w:b/>
                <w:bCs/>
                <w:sz w:val="22"/>
                <w:szCs w:val="22"/>
              </w:rPr>
              <w:t>排名变化</w:t>
            </w:r>
          </w:p>
        </w:tc>
      </w:tr>
      <w:tr w14:paraId="0C51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9040E0">
            <w:pPr>
              <w:jc w:val="center"/>
            </w:pPr>
            <w:r>
              <w:rPr>
                <w:rFonts w:ascii="Arial" w:hAnsi="Arial" w:eastAsia="微软雅黑"/>
                <w:sz w:val="22"/>
                <w:szCs w:val="22"/>
              </w:rPr>
              <w:t>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14D780">
            <w:pPr>
              <w:jc w:val="center"/>
            </w:pPr>
            <w:r>
              <w:rPr>
                <w:rFonts w:ascii="Arial" w:hAnsi="Arial" w:eastAsia="微软雅黑"/>
                <w:sz w:val="22"/>
                <w:szCs w:val="22"/>
              </w:rPr>
              <w:t>奇安信</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25F39F">
            <w:pPr>
              <w:jc w:val="center"/>
            </w:pPr>
            <w:r>
              <w:rPr>
                <w:rFonts w:ascii="Arial" w:hAnsi="Arial" w:eastAsia="微软雅黑"/>
                <w:sz w:val="22"/>
                <w:szCs w:val="22"/>
              </w:rPr>
              <w:t>22.5%</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F049E5">
            <w:pPr>
              <w:jc w:val="center"/>
            </w:pPr>
            <w:r>
              <w:rPr>
                <w:rFonts w:ascii="Arial" w:hAnsi="Arial" w:eastAsia="微软雅黑"/>
                <w:sz w:val="22"/>
                <w:szCs w:val="22"/>
              </w:rPr>
              <w:t>连续四年第一</w:t>
            </w:r>
          </w:p>
        </w:tc>
      </w:tr>
      <w:tr w14:paraId="6FD3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ADF8F7">
            <w:pPr>
              <w:jc w:val="center"/>
            </w:pPr>
            <w:r>
              <w:rPr>
                <w:rFonts w:ascii="Arial" w:hAnsi="Arial" w:eastAsia="微软雅黑"/>
                <w:sz w:val="22"/>
                <w:szCs w:val="22"/>
              </w:rPr>
              <w:t>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26391F">
            <w:pPr>
              <w:jc w:val="center"/>
            </w:pPr>
            <w:r>
              <w:rPr>
                <w:rFonts w:ascii="Arial" w:hAnsi="Arial" w:eastAsia="微软雅黑"/>
                <w:sz w:val="22"/>
                <w:szCs w:val="22"/>
              </w:rPr>
              <w:t>绿盟科技</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80BE86">
            <w:pPr>
              <w:jc w:val="center"/>
            </w:pPr>
            <w:r>
              <w:rPr>
                <w:rFonts w:ascii="Arial" w:hAnsi="Arial" w:eastAsia="微软雅黑"/>
                <w:sz w:val="22"/>
                <w:szCs w:val="22"/>
              </w:rPr>
              <w:t>9.5%</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18EF3">
            <w:pPr>
              <w:jc w:val="center"/>
            </w:pPr>
            <w:r>
              <w:rPr>
                <w:rFonts w:ascii="Arial" w:hAnsi="Arial" w:eastAsia="微软雅黑"/>
                <w:sz w:val="22"/>
                <w:szCs w:val="22"/>
              </w:rPr>
              <w:t>↑1</w:t>
            </w:r>
          </w:p>
        </w:tc>
      </w:tr>
      <w:tr w14:paraId="423C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ACCF6A">
            <w:pPr>
              <w:jc w:val="center"/>
            </w:pPr>
            <w:r>
              <w:rPr>
                <w:rFonts w:ascii="Arial" w:hAnsi="Arial" w:eastAsia="微软雅黑"/>
                <w:sz w:val="22"/>
                <w:szCs w:val="22"/>
              </w:rPr>
              <w:t>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289B4A">
            <w:pPr>
              <w:jc w:val="center"/>
            </w:pPr>
            <w:r>
              <w:rPr>
                <w:rFonts w:ascii="Arial" w:hAnsi="Arial" w:eastAsia="微软雅黑"/>
                <w:sz w:val="22"/>
                <w:szCs w:val="22"/>
              </w:rPr>
              <w:t>深信服科技</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C80200">
            <w:pPr>
              <w:jc w:val="center"/>
            </w:pPr>
            <w:r>
              <w:rPr>
                <w:rFonts w:ascii="Arial" w:hAnsi="Arial" w:eastAsia="微软雅黑"/>
                <w:sz w:val="22"/>
                <w:szCs w:val="22"/>
              </w:rPr>
              <w:t>8.8%</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8D45EE">
            <w:pPr>
              <w:jc w:val="center"/>
            </w:pPr>
            <w:r>
              <w:rPr>
                <w:rFonts w:ascii="Arial" w:hAnsi="Arial" w:eastAsia="微软雅黑"/>
                <w:sz w:val="22"/>
                <w:szCs w:val="22"/>
              </w:rPr>
              <w:t>—</w:t>
            </w:r>
          </w:p>
        </w:tc>
      </w:tr>
      <w:tr w14:paraId="21F1D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8ACD4">
            <w:pPr>
              <w:jc w:val="center"/>
            </w:pPr>
            <w:r>
              <w:rPr>
                <w:rFonts w:ascii="Arial" w:hAnsi="Arial" w:eastAsia="微软雅黑"/>
                <w:sz w:val="22"/>
                <w:szCs w:val="22"/>
              </w:rPr>
              <w:t>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457F38">
            <w:pPr>
              <w:jc w:val="center"/>
            </w:pPr>
            <w:r>
              <w:rPr>
                <w:rFonts w:ascii="Arial" w:hAnsi="Arial" w:eastAsia="微软雅黑"/>
                <w:sz w:val="22"/>
                <w:szCs w:val="22"/>
              </w:rPr>
              <w:t>安恒信息</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34ADC0">
            <w:pPr>
              <w:jc w:val="center"/>
            </w:pPr>
            <w:r>
              <w:rPr>
                <w:rFonts w:ascii="Arial" w:hAnsi="Arial" w:eastAsia="微软雅黑"/>
                <w:sz w:val="22"/>
                <w:szCs w:val="22"/>
              </w:rPr>
              <w:t>8.5%</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5EA9A5">
            <w:pPr>
              <w:jc w:val="center"/>
            </w:pPr>
            <w:r>
              <w:rPr>
                <w:rFonts w:ascii="Arial" w:hAnsi="Arial" w:eastAsia="微软雅黑"/>
                <w:sz w:val="22"/>
                <w:szCs w:val="22"/>
              </w:rPr>
              <w:t>并列第三</w:t>
            </w:r>
          </w:p>
        </w:tc>
      </w:tr>
      <w:tr w14:paraId="63D4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5EB1D8">
            <w:pPr>
              <w:jc w:val="center"/>
            </w:pPr>
            <w:r>
              <w:rPr>
                <w:rFonts w:ascii="Arial" w:hAnsi="Arial" w:eastAsia="微软雅黑"/>
                <w:sz w:val="22"/>
                <w:szCs w:val="22"/>
              </w:rPr>
              <w:t>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15DAAB">
            <w:pPr>
              <w:jc w:val="center"/>
            </w:pPr>
            <w:r>
              <w:rPr>
                <w:rFonts w:ascii="Arial" w:hAnsi="Arial" w:eastAsia="微软雅黑"/>
                <w:sz w:val="22"/>
                <w:szCs w:val="22"/>
              </w:rPr>
              <w:t>360数字安全集团</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871662">
            <w:pPr>
              <w:jc w:val="center"/>
            </w:pPr>
            <w:r>
              <w:rPr>
                <w:rFonts w:ascii="Arial" w:hAnsi="Arial" w:eastAsia="微软雅黑"/>
                <w:sz w:val="22"/>
                <w:szCs w:val="22"/>
              </w:rPr>
              <w:t>7.2%</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7B2D3D">
            <w:pPr>
              <w:jc w:val="center"/>
            </w:pPr>
            <w:r>
              <w:rPr>
                <w:rFonts w:ascii="Arial" w:hAnsi="Arial" w:eastAsia="微软雅黑"/>
                <w:sz w:val="22"/>
                <w:szCs w:val="22"/>
              </w:rPr>
              <w:t>—</w:t>
            </w:r>
          </w:p>
        </w:tc>
      </w:tr>
      <w:tr w14:paraId="71A7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E4AAC">
            <w:pPr>
              <w:jc w:val="center"/>
            </w:pPr>
            <w:r>
              <w:rPr>
                <w:rFonts w:ascii="Arial" w:hAnsi="Arial" w:eastAsia="微软雅黑"/>
                <w:sz w:val="22"/>
                <w:szCs w:val="22"/>
              </w:rPr>
              <w:t>10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C64406">
            <w:pPr>
              <w:jc w:val="center"/>
            </w:pPr>
            <w:r>
              <w:rPr>
                <w:rFonts w:ascii="Arial" w:hAnsi="Arial" w:eastAsia="微软雅黑"/>
                <w:sz w:val="22"/>
                <w:szCs w:val="22"/>
              </w:rPr>
              <w:t>观成科技</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4BB084">
            <w:pPr>
              <w:jc w:val="center"/>
            </w:pPr>
            <w:r>
              <w:rPr>
                <w:rFonts w:ascii="Arial" w:hAnsi="Arial" w:eastAsia="微软雅黑"/>
                <w:sz w:val="22"/>
                <w:szCs w:val="22"/>
              </w:rPr>
              <w:t>3.2%</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65E3FA">
            <w:pPr>
              <w:jc w:val="center"/>
            </w:pPr>
            <w:r>
              <w:rPr>
                <w:rFonts w:ascii="Arial" w:hAnsi="Arial" w:eastAsia="微软雅黑"/>
                <w:sz w:val="22"/>
                <w:szCs w:val="22"/>
              </w:rPr>
              <w:t>新晋TOP10</w:t>
            </w:r>
          </w:p>
        </w:tc>
      </w:tr>
    </w:tbl>
    <w:p w14:paraId="30BD941C">
      <w:pPr>
        <w:spacing w:after="120"/>
        <w:jc w:val="left"/>
        <w:rPr>
          <w:rFonts w:ascii="Arial" w:hAnsi="Arial" w:eastAsia="微软雅黑"/>
          <w:sz w:val="22"/>
          <w:szCs w:val="22"/>
        </w:rPr>
      </w:pPr>
      <w:r>
        <w:rPr>
          <w:rFonts w:ascii="Arial" w:hAnsi="Arial" w:eastAsia="微软雅黑"/>
          <w:sz w:val="22"/>
          <w:szCs w:val="22"/>
        </w:rPr>
        <w:fldChar w:fldCharType="begin"/>
      </w:r>
      <w:r>
        <w:rPr>
          <w:rFonts w:ascii="Arial" w:hAnsi="Arial" w:eastAsia="微软雅黑"/>
          <w:sz w:val="22"/>
          <w:szCs w:val="22"/>
        </w:rPr>
        <w:instrText xml:space="preserve"> HYPERLINK "https://www.secrss.com/articles/79613" </w:instrText>
      </w:r>
      <w:r>
        <w:rPr>
          <w:rFonts w:ascii="Arial" w:hAnsi="Arial" w:eastAsia="微软雅黑"/>
          <w:sz w:val="22"/>
          <w:szCs w:val="22"/>
        </w:rPr>
        <w:fldChar w:fldCharType="separate"/>
      </w:r>
      <w:r>
        <w:rPr>
          <w:rStyle w:val="18"/>
          <w:rFonts w:ascii="Arial" w:hAnsi="Arial" w:eastAsia="微软雅黑"/>
          <w:sz w:val="22"/>
          <w:szCs w:val="22"/>
        </w:rPr>
        <w:t>数据来源：</w:t>
      </w:r>
      <w:commentRangeStart w:id="1"/>
      <w:r>
        <w:rPr>
          <w:rStyle w:val="18"/>
          <w:rFonts w:ascii="Arial" w:hAnsi="Arial" w:eastAsia="微软雅黑"/>
          <w:sz w:val="22"/>
          <w:szCs w:val="22"/>
        </w:rPr>
        <w:t>IDC《中国GenAI赋能的网络威胁检测与响应市场份额，2024</w:t>
      </w:r>
      <w:commentRangeEnd w:id="1"/>
      <w:r>
        <w:rPr>
          <w:rStyle w:val="18"/>
        </w:rPr>
        <w:commentReference w:id="1"/>
      </w:r>
      <w:r>
        <w:rPr>
          <w:rStyle w:val="18"/>
          <w:rFonts w:ascii="Arial" w:hAnsi="Arial" w:eastAsia="微软雅黑"/>
          <w:sz w:val="22"/>
          <w:szCs w:val="22"/>
        </w:rPr>
        <w:t>》</w:t>
      </w:r>
      <w:r>
        <w:rPr>
          <w:rFonts w:ascii="Arial" w:hAnsi="Arial" w:eastAsia="微软雅黑"/>
          <w:sz w:val="22"/>
          <w:szCs w:val="22"/>
        </w:rPr>
        <w:fldChar w:fldCharType="end"/>
      </w:r>
    </w:p>
    <w:p w14:paraId="7E111592">
      <w:pPr>
        <w:spacing w:after="120"/>
        <w:jc w:val="both"/>
        <w:rPr>
          <w:rFonts w:ascii="Arial" w:hAnsi="Arial" w:eastAsia="微软雅黑"/>
          <w:sz w:val="22"/>
          <w:szCs w:val="22"/>
        </w:rPr>
      </w:pPr>
    </w:p>
    <w:p w14:paraId="6146B58F">
      <w:r>
        <w:br w:type="page"/>
      </w:r>
    </w:p>
    <w:p w14:paraId="24848B07">
      <w:pPr>
        <w:pStyle w:val="2"/>
      </w:pPr>
      <w:r>
        <w:rPr>
          <w:rFonts w:ascii="Arial" w:hAnsi="Arial" w:eastAsia="微软雅黑"/>
          <w:b/>
          <w:bCs/>
          <w:sz w:val="32"/>
          <w:szCs w:val="32"/>
        </w:rPr>
        <w:t>二、加密流量检测（ETD）专项分析</w:t>
      </w:r>
    </w:p>
    <w:p w14:paraId="5085DA83">
      <w:pPr>
        <w:pStyle w:val="3"/>
      </w:pPr>
      <w:r>
        <w:rPr>
          <w:rFonts w:ascii="Arial" w:hAnsi="Arial" w:eastAsia="微软雅黑"/>
          <w:b/>
          <w:bCs/>
          <w:sz w:val="28"/>
          <w:szCs w:val="28"/>
        </w:rPr>
        <w:t>2.1 全球加密流量威胁态势</w:t>
      </w:r>
    </w:p>
    <w:p w14:paraId="35F8F3F6">
      <w:pPr>
        <w:spacing w:after="120"/>
        <w:jc w:val="both"/>
      </w:pPr>
      <w:r>
        <w:rPr>
          <w:rFonts w:ascii="Arial" w:hAnsi="Arial" w:eastAsia="微软雅黑"/>
          <w:sz w:val="22"/>
          <w:szCs w:val="22"/>
        </w:rPr>
        <w:t>根据Zscaler ThreatLabz发布的《2024加密攻击报告》，全球加密流量威胁态势呈现以下特征：</w:t>
      </w:r>
    </w:p>
    <w:p w14:paraId="35C8558D">
      <w:pPr>
        <w:pStyle w:val="20"/>
        <w:numPr>
          <w:ilvl w:val="0"/>
          <w:numId w:val="1"/>
        </w:numPr>
        <w:spacing w:after="80"/>
      </w:pPr>
      <w:commentRangeStart w:id="2"/>
      <w:r>
        <w:rPr>
          <w:rFonts w:ascii="Arial" w:hAnsi="Arial" w:eastAsia="微软雅黑"/>
          <w:sz w:val="22"/>
          <w:szCs w:val="22"/>
        </w:rPr>
        <w:t>87.2%的网络攻击通过加密通道（HTTPS/TLS）进行</w:t>
      </w:r>
      <w:commentRangeEnd w:id="2"/>
      <w:r>
        <w:commentReference w:id="2"/>
      </w:r>
      <w:r>
        <w:rPr>
          <w:rFonts w:ascii="Arial" w:hAnsi="Arial" w:eastAsia="微软雅黑"/>
          <w:sz w:val="22"/>
          <w:szCs w:val="22"/>
        </w:rPr>
        <w:t>，同比增长10.3%</w:t>
      </w:r>
    </w:p>
    <w:p w14:paraId="6EA944F6">
      <w:pPr>
        <w:pStyle w:val="20"/>
        <w:numPr>
          <w:ilvl w:val="0"/>
          <w:numId w:val="1"/>
        </w:numPr>
        <w:spacing w:after="80"/>
      </w:pPr>
      <w:r>
        <w:rPr>
          <w:rFonts w:ascii="Arial" w:hAnsi="Arial" w:eastAsia="微软雅黑"/>
          <w:sz w:val="22"/>
          <w:szCs w:val="22"/>
        </w:rPr>
        <w:t>86.5%的加密威胁为恶意软件，包括勒索软件、木马、后门等</w:t>
      </w:r>
    </w:p>
    <w:p w14:paraId="1EEE07B9">
      <w:pPr>
        <w:pStyle w:val="20"/>
        <w:numPr>
          <w:ilvl w:val="0"/>
          <w:numId w:val="1"/>
        </w:numPr>
        <w:spacing w:after="80"/>
      </w:pPr>
      <w:r>
        <w:rPr>
          <w:rFonts w:ascii="Arial" w:hAnsi="Arial" w:eastAsia="微软雅黑"/>
          <w:sz w:val="22"/>
          <w:szCs w:val="22"/>
        </w:rPr>
        <w:t>XSS攻击同比增长110.2%，成为增长最快的加密攻击类型</w:t>
      </w:r>
    </w:p>
    <w:p w14:paraId="29673CD9">
      <w:pPr>
        <w:pStyle w:val="20"/>
        <w:numPr>
          <w:ilvl w:val="0"/>
          <w:numId w:val="1"/>
        </w:numPr>
        <w:spacing w:after="120"/>
      </w:pPr>
      <w:r>
        <w:rPr>
          <w:rFonts w:ascii="Arial" w:hAnsi="Arial" w:eastAsia="微软雅黑"/>
          <w:sz w:val="22"/>
          <w:szCs w:val="22"/>
        </w:rPr>
        <w:t>制造业、科技行业、服务业为前三大攻击目标行业</w:t>
      </w:r>
    </w:p>
    <w:p w14:paraId="67A4B3F2">
      <w:pPr>
        <w:spacing w:after="120"/>
        <w:jc w:val="left"/>
        <w:rPr>
          <w:rFonts w:ascii="Arial" w:hAnsi="Arial" w:eastAsia="微软雅黑"/>
          <w:sz w:val="22"/>
          <w:szCs w:val="22"/>
        </w:rPr>
      </w:pPr>
      <w:r>
        <w:rPr>
          <w:rFonts w:ascii="Arial" w:hAnsi="Arial" w:eastAsia="微软雅黑"/>
          <w:sz w:val="22"/>
          <w:szCs w:val="22"/>
        </w:rPr>
        <w:t>数据来源：Zscaler ThreatLabz《2024 Encrypted Attacks Report》，链接：</w:t>
      </w:r>
      <w:r>
        <w:rPr>
          <w:rFonts w:ascii="Arial" w:hAnsi="Arial" w:eastAsia="微软雅黑"/>
          <w:sz w:val="22"/>
          <w:szCs w:val="22"/>
        </w:rPr>
        <w:fldChar w:fldCharType="begin"/>
      </w:r>
      <w:r>
        <w:rPr>
          <w:rFonts w:ascii="Arial" w:hAnsi="Arial" w:eastAsia="微软雅黑"/>
          <w:sz w:val="22"/>
          <w:szCs w:val="22"/>
        </w:rPr>
        <w:instrText xml:space="preserve"> HYPERLINK "https://www.zscaler.com/fr/campaign/threatlabz-encrypted-attacks-report" </w:instrText>
      </w:r>
      <w:r>
        <w:rPr>
          <w:rFonts w:ascii="Arial" w:hAnsi="Arial" w:eastAsia="微软雅黑"/>
          <w:sz w:val="22"/>
          <w:szCs w:val="22"/>
        </w:rPr>
        <w:fldChar w:fldCharType="separate"/>
      </w:r>
      <w:r>
        <w:rPr>
          <w:rStyle w:val="18"/>
          <w:rFonts w:ascii="Arial" w:hAnsi="Arial" w:eastAsia="微软雅黑"/>
          <w:sz w:val="22"/>
          <w:szCs w:val="22"/>
        </w:rPr>
        <w:t>https://www.zscaler.com/fr/campaign/threatlabz-encrypted-attacks-report</w:t>
      </w:r>
      <w:r>
        <w:rPr>
          <w:rFonts w:ascii="Arial" w:hAnsi="Arial" w:eastAsia="微软雅黑"/>
          <w:sz w:val="22"/>
          <w:szCs w:val="22"/>
        </w:rPr>
        <w:fldChar w:fldCharType="end"/>
      </w:r>
    </w:p>
    <w:p w14:paraId="02E186B2">
      <w:pPr>
        <w:spacing w:after="120"/>
        <w:jc w:val="both"/>
        <w:rPr>
          <w:rFonts w:ascii="Arial" w:hAnsi="Arial" w:eastAsia="微软雅黑"/>
          <w:sz w:val="22"/>
          <w:szCs w:val="22"/>
        </w:rPr>
      </w:pPr>
      <w:r>
        <w:drawing>
          <wp:inline distT="0" distB="0" distL="114300" distR="114300">
            <wp:extent cx="5942330" cy="2679065"/>
            <wp:effectExtent l="0" t="0" r="1270" b="31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942330" cy="2679065"/>
                    </a:xfrm>
                    <a:prstGeom prst="rect">
                      <a:avLst/>
                    </a:prstGeom>
                    <a:noFill/>
                    <a:ln>
                      <a:noFill/>
                    </a:ln>
                  </pic:spPr>
                </pic:pic>
              </a:graphicData>
            </a:graphic>
          </wp:inline>
        </w:drawing>
      </w:r>
    </w:p>
    <w:p w14:paraId="53D7D4B0">
      <w:pPr>
        <w:spacing w:after="120"/>
        <w:jc w:val="both"/>
        <w:rPr>
          <w:rFonts w:ascii="Arial" w:hAnsi="Arial" w:eastAsia="微软雅黑"/>
          <w:sz w:val="22"/>
          <w:szCs w:val="22"/>
        </w:rPr>
      </w:pPr>
      <w:r>
        <w:drawing>
          <wp:inline distT="0" distB="0" distL="114300" distR="114300">
            <wp:extent cx="5942330" cy="1899920"/>
            <wp:effectExtent l="0" t="0" r="127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942330" cy="1899920"/>
                    </a:xfrm>
                    <a:prstGeom prst="rect">
                      <a:avLst/>
                    </a:prstGeom>
                    <a:noFill/>
                    <a:ln>
                      <a:noFill/>
                    </a:ln>
                  </pic:spPr>
                </pic:pic>
              </a:graphicData>
            </a:graphic>
          </wp:inline>
        </w:drawing>
      </w:r>
    </w:p>
    <w:p w14:paraId="7F39A0A7">
      <w:pPr>
        <w:pStyle w:val="3"/>
      </w:pPr>
      <w:r>
        <w:rPr>
          <w:rFonts w:ascii="Arial" w:hAnsi="Arial" w:eastAsia="微软雅黑"/>
          <w:b/>
          <w:bCs/>
          <w:sz w:val="28"/>
          <w:szCs w:val="28"/>
        </w:rPr>
        <w:t>2.2 全球加密流量渗透率</w:t>
      </w:r>
    </w:p>
    <w:p w14:paraId="39D694DD">
      <w:pPr>
        <w:spacing w:after="120"/>
        <w:jc w:val="both"/>
      </w:pPr>
      <w:r>
        <w:rPr>
          <w:rFonts w:ascii="Arial" w:hAnsi="Arial" w:eastAsia="微软雅黑"/>
          <w:sz w:val="22"/>
          <w:szCs w:val="22"/>
        </w:rPr>
        <w:t>根据Google Transparency Report和Cloudflare统计数据：</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400"/>
      </w:tblGrid>
      <w:tr w14:paraId="237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C3B159A">
            <w:pPr>
              <w:jc w:val="center"/>
            </w:pPr>
            <w:r>
              <w:rPr>
                <w:rFonts w:ascii="Arial" w:hAnsi="Arial" w:eastAsia="微软雅黑"/>
                <w:b/>
                <w:bCs/>
                <w:sz w:val="22"/>
                <w:szCs w:val="22"/>
              </w:rPr>
              <w:t>年份</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95F105D">
            <w:pPr>
              <w:jc w:val="center"/>
            </w:pPr>
            <w:r>
              <w:rPr>
                <w:rFonts w:ascii="Arial" w:hAnsi="Arial" w:eastAsia="微软雅黑"/>
                <w:b/>
                <w:bCs/>
                <w:sz w:val="22"/>
                <w:szCs w:val="22"/>
              </w:rPr>
              <w:t>加密流量占比</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2A110AD">
            <w:pPr>
              <w:jc w:val="center"/>
            </w:pPr>
            <w:r>
              <w:rPr>
                <w:rFonts w:ascii="Arial" w:hAnsi="Arial" w:eastAsia="微软雅黑"/>
                <w:b/>
                <w:bCs/>
                <w:sz w:val="22"/>
                <w:szCs w:val="22"/>
              </w:rPr>
              <w:t>TLS 1.3占比</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497EE81">
            <w:pPr>
              <w:jc w:val="center"/>
            </w:pPr>
            <w:r>
              <w:rPr>
                <w:rFonts w:ascii="Arial" w:hAnsi="Arial" w:eastAsia="微软雅黑"/>
                <w:b/>
                <w:bCs/>
                <w:sz w:val="22"/>
                <w:szCs w:val="22"/>
              </w:rPr>
              <w:t>数据来源</w:t>
            </w:r>
          </w:p>
        </w:tc>
      </w:tr>
      <w:tr w14:paraId="1BBA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652FB8">
            <w:pPr>
              <w:jc w:val="center"/>
            </w:pPr>
            <w:r>
              <w:rPr>
                <w:rFonts w:ascii="Arial" w:hAnsi="Arial" w:eastAsia="微软雅黑"/>
                <w:sz w:val="22"/>
                <w:szCs w:val="22"/>
              </w:rPr>
              <w:t>2022年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6A3038">
            <w:pPr>
              <w:jc w:val="center"/>
            </w:pPr>
            <w:r>
              <w:rPr>
                <w:rFonts w:ascii="Arial" w:hAnsi="Arial" w:eastAsia="微软雅黑"/>
                <w:sz w:val="22"/>
                <w:szCs w:val="22"/>
              </w:rPr>
              <w:t>90%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23E6FC">
            <w:pPr>
              <w:jc w:val="center"/>
            </w:pPr>
            <w:r>
              <w:rPr>
                <w:rFonts w:ascii="Arial" w:hAnsi="Arial" w:eastAsia="微软雅黑"/>
                <w:sz w:val="22"/>
                <w:szCs w:val="22"/>
              </w:rPr>
              <w:t>约50%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60C77A">
            <w:pPr>
              <w:jc w:val="center"/>
            </w:pPr>
            <w:r>
              <w:rPr>
                <w:rFonts w:ascii="Arial" w:hAnsi="Arial" w:eastAsia="微软雅黑"/>
                <w:sz w:val="22"/>
                <w:szCs w:val="22"/>
              </w:rPr>
              <w:t>Google</w:t>
            </w:r>
          </w:p>
        </w:tc>
      </w:tr>
      <w:tr w14:paraId="4CED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24B73B">
            <w:pPr>
              <w:jc w:val="center"/>
            </w:pPr>
            <w:r>
              <w:rPr>
                <w:rFonts w:ascii="Arial" w:hAnsi="Arial" w:eastAsia="微软雅黑"/>
                <w:sz w:val="22"/>
                <w:szCs w:val="22"/>
              </w:rPr>
              <w:t>2023年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0CC0C4">
            <w:pPr>
              <w:jc w:val="center"/>
            </w:pPr>
            <w:r>
              <w:rPr>
                <w:rFonts w:ascii="Arial" w:hAnsi="Arial" w:eastAsia="微软雅黑"/>
                <w:sz w:val="22"/>
                <w:szCs w:val="22"/>
              </w:rPr>
              <w:t>93%</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52EA19">
            <w:pPr>
              <w:jc w:val="center"/>
            </w:pPr>
            <w:r>
              <w:rPr>
                <w:rFonts w:ascii="Arial" w:hAnsi="Arial" w:eastAsia="微软雅黑"/>
                <w:sz w:val="22"/>
                <w:szCs w:val="22"/>
              </w:rPr>
              <w:t>约60%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B1EE8A">
            <w:pPr>
              <w:jc w:val="center"/>
            </w:pPr>
            <w:r>
              <w:rPr>
                <w:rFonts w:ascii="Arial" w:hAnsi="Arial" w:eastAsia="微软雅黑"/>
                <w:sz w:val="22"/>
                <w:szCs w:val="22"/>
              </w:rPr>
              <w:t>Cloudflare</w:t>
            </w:r>
          </w:p>
        </w:tc>
      </w:tr>
      <w:tr w14:paraId="424A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27EC03">
            <w:pPr>
              <w:jc w:val="center"/>
            </w:pPr>
            <w:r>
              <w:rPr>
                <w:rFonts w:ascii="Arial" w:hAnsi="Arial" w:eastAsia="微软雅黑"/>
                <w:sz w:val="22"/>
                <w:szCs w:val="22"/>
              </w:rPr>
              <w:t>2024年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5977EC">
            <w:pPr>
              <w:jc w:val="center"/>
            </w:pPr>
            <w:r>
              <w:rPr>
                <w:rFonts w:ascii="Arial" w:hAnsi="Arial" w:eastAsia="微软雅黑"/>
                <w:sz w:val="22"/>
                <w:szCs w:val="22"/>
              </w:rPr>
              <w:t>95%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DE557D">
            <w:pPr>
              <w:jc w:val="center"/>
            </w:pPr>
            <w:r>
              <w:rPr>
                <w:rFonts w:ascii="Arial" w:hAnsi="Arial" w:eastAsia="微软雅黑"/>
                <w:sz w:val="22"/>
                <w:szCs w:val="22"/>
              </w:rPr>
              <w:t>66%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1729E3">
            <w:pPr>
              <w:jc w:val="center"/>
            </w:pPr>
            <w:r>
              <w:rPr>
                <w:rFonts w:ascii="Arial" w:hAnsi="Arial" w:eastAsia="微软雅黑"/>
                <w:sz w:val="22"/>
                <w:szCs w:val="22"/>
              </w:rPr>
              <w:t>Cloudflare</w:t>
            </w:r>
          </w:p>
        </w:tc>
      </w:tr>
      <w:tr w14:paraId="4EB90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F34515">
            <w:pPr>
              <w:jc w:val="center"/>
            </w:pPr>
            <w:r>
              <w:rPr>
                <w:rFonts w:ascii="Arial" w:hAnsi="Arial" w:eastAsia="微软雅黑"/>
                <w:sz w:val="22"/>
                <w:szCs w:val="22"/>
              </w:rPr>
              <w:t>2025年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5483F7">
            <w:pPr>
              <w:jc w:val="center"/>
            </w:pPr>
            <w:r>
              <w:rPr>
                <w:rFonts w:ascii="Arial" w:hAnsi="Arial" w:eastAsia="微软雅黑"/>
                <w:sz w:val="22"/>
                <w:szCs w:val="22"/>
              </w:rPr>
              <w:t>98%</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C8F68F">
            <w:pPr>
              <w:jc w:val="center"/>
            </w:pPr>
            <w:r>
              <w:rPr>
                <w:rFonts w:ascii="Arial" w:hAnsi="Arial" w:eastAsia="微软雅黑"/>
                <w:sz w:val="22"/>
                <w:szCs w:val="22"/>
              </w:rPr>
              <w:t>70%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21E2E6">
            <w:pPr>
              <w:jc w:val="center"/>
            </w:pPr>
            <w:r>
              <w:rPr>
                <w:rFonts w:ascii="Arial" w:hAnsi="Arial" w:eastAsia="微软雅黑"/>
                <w:sz w:val="22"/>
                <w:szCs w:val="22"/>
              </w:rPr>
              <w:t>Mozilla</w:t>
            </w:r>
          </w:p>
        </w:tc>
      </w:tr>
    </w:tbl>
    <w:p w14:paraId="4B2216C4">
      <w:pPr>
        <w:spacing w:after="120"/>
        <w:jc w:val="both"/>
      </w:pPr>
      <w:r>
        <w:rPr>
          <w:rFonts w:ascii="Arial" w:hAnsi="Arial" w:eastAsia="微软雅黑"/>
          <w:sz w:val="22"/>
          <w:szCs w:val="22"/>
        </w:rPr>
        <w:fldChar w:fldCharType="begin"/>
      </w:r>
      <w:r>
        <w:rPr>
          <w:rFonts w:ascii="Arial" w:hAnsi="Arial" w:eastAsia="微软雅黑"/>
          <w:sz w:val="22"/>
          <w:szCs w:val="22"/>
        </w:rPr>
        <w:instrText xml:space="preserve"> HYPERLINK "https://m.sohu.com/a/967942549_121331783/" </w:instrText>
      </w:r>
      <w:r>
        <w:rPr>
          <w:rFonts w:ascii="Arial" w:hAnsi="Arial" w:eastAsia="微软雅黑"/>
          <w:sz w:val="22"/>
          <w:szCs w:val="22"/>
        </w:rPr>
        <w:fldChar w:fldCharType="separate"/>
      </w:r>
      <w:r>
        <w:rPr>
          <w:rStyle w:val="18"/>
          <w:rFonts w:ascii="Arial" w:hAnsi="Arial" w:eastAsia="微软雅黑"/>
          <w:sz w:val="22"/>
          <w:szCs w:val="22"/>
        </w:rPr>
        <w:t>数据来源：Cloudflare统计数据</w:t>
      </w:r>
      <w:r>
        <w:rPr>
          <w:rFonts w:ascii="Arial" w:hAnsi="Arial" w:eastAsia="微软雅黑"/>
          <w:sz w:val="22"/>
          <w:szCs w:val="22"/>
        </w:rPr>
        <w:fldChar w:fldCharType="end"/>
      </w:r>
      <w:bookmarkStart w:id="0" w:name="_GoBack"/>
      <w:bookmarkEnd w:id="0"/>
    </w:p>
    <w:p w14:paraId="614C9BC8">
      <w:pPr>
        <w:pStyle w:val="3"/>
      </w:pPr>
      <w:r>
        <w:rPr>
          <w:rFonts w:ascii="Arial" w:hAnsi="Arial" w:eastAsia="微软雅黑"/>
          <w:b/>
          <w:bCs/>
          <w:sz w:val="28"/>
          <w:szCs w:val="28"/>
        </w:rPr>
        <w:t>2.3 加密流量检测技术路线</w:t>
      </w:r>
    </w:p>
    <w:p w14:paraId="5EF91569">
      <w:pPr>
        <w:spacing w:after="120"/>
        <w:jc w:val="both"/>
      </w:pPr>
      <w:r>
        <w:rPr>
          <w:rFonts w:ascii="Arial" w:hAnsi="Arial" w:eastAsia="微软雅黑"/>
          <w:sz w:val="22"/>
          <w:szCs w:val="22"/>
        </w:rPr>
        <w:t>当前加密流量检测主要存在三大技术路线：</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1"/>
        <w:gridCol w:w="3774"/>
        <w:gridCol w:w="3775"/>
      </w:tblGrid>
      <w:tr w14:paraId="7ED6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D22E049">
            <w:pPr>
              <w:jc w:val="center"/>
            </w:pPr>
            <w:r>
              <w:rPr>
                <w:rFonts w:ascii="Arial" w:hAnsi="Arial" w:eastAsia="微软雅黑"/>
                <w:b/>
                <w:bCs/>
                <w:sz w:val="22"/>
                <w:szCs w:val="22"/>
              </w:rPr>
              <w:t>技术路线</w:t>
            </w:r>
          </w:p>
        </w:tc>
        <w:tc>
          <w:tcPr>
            <w:tcW w:w="3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9FDAFF3">
            <w:pPr>
              <w:jc w:val="center"/>
            </w:pPr>
            <w:r>
              <w:rPr>
                <w:rFonts w:ascii="Arial" w:hAnsi="Arial" w:eastAsia="微软雅黑"/>
                <w:b/>
                <w:bCs/>
                <w:sz w:val="22"/>
                <w:szCs w:val="22"/>
              </w:rPr>
              <w:t>技术原理</w:t>
            </w:r>
          </w:p>
        </w:tc>
        <w:tc>
          <w:tcPr>
            <w:tcW w:w="3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B7F1036">
            <w:pPr>
              <w:jc w:val="center"/>
            </w:pPr>
            <w:r>
              <w:rPr>
                <w:rFonts w:ascii="Arial" w:hAnsi="Arial" w:eastAsia="微软雅黑"/>
                <w:b/>
                <w:bCs/>
                <w:sz w:val="22"/>
                <w:szCs w:val="22"/>
              </w:rPr>
              <w:t>代表厂商</w:t>
            </w:r>
          </w:p>
        </w:tc>
      </w:tr>
      <w:tr w14:paraId="66107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69DD59">
            <w:pPr>
              <w:jc w:val="center"/>
            </w:pPr>
            <w:r>
              <w:rPr>
                <w:rFonts w:ascii="Arial" w:hAnsi="Arial" w:eastAsia="微软雅黑"/>
                <w:sz w:val="22"/>
                <w:szCs w:val="22"/>
              </w:rPr>
              <w:t>AI不解密检测</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088E42">
            <w:pPr>
              <w:jc w:val="left"/>
            </w:pPr>
            <w:r>
              <w:rPr>
                <w:rFonts w:ascii="Arial" w:hAnsi="Arial" w:eastAsia="微软雅黑"/>
                <w:sz w:val="22"/>
                <w:szCs w:val="22"/>
              </w:rPr>
              <w:t>基于TLS元数据、JA3指纹、流量行为特征，利用AI/ML模型进行威胁识别</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C2090F">
            <w:pPr>
              <w:jc w:val="left"/>
            </w:pPr>
            <w:r>
              <w:rPr>
                <w:rFonts w:ascii="Arial" w:hAnsi="Arial" w:eastAsia="微软雅黑"/>
                <w:sz w:val="22"/>
                <w:szCs w:val="22"/>
              </w:rPr>
              <w:t>观成科技、360、绿盟科技</w:t>
            </w:r>
          </w:p>
        </w:tc>
      </w:tr>
      <w:tr w14:paraId="1BF9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A38286">
            <w:pPr>
              <w:jc w:val="center"/>
            </w:pPr>
            <w:r>
              <w:rPr>
                <w:rFonts w:ascii="Arial" w:hAnsi="Arial" w:eastAsia="微软雅黑"/>
                <w:sz w:val="22"/>
                <w:szCs w:val="22"/>
              </w:rPr>
              <w:t>可选解密</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8FDDFE">
            <w:pPr>
              <w:jc w:val="left"/>
            </w:pPr>
            <w:r>
              <w:rPr>
                <w:rFonts w:ascii="Arial" w:hAnsi="Arial" w:eastAsia="微软雅黑"/>
                <w:sz w:val="22"/>
                <w:szCs w:val="22"/>
              </w:rPr>
              <w:t>对可疑流量进行选择性解密，平衡安全检测与隐私保护</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DEF63A">
            <w:pPr>
              <w:jc w:val="left"/>
            </w:pPr>
            <w:r>
              <w:rPr>
                <w:rFonts w:ascii="Arial" w:hAnsi="Arial" w:eastAsia="微软雅黑"/>
                <w:sz w:val="22"/>
                <w:szCs w:val="22"/>
              </w:rPr>
              <w:t>奇安信、深信服</w:t>
            </w:r>
          </w:p>
        </w:tc>
      </w:tr>
      <w:tr w14:paraId="4EE0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AFD580">
            <w:pPr>
              <w:jc w:val="center"/>
            </w:pPr>
            <w:r>
              <w:rPr>
                <w:rFonts w:ascii="Arial" w:hAnsi="Arial" w:eastAsia="微软雅黑"/>
                <w:sz w:val="22"/>
                <w:szCs w:val="22"/>
              </w:rPr>
              <w:t>全量解密</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012970">
            <w:pPr>
              <w:jc w:val="left"/>
            </w:pPr>
            <w:r>
              <w:rPr>
                <w:rFonts w:ascii="Arial" w:hAnsi="Arial" w:eastAsia="微软雅黑"/>
                <w:sz w:val="22"/>
                <w:szCs w:val="22"/>
              </w:rPr>
              <w:t>通过中间人方式解密所有TLS流量，完整检测威胁</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B228C">
            <w:pPr>
              <w:jc w:val="left"/>
            </w:pPr>
            <w:r>
              <w:rPr>
                <w:rFonts w:ascii="Arial" w:hAnsi="Arial" w:eastAsia="微软雅黑"/>
                <w:sz w:val="22"/>
                <w:szCs w:val="22"/>
              </w:rPr>
              <w:t>传统安全厂商</w:t>
            </w:r>
          </w:p>
        </w:tc>
      </w:tr>
    </w:tbl>
    <w:p w14:paraId="6D90BEFE">
      <w:pPr>
        <w:pStyle w:val="3"/>
      </w:pPr>
      <w:r>
        <w:rPr>
          <w:rFonts w:ascii="Arial" w:hAnsi="Arial" w:eastAsia="微软雅黑"/>
          <w:b/>
          <w:bCs/>
          <w:sz w:val="28"/>
          <w:szCs w:val="28"/>
        </w:rPr>
        <w:t>2.4 观成科技：ETD赛道典型代表</w:t>
      </w:r>
    </w:p>
    <w:p w14:paraId="7F340A4C">
      <w:pPr>
        <w:spacing w:after="120"/>
        <w:jc w:val="both"/>
      </w:pPr>
      <w:r>
        <w:rPr>
          <w:rFonts w:ascii="Arial" w:hAnsi="Arial" w:eastAsia="微软雅黑"/>
          <w:sz w:val="22"/>
          <w:szCs w:val="22"/>
        </w:rPr>
        <w:t>观成科技是国内专注于加密流量检测技术的'专精特新'安全厂商，2024年首次入选IDC中国NDR市场TOP10。</w:t>
      </w:r>
    </w:p>
    <w:p w14:paraId="7B65100A">
      <w:pPr>
        <w:pStyle w:val="20"/>
        <w:numPr>
          <w:ilvl w:val="0"/>
          <w:numId w:val="1"/>
        </w:numPr>
        <w:spacing w:after="80"/>
      </w:pPr>
      <w:r>
        <w:rPr>
          <w:rFonts w:ascii="Arial" w:hAnsi="Arial" w:eastAsia="微软雅黑"/>
          <w:sz w:val="22"/>
          <w:szCs w:val="22"/>
        </w:rPr>
        <w:t>业绩增长：连续三年实现100%增长</w:t>
      </w:r>
    </w:p>
    <w:p w14:paraId="4472D5BC">
      <w:pPr>
        <w:pStyle w:val="20"/>
        <w:numPr>
          <w:ilvl w:val="0"/>
          <w:numId w:val="1"/>
        </w:numPr>
        <w:spacing w:after="80"/>
      </w:pPr>
      <w:r>
        <w:rPr>
          <w:rFonts w:ascii="Arial" w:hAnsi="Arial" w:eastAsia="微软雅黑"/>
          <w:sz w:val="22"/>
          <w:szCs w:val="22"/>
        </w:rPr>
        <w:t>技术专利：在加密流量检测领域申请60余项国家发明专利</w:t>
      </w:r>
    </w:p>
    <w:p w14:paraId="1BB8B191">
      <w:pPr>
        <w:pStyle w:val="20"/>
        <w:numPr>
          <w:ilvl w:val="0"/>
          <w:numId w:val="1"/>
        </w:numPr>
        <w:spacing w:after="80"/>
      </w:pPr>
      <w:r>
        <w:rPr>
          <w:rFonts w:ascii="Arial" w:hAnsi="Arial" w:eastAsia="微软雅黑"/>
          <w:sz w:val="22"/>
          <w:szCs w:val="22"/>
        </w:rPr>
        <w:t>客户覆盖：服务超过100家重要客户，覆盖政府、金融、能源等行业</w:t>
      </w:r>
    </w:p>
    <w:p w14:paraId="6444290B">
      <w:pPr>
        <w:pStyle w:val="20"/>
        <w:numPr>
          <w:ilvl w:val="0"/>
          <w:numId w:val="1"/>
        </w:numPr>
        <w:spacing w:after="120"/>
      </w:pPr>
      <w:r>
        <w:rPr>
          <w:rFonts w:ascii="Arial" w:hAnsi="Arial" w:eastAsia="微软雅黑"/>
          <w:sz w:val="22"/>
          <w:szCs w:val="22"/>
        </w:rPr>
        <w:t>技术路线：基于AI+精准行为检测技术的综合决策创新技术路线</w:t>
      </w:r>
    </w:p>
    <w:p w14:paraId="63453A5C">
      <w:pPr>
        <w:spacing w:after="120"/>
        <w:jc w:val="left"/>
      </w:pPr>
      <w:r>
        <w:rPr>
          <w:rFonts w:ascii="Arial" w:hAnsi="Arial" w:eastAsia="微软雅黑"/>
          <w:sz w:val="22"/>
          <w:szCs w:val="22"/>
        </w:rPr>
        <w:t>数据来源：企查查，链接：</w:t>
      </w:r>
      <w:commentRangeStart w:id="3"/>
      <w:r>
        <w:rPr>
          <w:rFonts w:ascii="Arial" w:hAnsi="Arial" w:eastAsia="微软雅黑"/>
          <w:sz w:val="22"/>
          <w:szCs w:val="22"/>
        </w:rPr>
        <w:t>https://m.qcc.com/postnews/75bb239a6398c480b4b562ad63db5f77.html</w:t>
      </w:r>
      <w:commentRangeEnd w:id="3"/>
      <w:r>
        <w:commentReference w:id="3"/>
      </w:r>
    </w:p>
    <w:p w14:paraId="3B9024A4">
      <w:r>
        <w:br w:type="page"/>
      </w:r>
    </w:p>
    <w:p w14:paraId="028CE554">
      <w:pPr>
        <w:pStyle w:val="2"/>
      </w:pPr>
      <w:r>
        <w:rPr>
          <w:rFonts w:ascii="Arial" w:hAnsi="Arial" w:eastAsia="微软雅黑"/>
          <w:b/>
          <w:bCs/>
          <w:sz w:val="32"/>
          <w:szCs w:val="32"/>
        </w:rPr>
        <w:t>三、全球NDR市场对比分析</w:t>
      </w:r>
    </w:p>
    <w:p w14:paraId="26DFEC49">
      <w:pPr>
        <w:pStyle w:val="3"/>
      </w:pPr>
      <w:r>
        <w:rPr>
          <w:rFonts w:ascii="Arial" w:hAnsi="Arial" w:eastAsia="微软雅黑"/>
          <w:b/>
          <w:bCs/>
          <w:sz w:val="28"/>
          <w:szCs w:val="28"/>
        </w:rPr>
        <w:t>3.1 全球NDR市场规模</w:t>
      </w:r>
    </w:p>
    <w:p w14:paraId="095F1E27">
      <w:pPr>
        <w:spacing w:after="120"/>
        <w:jc w:val="both"/>
      </w:pPr>
      <w:r>
        <w:rPr>
          <w:rFonts w:ascii="Arial" w:hAnsi="Arial" w:eastAsia="微软雅黑"/>
          <w:sz w:val="22"/>
          <w:szCs w:val="22"/>
        </w:rPr>
        <w:t>根据Grand View Research、MarketsandMarkets等国际机构数据：</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400"/>
      </w:tblGrid>
      <w:tr w14:paraId="49EC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AD06F24">
            <w:pPr>
              <w:jc w:val="center"/>
            </w:pPr>
            <w:r>
              <w:rPr>
                <w:rFonts w:ascii="Arial" w:hAnsi="Arial" w:eastAsia="微软雅黑"/>
                <w:b/>
                <w:bCs/>
                <w:sz w:val="22"/>
                <w:szCs w:val="22"/>
              </w:rPr>
              <w:t>年份</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E32B04E">
            <w:pPr>
              <w:jc w:val="center"/>
            </w:pPr>
            <w:r>
              <w:rPr>
                <w:rFonts w:ascii="Arial" w:hAnsi="Arial" w:eastAsia="微软雅黑"/>
                <w:b/>
                <w:bCs/>
                <w:sz w:val="22"/>
                <w:szCs w:val="22"/>
              </w:rPr>
              <w:t>市场规模（亿美元）</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55941B4">
            <w:pPr>
              <w:jc w:val="center"/>
            </w:pPr>
            <w:r>
              <w:rPr>
                <w:rFonts w:ascii="Arial" w:hAnsi="Arial" w:eastAsia="微软雅黑"/>
                <w:b/>
                <w:bCs/>
                <w:sz w:val="22"/>
                <w:szCs w:val="22"/>
              </w:rPr>
              <w:t>CAGR</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A6DA283">
            <w:pPr>
              <w:jc w:val="center"/>
            </w:pPr>
            <w:r>
              <w:rPr>
                <w:rFonts w:ascii="Arial" w:hAnsi="Arial" w:eastAsia="微软雅黑"/>
                <w:b/>
                <w:bCs/>
                <w:sz w:val="22"/>
                <w:szCs w:val="22"/>
              </w:rPr>
              <w:t>数据来源</w:t>
            </w:r>
          </w:p>
        </w:tc>
      </w:tr>
      <w:tr w14:paraId="599B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7BA36D">
            <w:pPr>
              <w:jc w:val="center"/>
            </w:pPr>
            <w:r>
              <w:rPr>
                <w:rFonts w:ascii="Arial" w:hAnsi="Arial" w:eastAsia="微软雅黑"/>
                <w:sz w:val="22"/>
                <w:szCs w:val="22"/>
              </w:rPr>
              <w:t>2023年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BDA413">
            <w:pPr>
              <w:jc w:val="center"/>
            </w:pPr>
            <w:r>
              <w:rPr>
                <w:rFonts w:ascii="Arial" w:hAnsi="Arial" w:eastAsia="微软雅黑"/>
                <w:sz w:val="22"/>
                <w:szCs w:val="22"/>
              </w:rPr>
              <w:t>31.5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662DBF">
            <w:pPr>
              <w:jc w:val="center"/>
            </w:pPr>
            <w:r>
              <w:rPr>
                <w:rFonts w:ascii="Arial" w:hAnsi="Arial" w:eastAsia="微软雅黑"/>
                <w:sz w:val="22"/>
                <w:szCs w:val="22"/>
              </w:rPr>
              <w:t>—</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FE774">
            <w:pPr>
              <w:jc w:val="center"/>
            </w:pPr>
            <w:r>
              <w:rPr>
                <w:rFonts w:ascii="Arial" w:hAnsi="Arial" w:eastAsia="微软雅黑"/>
                <w:sz w:val="22"/>
                <w:szCs w:val="22"/>
              </w:rPr>
              <w:t>IDC</w:t>
            </w:r>
          </w:p>
        </w:tc>
      </w:tr>
      <w:tr w14:paraId="5798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C22A46">
            <w:pPr>
              <w:jc w:val="center"/>
            </w:pPr>
            <w:r>
              <w:rPr>
                <w:rFonts w:ascii="Arial" w:hAnsi="Arial" w:eastAsia="微软雅黑"/>
                <w:sz w:val="22"/>
                <w:szCs w:val="22"/>
              </w:rPr>
              <w:t>2025年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4D5648">
            <w:pPr>
              <w:jc w:val="center"/>
            </w:pPr>
            <w:r>
              <w:rPr>
                <w:rFonts w:ascii="Arial" w:hAnsi="Arial" w:eastAsia="微软雅黑"/>
                <w:sz w:val="22"/>
                <w:szCs w:val="22"/>
              </w:rPr>
              <w:t>37.7</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3F419C">
            <w:pPr>
              <w:jc w:val="center"/>
            </w:pPr>
            <w:r>
              <w:rPr>
                <w:rFonts w:ascii="Arial" w:hAnsi="Arial" w:eastAsia="微软雅黑"/>
                <w:sz w:val="22"/>
                <w:szCs w:val="22"/>
              </w:rPr>
              <w:t>—</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DCEA81">
            <w:pPr>
              <w:jc w:val="center"/>
            </w:pPr>
            <w:r>
              <w:rPr>
                <w:rFonts w:ascii="Arial" w:hAnsi="Arial" w:eastAsia="微软雅黑"/>
                <w:sz w:val="22"/>
                <w:szCs w:val="22"/>
              </w:rPr>
              <w:t>Grand View</w:t>
            </w:r>
          </w:p>
        </w:tc>
      </w:tr>
      <w:tr w14:paraId="7DE5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FD1B25">
            <w:pPr>
              <w:jc w:val="center"/>
            </w:pPr>
            <w:r>
              <w:rPr>
                <w:rFonts w:ascii="Arial" w:hAnsi="Arial" w:eastAsia="微软雅黑"/>
                <w:sz w:val="22"/>
                <w:szCs w:val="22"/>
              </w:rPr>
              <w:t>2030年（预测）</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4CE9A9">
            <w:pPr>
              <w:jc w:val="center"/>
            </w:pPr>
            <w:r>
              <w:rPr>
                <w:rFonts w:ascii="Arial" w:hAnsi="Arial" w:eastAsia="微软雅黑"/>
                <w:sz w:val="22"/>
                <w:szCs w:val="22"/>
              </w:rPr>
              <w:t>58.2</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F46B80">
            <w:pPr>
              <w:jc w:val="center"/>
            </w:pPr>
            <w:r>
              <w:rPr>
                <w:rFonts w:ascii="Arial" w:hAnsi="Arial" w:eastAsia="微软雅黑"/>
                <w:sz w:val="22"/>
                <w:szCs w:val="22"/>
              </w:rPr>
              <w:t>9.6%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344E22">
            <w:pPr>
              <w:jc w:val="center"/>
            </w:pPr>
            <w:r>
              <w:rPr>
                <w:rFonts w:ascii="Arial" w:hAnsi="Arial" w:eastAsia="微软雅黑"/>
                <w:sz w:val="22"/>
                <w:szCs w:val="22"/>
              </w:rPr>
              <w:t>MarketsandMarkets</w:t>
            </w:r>
          </w:p>
        </w:tc>
      </w:tr>
      <w:tr w14:paraId="39B6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4C0001">
            <w:pPr>
              <w:jc w:val="center"/>
            </w:pPr>
            <w:r>
              <w:rPr>
                <w:rFonts w:ascii="Arial" w:hAnsi="Arial" w:eastAsia="微软雅黑"/>
                <w:sz w:val="22"/>
                <w:szCs w:val="22"/>
              </w:rPr>
              <w:t>2033年（预测）</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DE72E2">
            <w:pPr>
              <w:jc w:val="center"/>
            </w:pPr>
            <w:r>
              <w:rPr>
                <w:rFonts w:ascii="Arial" w:hAnsi="Arial" w:eastAsia="微软雅黑"/>
                <w:sz w:val="22"/>
                <w:szCs w:val="22"/>
              </w:rPr>
              <w:t>80.8</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2AF3E2">
            <w:pPr>
              <w:jc w:val="center"/>
            </w:pPr>
            <w:r>
              <w:rPr>
                <w:rFonts w:ascii="Arial" w:hAnsi="Arial" w:eastAsia="微软雅黑"/>
                <w:sz w:val="22"/>
                <w:szCs w:val="22"/>
              </w:rPr>
              <w:t>10.1%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2BBAFB">
            <w:pPr>
              <w:jc w:val="center"/>
            </w:pPr>
            <w:r>
              <w:rPr>
                <w:rFonts w:ascii="Arial" w:hAnsi="Arial" w:eastAsia="微软雅黑"/>
                <w:sz w:val="22"/>
                <w:szCs w:val="22"/>
              </w:rPr>
              <w:t>Grand View</w:t>
            </w:r>
          </w:p>
        </w:tc>
      </w:tr>
    </w:tbl>
    <w:p w14:paraId="3E2EB60B">
      <w:pPr>
        <w:spacing w:after="120"/>
        <w:jc w:val="both"/>
      </w:pPr>
      <w:r>
        <w:rPr>
          <w:rFonts w:ascii="Arial" w:hAnsi="Arial" w:eastAsia="微软雅黑"/>
          <w:sz w:val="22"/>
          <w:szCs w:val="22"/>
        </w:rPr>
        <w:t>数据来源：</w:t>
      </w:r>
      <w:commentRangeStart w:id="4"/>
      <w:r>
        <w:rPr>
          <w:rFonts w:ascii="Arial" w:hAnsi="Arial" w:eastAsia="微软雅黑"/>
          <w:sz w:val="22"/>
          <w:szCs w:val="22"/>
        </w:rPr>
        <w:t>Grand View Research</w:t>
      </w:r>
      <w:commentRangeEnd w:id="4"/>
      <w:r>
        <w:commentReference w:id="4"/>
      </w:r>
      <w:r>
        <w:rPr>
          <w:rFonts w:ascii="Arial" w:hAnsi="Arial" w:eastAsia="微软雅黑"/>
          <w:sz w:val="22"/>
          <w:szCs w:val="22"/>
        </w:rPr>
        <w:t>，链接：https://www.grandviewresearch.com/industry-analysis/network-detection-response-ndr-market-report</w:t>
      </w:r>
    </w:p>
    <w:p w14:paraId="275BA3CB">
      <w:pPr>
        <w:spacing w:after="120"/>
        <w:jc w:val="both"/>
      </w:pPr>
      <w:r>
        <w:rPr>
          <w:rFonts w:ascii="Arial" w:hAnsi="Arial" w:eastAsia="微软雅黑"/>
          <w:sz w:val="22"/>
          <w:szCs w:val="22"/>
        </w:rPr>
        <w:t>数据来源：</w:t>
      </w:r>
      <w:commentRangeStart w:id="5"/>
      <w:r>
        <w:rPr>
          <w:rFonts w:ascii="Arial" w:hAnsi="Arial" w:eastAsia="微软雅黑"/>
          <w:sz w:val="22"/>
          <w:szCs w:val="22"/>
        </w:rPr>
        <w:t>MarketsandMarkets</w:t>
      </w:r>
      <w:commentRangeEnd w:id="5"/>
      <w:r>
        <w:commentReference w:id="5"/>
      </w:r>
      <w:r>
        <w:rPr>
          <w:rFonts w:ascii="Arial" w:hAnsi="Arial" w:eastAsia="微软雅黑"/>
          <w:sz w:val="22"/>
          <w:szCs w:val="22"/>
        </w:rPr>
        <w:t>，链接：https://www.marketresearch.com/MarketsandMarkets-v3719/Network-Detection-Response-Offering-Solutions-42568606/</w:t>
      </w:r>
    </w:p>
    <w:p w14:paraId="002F7201">
      <w:pPr>
        <w:pStyle w:val="3"/>
      </w:pPr>
      <w:r>
        <w:rPr>
          <w:rFonts w:ascii="Arial" w:hAnsi="Arial" w:eastAsia="微软雅黑"/>
          <w:b/>
          <w:bCs/>
          <w:sz w:val="28"/>
          <w:szCs w:val="28"/>
        </w:rPr>
        <w:t>3.2 中美市场对比</w:t>
      </w:r>
    </w:p>
    <w:p w14:paraId="0F804F42">
      <w:pPr>
        <w:pStyle w:val="20"/>
        <w:numPr>
          <w:ilvl w:val="0"/>
          <w:numId w:val="1"/>
        </w:numPr>
        <w:spacing w:after="80"/>
      </w:pPr>
      <w:r>
        <w:rPr>
          <w:rFonts w:ascii="Arial" w:hAnsi="Arial" w:eastAsia="微软雅黑"/>
          <w:sz w:val="22"/>
          <w:szCs w:val="22"/>
        </w:rPr>
        <w:t>北美市场：占全球市场41%以上，是最大的区域市场</w:t>
      </w:r>
    </w:p>
    <w:p w14:paraId="7536D998">
      <w:pPr>
        <w:pStyle w:val="20"/>
        <w:numPr>
          <w:ilvl w:val="0"/>
          <w:numId w:val="1"/>
        </w:numPr>
        <w:spacing w:after="80"/>
      </w:pPr>
      <w:r>
        <w:rPr>
          <w:rFonts w:ascii="Arial" w:hAnsi="Arial" w:eastAsia="微软雅黑"/>
          <w:sz w:val="22"/>
          <w:szCs w:val="22"/>
        </w:rPr>
        <w:t>中国市场：约占全球市场8-10%，增速高于全球平均水平</w:t>
      </w:r>
    </w:p>
    <w:p w14:paraId="5BE868D0">
      <w:pPr>
        <w:pStyle w:val="20"/>
        <w:numPr>
          <w:ilvl w:val="0"/>
          <w:numId w:val="1"/>
        </w:numPr>
        <w:spacing w:after="80"/>
      </w:pPr>
      <w:r>
        <w:rPr>
          <w:rFonts w:ascii="Arial" w:hAnsi="Arial" w:eastAsia="微软雅黑"/>
          <w:sz w:val="22"/>
          <w:szCs w:val="22"/>
        </w:rPr>
        <w:t>增速对比：中国市场CAGR（18.6%）约为全球市场（10.1%）的1.8倍</w:t>
      </w:r>
    </w:p>
    <w:p w14:paraId="2F3AA59D">
      <w:pPr>
        <w:pStyle w:val="20"/>
        <w:numPr>
          <w:ilvl w:val="0"/>
          <w:numId w:val="1"/>
        </w:numPr>
        <w:spacing w:after="120"/>
      </w:pPr>
      <w:r>
        <w:rPr>
          <w:rFonts w:ascii="Arial" w:hAnsi="Arial" w:eastAsia="微软雅黑"/>
          <w:sz w:val="22"/>
          <w:szCs w:val="22"/>
        </w:rPr>
        <w:t>亚太地区：是增长最快的区域市场，中国是主要驱动力</w:t>
      </w:r>
    </w:p>
    <w:p w14:paraId="1FA49820">
      <w:r>
        <w:br w:type="page"/>
      </w:r>
    </w:p>
    <w:p w14:paraId="114E9298">
      <w:pPr>
        <w:pStyle w:val="2"/>
      </w:pPr>
      <w:r>
        <w:rPr>
          <w:rFonts w:ascii="Arial" w:hAnsi="Arial" w:eastAsia="微软雅黑"/>
          <w:b/>
          <w:bCs/>
          <w:sz w:val="32"/>
          <w:szCs w:val="32"/>
        </w:rPr>
        <w:t>四、市场预测（2026-2030）</w:t>
      </w:r>
    </w:p>
    <w:p w14:paraId="4ED03CF2">
      <w:pPr>
        <w:pStyle w:val="3"/>
      </w:pPr>
      <w:r>
        <w:rPr>
          <w:rFonts w:ascii="Arial" w:hAnsi="Arial" w:eastAsia="微软雅黑"/>
          <w:b/>
          <w:bCs/>
          <w:sz w:val="28"/>
          <w:szCs w:val="28"/>
        </w:rPr>
        <w:t>4.1 中国NDR市场预测</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400"/>
      </w:tblGrid>
      <w:tr w14:paraId="62D2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5E487C0">
            <w:pPr>
              <w:jc w:val="center"/>
            </w:pPr>
            <w:r>
              <w:rPr>
                <w:rFonts w:ascii="Arial" w:hAnsi="Arial" w:eastAsia="微软雅黑"/>
                <w:b/>
                <w:bCs/>
                <w:sz w:val="22"/>
                <w:szCs w:val="22"/>
              </w:rPr>
              <w:t>年份</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AAABD0C">
            <w:pPr>
              <w:jc w:val="center"/>
            </w:pPr>
            <w:r>
              <w:rPr>
                <w:rFonts w:ascii="Arial" w:hAnsi="Arial" w:eastAsia="微软雅黑"/>
                <w:b/>
                <w:bCs/>
                <w:sz w:val="22"/>
                <w:szCs w:val="22"/>
              </w:rPr>
              <w:t>市场规模（亿元）</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F0B0A2E">
            <w:pPr>
              <w:jc w:val="center"/>
            </w:pPr>
            <w:r>
              <w:rPr>
                <w:rFonts w:ascii="Arial" w:hAnsi="Arial" w:eastAsia="微软雅黑"/>
                <w:b/>
                <w:bCs/>
                <w:sz w:val="22"/>
                <w:szCs w:val="22"/>
              </w:rPr>
              <w:t>同比增速</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BD532C9">
            <w:pPr>
              <w:jc w:val="center"/>
            </w:pPr>
            <w:r>
              <w:rPr>
                <w:rFonts w:ascii="Arial" w:hAnsi="Arial" w:eastAsia="微软雅黑"/>
                <w:b/>
                <w:bCs/>
                <w:sz w:val="22"/>
                <w:szCs w:val="22"/>
              </w:rPr>
              <w:t>预测依据</w:t>
            </w:r>
          </w:p>
        </w:tc>
      </w:tr>
      <w:tr w14:paraId="18F46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CCF908">
            <w:pPr>
              <w:jc w:val="center"/>
            </w:pPr>
            <w:r>
              <w:rPr>
                <w:rFonts w:ascii="Arial" w:hAnsi="Arial" w:eastAsia="微软雅黑"/>
                <w:sz w:val="22"/>
                <w:szCs w:val="22"/>
              </w:rPr>
              <w:t>2026年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568E65">
            <w:pPr>
              <w:jc w:val="center"/>
            </w:pPr>
            <w:r>
              <w:rPr>
                <w:rFonts w:ascii="Arial" w:hAnsi="Arial" w:eastAsia="微软雅黑"/>
                <w:sz w:val="22"/>
                <w:szCs w:val="22"/>
              </w:rPr>
              <w:t>31.5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91B340">
            <w:pPr>
              <w:jc w:val="center"/>
            </w:pPr>
            <w:r>
              <w:rPr>
                <w:rFonts w:ascii="Arial" w:hAnsi="Arial" w:eastAsia="微软雅黑"/>
                <w:sz w:val="22"/>
                <w:szCs w:val="22"/>
              </w:rPr>
              <w:t>+18.6%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94CB2C">
            <w:pPr>
              <w:jc w:val="center"/>
            </w:pPr>
            <w:r>
              <w:rPr>
                <w:rFonts w:ascii="Arial" w:hAnsi="Arial" w:eastAsia="微软雅黑"/>
                <w:sz w:val="22"/>
                <w:szCs w:val="22"/>
              </w:rPr>
              <w:t>贝哲斯咨询</w:t>
            </w:r>
          </w:p>
        </w:tc>
      </w:tr>
      <w:tr w14:paraId="40ED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A732A5">
            <w:pPr>
              <w:jc w:val="center"/>
            </w:pPr>
            <w:r>
              <w:rPr>
                <w:rFonts w:ascii="Arial" w:hAnsi="Arial" w:eastAsia="微软雅黑"/>
                <w:sz w:val="22"/>
                <w:szCs w:val="22"/>
              </w:rPr>
              <w:t>2027年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5E8A47">
            <w:pPr>
              <w:jc w:val="center"/>
            </w:pPr>
            <w:r>
              <w:rPr>
                <w:rFonts w:ascii="Arial" w:hAnsi="Arial" w:eastAsia="微软雅黑"/>
                <w:sz w:val="22"/>
                <w:szCs w:val="22"/>
              </w:rPr>
              <w:t>37.5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080364">
            <w:pPr>
              <w:jc w:val="center"/>
            </w:pPr>
            <w:r>
              <w:rPr>
                <w:rFonts w:ascii="Arial" w:hAnsi="Arial" w:eastAsia="微软雅黑"/>
                <w:sz w:val="22"/>
                <w:szCs w:val="22"/>
              </w:rPr>
              <w:t>+19.0%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7DBDAF">
            <w:pPr>
              <w:jc w:val="center"/>
            </w:pPr>
            <w:r>
              <w:rPr>
                <w:rFonts w:ascii="Arial" w:hAnsi="Arial" w:eastAsia="微软雅黑"/>
                <w:sz w:val="22"/>
                <w:szCs w:val="22"/>
              </w:rPr>
              <w:t>贝哲斯咨询</w:t>
            </w:r>
          </w:p>
        </w:tc>
      </w:tr>
      <w:tr w14:paraId="52EA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62C554">
            <w:pPr>
              <w:jc w:val="center"/>
            </w:pPr>
            <w:r>
              <w:rPr>
                <w:rFonts w:ascii="Arial" w:hAnsi="Arial" w:eastAsia="微软雅黑"/>
                <w:sz w:val="22"/>
                <w:szCs w:val="22"/>
              </w:rPr>
              <w:t>2028年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5034D8">
            <w:pPr>
              <w:jc w:val="center"/>
            </w:pPr>
            <w:r>
              <w:rPr>
                <w:rFonts w:ascii="Arial" w:hAnsi="Arial" w:eastAsia="微软雅黑"/>
                <w:sz w:val="22"/>
                <w:szCs w:val="22"/>
              </w:rPr>
              <w:t>44.5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6B1511">
            <w:pPr>
              <w:jc w:val="center"/>
            </w:pPr>
            <w:r>
              <w:rPr>
                <w:rFonts w:ascii="Arial" w:hAnsi="Arial" w:eastAsia="微软雅黑"/>
                <w:sz w:val="22"/>
                <w:szCs w:val="22"/>
              </w:rPr>
              <w:t>+18.7%</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BAF0D7">
            <w:pPr>
              <w:jc w:val="center"/>
            </w:pPr>
            <w:r>
              <w:rPr>
                <w:rFonts w:ascii="Arial" w:hAnsi="Arial" w:eastAsia="微软雅黑"/>
                <w:sz w:val="22"/>
                <w:szCs w:val="22"/>
              </w:rPr>
              <w:t>【估算】</w:t>
            </w:r>
          </w:p>
        </w:tc>
      </w:tr>
      <w:tr w14:paraId="7684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7A882A">
            <w:pPr>
              <w:jc w:val="center"/>
            </w:pPr>
            <w:r>
              <w:rPr>
                <w:rFonts w:ascii="Arial" w:hAnsi="Arial" w:eastAsia="微软雅黑"/>
                <w:sz w:val="22"/>
                <w:szCs w:val="22"/>
              </w:rPr>
              <w:t>2029年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835797">
            <w:pPr>
              <w:jc w:val="center"/>
            </w:pPr>
            <w:r>
              <w:rPr>
                <w:rFonts w:ascii="Arial" w:hAnsi="Arial" w:eastAsia="微软雅黑"/>
                <w:sz w:val="22"/>
                <w:szCs w:val="22"/>
              </w:rPr>
              <w:t>53.0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FA04C7">
            <w:pPr>
              <w:jc w:val="center"/>
            </w:pPr>
            <w:r>
              <w:rPr>
                <w:rFonts w:ascii="Arial" w:hAnsi="Arial" w:eastAsia="微软雅黑"/>
                <w:sz w:val="22"/>
                <w:szCs w:val="22"/>
              </w:rPr>
              <w:t>+19.1%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E15B3B">
            <w:pPr>
              <w:jc w:val="center"/>
            </w:pPr>
            <w:r>
              <w:rPr>
                <w:rFonts w:ascii="Arial" w:hAnsi="Arial" w:eastAsia="微软雅黑"/>
                <w:sz w:val="22"/>
                <w:szCs w:val="22"/>
              </w:rPr>
              <w:t>【估算】</w:t>
            </w:r>
          </w:p>
        </w:tc>
      </w:tr>
      <w:tr w14:paraId="0F67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7248A2">
            <w:pPr>
              <w:jc w:val="center"/>
            </w:pPr>
            <w:r>
              <w:rPr>
                <w:rFonts w:ascii="Arial" w:hAnsi="Arial" w:eastAsia="微软雅黑"/>
                <w:sz w:val="22"/>
                <w:szCs w:val="22"/>
              </w:rPr>
              <w:t>2030年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CBBFC0">
            <w:pPr>
              <w:jc w:val="center"/>
            </w:pPr>
            <w:r>
              <w:rPr>
                <w:rFonts w:ascii="Arial" w:hAnsi="Arial" w:eastAsia="微软雅黑"/>
                <w:sz w:val="22"/>
                <w:szCs w:val="22"/>
              </w:rPr>
              <w:t>63.0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D6F35A">
            <w:pPr>
              <w:jc w:val="center"/>
            </w:pPr>
            <w:r>
              <w:rPr>
                <w:rFonts w:ascii="Arial" w:hAnsi="Arial" w:eastAsia="微软雅黑"/>
                <w:sz w:val="22"/>
                <w:szCs w:val="22"/>
              </w:rPr>
              <w:t>+18.9%</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85153B">
            <w:pPr>
              <w:jc w:val="center"/>
            </w:pPr>
            <w:r>
              <w:rPr>
                <w:rFonts w:ascii="Arial" w:hAnsi="Arial" w:eastAsia="微软雅黑"/>
                <w:sz w:val="22"/>
                <w:szCs w:val="22"/>
              </w:rPr>
              <w:t>【估算】</w:t>
            </w:r>
          </w:p>
        </w:tc>
      </w:tr>
    </w:tbl>
    <w:p w14:paraId="6F268C60">
      <w:pPr>
        <w:spacing w:after="120"/>
        <w:jc w:val="both"/>
      </w:pPr>
      <w:commentRangeStart w:id="6"/>
      <w:r>
        <w:rPr>
          <w:rFonts w:ascii="Arial" w:hAnsi="Arial" w:eastAsia="微软雅黑"/>
          <w:sz w:val="22"/>
          <w:szCs w:val="22"/>
        </w:rPr>
        <w:t>【估算】说明：</w:t>
      </w:r>
      <w:commentRangeEnd w:id="6"/>
      <w:r>
        <w:commentReference w:id="6"/>
      </w:r>
      <w:r>
        <w:rPr>
          <w:rFonts w:ascii="Arial" w:hAnsi="Arial" w:eastAsia="微软雅黑"/>
          <w:sz w:val="22"/>
          <w:szCs w:val="22"/>
        </w:rPr>
        <w:t>基于贝哲斯咨询预测的CAGR 18.6%进行推算。</w:t>
      </w:r>
    </w:p>
    <w:p w14:paraId="1ACAE7EF">
      <w:pPr>
        <w:spacing w:after="120"/>
        <w:jc w:val="both"/>
      </w:pPr>
      <w:r>
        <w:rPr>
          <w:rFonts w:ascii="Arial" w:hAnsi="Arial" w:eastAsia="微软雅黑"/>
          <w:sz w:val="22"/>
          <w:szCs w:val="22"/>
        </w:rPr>
        <w:t>数据来源：贝哲斯咨询，链接：https://m.gelonghui.com/p/901401</w:t>
      </w:r>
    </w:p>
    <w:p w14:paraId="23F93456">
      <w:pPr>
        <w:pStyle w:val="3"/>
      </w:pPr>
      <w:r>
        <w:rPr>
          <w:rFonts w:ascii="Arial" w:hAnsi="Arial" w:eastAsia="微软雅黑"/>
          <w:b/>
          <w:bCs/>
          <w:sz w:val="28"/>
          <w:szCs w:val="28"/>
        </w:rPr>
        <w:t>4.2 ETD细分市场预测</w:t>
      </w:r>
    </w:p>
    <w:p w14:paraId="0E0DAF0F">
      <w:pPr>
        <w:spacing w:after="120"/>
        <w:jc w:val="both"/>
      </w:pPr>
      <w:r>
        <w:rPr>
          <w:rFonts w:ascii="Arial" w:hAnsi="Arial" w:eastAsia="微软雅黑"/>
          <w:sz w:val="22"/>
          <w:szCs w:val="22"/>
        </w:rPr>
        <w:t>加密流量检测作为NDR市场增长最快的细分赛道，预计将保持约32%的CAGR：</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400"/>
      </w:tblGrid>
      <w:tr w14:paraId="7353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17DCADC">
            <w:pPr>
              <w:jc w:val="center"/>
            </w:pPr>
            <w:r>
              <w:rPr>
                <w:rFonts w:ascii="Arial" w:hAnsi="Arial" w:eastAsia="微软雅黑"/>
                <w:b/>
                <w:bCs/>
                <w:sz w:val="22"/>
                <w:szCs w:val="22"/>
              </w:rPr>
              <w:t>年份</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FAB671D">
            <w:pPr>
              <w:jc w:val="center"/>
            </w:pPr>
            <w:r>
              <w:rPr>
                <w:rFonts w:ascii="Arial" w:hAnsi="Arial" w:eastAsia="微软雅黑"/>
                <w:b/>
                <w:bCs/>
                <w:sz w:val="22"/>
                <w:szCs w:val="22"/>
              </w:rPr>
              <w:t>ETD市场规模（亿元）</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12FE205">
            <w:pPr>
              <w:jc w:val="center"/>
            </w:pPr>
            <w:r>
              <w:rPr>
                <w:rFonts w:ascii="Arial" w:hAnsi="Arial" w:eastAsia="微软雅黑"/>
                <w:b/>
                <w:bCs/>
                <w:sz w:val="22"/>
                <w:szCs w:val="22"/>
              </w:rPr>
              <w:t>占NDR比例</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894C901">
            <w:pPr>
              <w:jc w:val="center"/>
            </w:pPr>
            <w:r>
              <w:rPr>
                <w:rFonts w:ascii="Arial" w:hAnsi="Arial" w:eastAsia="微软雅黑"/>
                <w:b/>
                <w:bCs/>
                <w:sz w:val="22"/>
                <w:szCs w:val="22"/>
              </w:rPr>
              <w:t>CAGR</w:t>
            </w:r>
          </w:p>
        </w:tc>
      </w:tr>
      <w:tr w14:paraId="66DF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70CDED">
            <w:pPr>
              <w:jc w:val="center"/>
            </w:pPr>
            <w:r>
              <w:rPr>
                <w:rFonts w:ascii="Arial" w:hAnsi="Arial" w:eastAsia="微软雅黑"/>
                <w:sz w:val="22"/>
                <w:szCs w:val="22"/>
              </w:rPr>
              <w:t>2024年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E19077">
            <w:pPr>
              <w:jc w:val="center"/>
            </w:pPr>
            <w:r>
              <w:rPr>
                <w:rFonts w:ascii="Arial" w:hAnsi="Arial" w:eastAsia="微软雅黑"/>
                <w:sz w:val="22"/>
                <w:szCs w:val="22"/>
              </w:rPr>
              <w:t>5.1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3C9E92">
            <w:pPr>
              <w:jc w:val="center"/>
            </w:pPr>
            <w:r>
              <w:rPr>
                <w:rFonts w:ascii="Arial" w:hAnsi="Arial" w:eastAsia="微软雅黑"/>
                <w:sz w:val="22"/>
                <w:szCs w:val="22"/>
              </w:rPr>
              <w:t>21.6%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E53CC2">
            <w:pPr>
              <w:jc w:val="center"/>
            </w:pPr>
            <w:r>
              <w:rPr>
                <w:rFonts w:ascii="Arial" w:hAnsi="Arial" w:eastAsia="微软雅黑"/>
                <w:sz w:val="22"/>
                <w:szCs w:val="22"/>
              </w:rPr>
              <w:t>—</w:t>
            </w:r>
          </w:p>
        </w:tc>
      </w:tr>
      <w:tr w14:paraId="6B40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9D35FF">
            <w:pPr>
              <w:jc w:val="center"/>
            </w:pPr>
            <w:r>
              <w:rPr>
                <w:rFonts w:ascii="Arial" w:hAnsi="Arial" w:eastAsia="微软雅黑"/>
                <w:sz w:val="22"/>
                <w:szCs w:val="22"/>
              </w:rPr>
              <w:t>2026年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DC2A7D">
            <w:pPr>
              <w:jc w:val="center"/>
            </w:pPr>
            <w:r>
              <w:rPr>
                <w:rFonts w:ascii="Arial" w:hAnsi="Arial" w:eastAsia="微软雅黑"/>
                <w:sz w:val="22"/>
                <w:szCs w:val="22"/>
              </w:rPr>
              <w:t>8.5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0B0003">
            <w:pPr>
              <w:jc w:val="center"/>
            </w:pPr>
            <w:r>
              <w:rPr>
                <w:rFonts w:ascii="Arial" w:hAnsi="Arial" w:eastAsia="微软雅黑"/>
                <w:sz w:val="22"/>
                <w:szCs w:val="22"/>
              </w:rPr>
              <w:t>27.0%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31DF0F">
            <w:pPr>
              <w:jc w:val="center"/>
            </w:pPr>
            <w:r>
              <w:rPr>
                <w:rFonts w:ascii="Arial" w:hAnsi="Arial" w:eastAsia="微软雅黑"/>
                <w:sz w:val="22"/>
                <w:szCs w:val="22"/>
              </w:rPr>
              <w:t>32%</w:t>
            </w:r>
          </w:p>
        </w:tc>
      </w:tr>
      <w:tr w14:paraId="5B40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4FC2A3">
            <w:pPr>
              <w:jc w:val="center"/>
            </w:pPr>
            <w:r>
              <w:rPr>
                <w:rFonts w:ascii="Arial" w:hAnsi="Arial" w:eastAsia="微软雅黑"/>
                <w:sz w:val="22"/>
                <w:szCs w:val="22"/>
              </w:rPr>
              <w:t>2028年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5272C5">
            <w:pPr>
              <w:jc w:val="center"/>
            </w:pPr>
            <w:r>
              <w:rPr>
                <w:rFonts w:ascii="Arial" w:hAnsi="Arial" w:eastAsia="微软雅黑"/>
                <w:sz w:val="22"/>
                <w:szCs w:val="22"/>
              </w:rPr>
              <w:t>14.5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EE0811">
            <w:pPr>
              <w:jc w:val="center"/>
            </w:pPr>
            <w:r>
              <w:rPr>
                <w:rFonts w:ascii="Arial" w:hAnsi="Arial" w:eastAsia="微软雅黑"/>
                <w:sz w:val="22"/>
                <w:szCs w:val="22"/>
              </w:rPr>
              <w:t>32.6%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3DDBAF">
            <w:pPr>
              <w:jc w:val="center"/>
            </w:pPr>
            <w:r>
              <w:rPr>
                <w:rFonts w:ascii="Arial" w:hAnsi="Arial" w:eastAsia="微软雅黑"/>
                <w:sz w:val="22"/>
                <w:szCs w:val="22"/>
              </w:rPr>
              <w:t>32%</w:t>
            </w:r>
          </w:p>
        </w:tc>
      </w:tr>
      <w:tr w14:paraId="10A6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4FCD8B">
            <w:pPr>
              <w:jc w:val="center"/>
            </w:pPr>
            <w:r>
              <w:rPr>
                <w:rFonts w:ascii="Arial" w:hAnsi="Arial" w:eastAsia="微软雅黑"/>
                <w:sz w:val="22"/>
                <w:szCs w:val="22"/>
              </w:rPr>
              <w:t>2030年</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9301A4">
            <w:pPr>
              <w:jc w:val="center"/>
            </w:pPr>
            <w:r>
              <w:rPr>
                <w:rFonts w:ascii="Arial" w:hAnsi="Arial" w:eastAsia="微软雅黑"/>
                <w:sz w:val="22"/>
                <w:szCs w:val="22"/>
              </w:rPr>
              <w:t>25.0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315832">
            <w:pPr>
              <w:jc w:val="center"/>
            </w:pPr>
            <w:r>
              <w:rPr>
                <w:rFonts w:ascii="Arial" w:hAnsi="Arial" w:eastAsia="微软雅黑"/>
                <w:sz w:val="22"/>
                <w:szCs w:val="22"/>
              </w:rPr>
              <w:t>39.7%</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09AE71">
            <w:pPr>
              <w:jc w:val="center"/>
            </w:pPr>
            <w:r>
              <w:rPr>
                <w:rFonts w:ascii="Arial" w:hAnsi="Arial" w:eastAsia="微软雅黑"/>
                <w:sz w:val="22"/>
                <w:szCs w:val="22"/>
              </w:rPr>
              <w:t>32%</w:t>
            </w:r>
          </w:p>
        </w:tc>
      </w:tr>
    </w:tbl>
    <w:p w14:paraId="7942E97F">
      <w:pPr>
        <w:spacing w:after="120"/>
        <w:jc w:val="both"/>
      </w:pPr>
      <w:r>
        <w:rPr>
          <w:rFonts w:ascii="Arial" w:hAnsi="Arial" w:eastAsia="微软雅黑"/>
          <w:sz w:val="22"/>
          <w:szCs w:val="22"/>
        </w:rPr>
        <w:t>【估算】说明：基于IDC对加密流量检测趋势判断及观成科技等厂商增速数据进行推算。</w:t>
      </w:r>
    </w:p>
    <w:p w14:paraId="0665236F">
      <w:r>
        <w:br w:type="page"/>
      </w:r>
    </w:p>
    <w:p w14:paraId="111F97FC">
      <w:pPr>
        <w:pStyle w:val="2"/>
      </w:pPr>
      <w:r>
        <w:rPr>
          <w:rFonts w:ascii="Arial" w:hAnsi="Arial" w:eastAsia="微软雅黑"/>
          <w:b/>
          <w:bCs/>
          <w:sz w:val="32"/>
          <w:szCs w:val="32"/>
        </w:rPr>
        <w:t>五、发展趋势与增长机会</w:t>
      </w:r>
    </w:p>
    <w:p w14:paraId="590EB57D">
      <w:pPr>
        <w:pStyle w:val="3"/>
      </w:pPr>
      <w:r>
        <w:rPr>
          <w:rFonts w:ascii="Arial" w:hAnsi="Arial" w:eastAsia="微软雅黑"/>
          <w:b/>
          <w:bCs/>
          <w:sz w:val="28"/>
          <w:szCs w:val="28"/>
        </w:rPr>
        <w:t>5.1 核心增长驱动因素</w:t>
      </w:r>
    </w:p>
    <w:p w14:paraId="5BF673BF">
      <w:pPr>
        <w:pStyle w:val="20"/>
        <w:numPr>
          <w:ilvl w:val="0"/>
          <w:numId w:val="2"/>
        </w:numPr>
        <w:spacing w:after="80"/>
      </w:pPr>
      <w:r>
        <w:rPr>
          <w:rFonts w:ascii="Arial" w:hAnsi="Arial" w:eastAsia="微软雅黑"/>
          <w:sz w:val="22"/>
          <w:szCs w:val="22"/>
        </w:rPr>
        <w:t>加密流量普及：全球95%以上流量已加密，传统安全检测手段失效，ETD成为刚需</w:t>
      </w:r>
    </w:p>
    <w:p w14:paraId="55216D25">
      <w:pPr>
        <w:pStyle w:val="20"/>
        <w:numPr>
          <w:ilvl w:val="0"/>
          <w:numId w:val="2"/>
        </w:numPr>
        <w:spacing w:after="80"/>
      </w:pPr>
      <w:r>
        <w:rPr>
          <w:rFonts w:ascii="Arial" w:hAnsi="Arial" w:eastAsia="微软雅黑"/>
          <w:sz w:val="22"/>
          <w:szCs w:val="22"/>
        </w:rPr>
        <w:t>AI技术赋能：AI/ML技术成熟，使不解密检测成为可能，保护隐私同时实现威胁检测</w:t>
      </w:r>
    </w:p>
    <w:p w14:paraId="312FA11D">
      <w:pPr>
        <w:pStyle w:val="20"/>
        <w:numPr>
          <w:ilvl w:val="0"/>
          <w:numId w:val="2"/>
        </w:numPr>
        <w:spacing w:after="80"/>
      </w:pPr>
      <w:r>
        <w:rPr>
          <w:rFonts w:ascii="Arial" w:hAnsi="Arial" w:eastAsia="微软雅黑"/>
          <w:sz w:val="22"/>
          <w:szCs w:val="22"/>
        </w:rPr>
        <w:t>合规政策驱动：《数据安全法》《个人信息保护法》等法规要求企业加强流量安全监控</w:t>
      </w:r>
    </w:p>
    <w:p w14:paraId="0848003A">
      <w:pPr>
        <w:pStyle w:val="20"/>
        <w:numPr>
          <w:ilvl w:val="0"/>
          <w:numId w:val="2"/>
        </w:numPr>
        <w:spacing w:after="80"/>
      </w:pPr>
      <w:r>
        <w:rPr>
          <w:rFonts w:ascii="Arial" w:hAnsi="Arial" w:eastAsia="微软雅黑"/>
          <w:sz w:val="22"/>
          <w:szCs w:val="22"/>
        </w:rPr>
        <w:t>云原生转型：企业上云加速，东西向流量安全检测需求激增</w:t>
      </w:r>
    </w:p>
    <w:p w14:paraId="6A007ECB">
      <w:pPr>
        <w:pStyle w:val="20"/>
        <w:numPr>
          <w:ilvl w:val="0"/>
          <w:numId w:val="2"/>
        </w:numPr>
        <w:spacing w:after="120"/>
      </w:pPr>
      <w:r>
        <w:rPr>
          <w:rFonts w:ascii="Arial" w:hAnsi="Arial" w:eastAsia="微软雅黑"/>
          <w:sz w:val="22"/>
          <w:szCs w:val="22"/>
        </w:rPr>
        <w:t>威胁态势升级：87.2%攻击通过加密通道，APT攻击日益隐蔽</w:t>
      </w:r>
    </w:p>
    <w:p w14:paraId="228AF585">
      <w:pPr>
        <w:pStyle w:val="3"/>
      </w:pPr>
      <w:r>
        <w:rPr>
          <w:rFonts w:ascii="Arial" w:hAnsi="Arial" w:eastAsia="微软雅黑"/>
          <w:b/>
          <w:bCs/>
          <w:sz w:val="28"/>
          <w:szCs w:val="28"/>
        </w:rPr>
        <w:t>5.2 热点赛道分析</w:t>
      </w:r>
    </w:p>
    <w:p w14:paraId="26B63A14">
      <w:pPr>
        <w:pStyle w:val="20"/>
        <w:numPr>
          <w:ilvl w:val="0"/>
          <w:numId w:val="1"/>
        </w:numPr>
        <w:spacing w:after="80"/>
      </w:pPr>
      <w:r>
        <w:rPr>
          <w:rFonts w:ascii="Arial" w:hAnsi="Arial" w:eastAsia="微软雅黑"/>
          <w:sz w:val="22"/>
          <w:szCs w:val="22"/>
        </w:rPr>
        <w:t>AI不解密检测：技术门槛高，市场空间大，是当前最热门的技术方向</w:t>
      </w:r>
    </w:p>
    <w:p w14:paraId="6227B4FC">
      <w:pPr>
        <w:pStyle w:val="20"/>
        <w:numPr>
          <w:ilvl w:val="0"/>
          <w:numId w:val="1"/>
        </w:numPr>
        <w:spacing w:after="80"/>
      </w:pPr>
      <w:r>
        <w:rPr>
          <w:rFonts w:ascii="Arial" w:hAnsi="Arial" w:eastAsia="微软雅黑"/>
          <w:sz w:val="22"/>
          <w:szCs w:val="22"/>
        </w:rPr>
        <w:t>云原生NDR：阿里云、华为云、腾讯云等云厂商纷纷推出云原生NDR产品</w:t>
      </w:r>
    </w:p>
    <w:p w14:paraId="7931069E">
      <w:pPr>
        <w:pStyle w:val="20"/>
        <w:numPr>
          <w:ilvl w:val="0"/>
          <w:numId w:val="1"/>
        </w:numPr>
        <w:spacing w:after="80"/>
      </w:pPr>
      <w:r>
        <w:rPr>
          <w:rFonts w:ascii="Arial" w:hAnsi="Arial" w:eastAsia="微软雅黑"/>
          <w:sz w:val="22"/>
          <w:szCs w:val="22"/>
        </w:rPr>
        <w:t>API安全融合：NDR产品正在融入API安全、敏感数据检测等能力</w:t>
      </w:r>
    </w:p>
    <w:p w14:paraId="75F412DA">
      <w:pPr>
        <w:pStyle w:val="20"/>
        <w:numPr>
          <w:ilvl w:val="0"/>
          <w:numId w:val="1"/>
        </w:numPr>
        <w:spacing w:after="120"/>
      </w:pPr>
      <w:r>
        <w:rPr>
          <w:rFonts w:ascii="Arial" w:hAnsi="Arial" w:eastAsia="微软雅黑"/>
          <w:sz w:val="22"/>
          <w:szCs w:val="22"/>
        </w:rPr>
        <w:t>GenAI赋能：大模型技术提升威胁检测准确性和运营效率</w:t>
      </w:r>
    </w:p>
    <w:p w14:paraId="505E6FFF">
      <w:pPr>
        <w:pStyle w:val="3"/>
      </w:pPr>
      <w:r>
        <w:rPr>
          <w:rFonts w:ascii="Arial" w:hAnsi="Arial" w:eastAsia="微软雅黑"/>
          <w:b/>
          <w:bCs/>
          <w:sz w:val="28"/>
          <w:szCs w:val="28"/>
        </w:rPr>
        <w:t>5.3 潜在增长机会</w:t>
      </w:r>
    </w:p>
    <w:p w14:paraId="2F23F446">
      <w:pPr>
        <w:pStyle w:val="20"/>
        <w:numPr>
          <w:ilvl w:val="0"/>
          <w:numId w:val="1"/>
        </w:numPr>
        <w:spacing w:after="80"/>
      </w:pPr>
      <w:r>
        <w:rPr>
          <w:rFonts w:ascii="Arial" w:hAnsi="Arial" w:eastAsia="微软雅黑"/>
          <w:sz w:val="22"/>
          <w:szCs w:val="22"/>
        </w:rPr>
        <w:t>金融行业：NDR渗透率68%，仍有增长空间，对ETD需求强烈</w:t>
      </w:r>
    </w:p>
    <w:p w14:paraId="07BC04A4">
      <w:pPr>
        <w:pStyle w:val="20"/>
        <w:numPr>
          <w:ilvl w:val="0"/>
          <w:numId w:val="1"/>
        </w:numPr>
        <w:spacing w:after="80"/>
      </w:pPr>
      <w:r>
        <w:rPr>
          <w:rFonts w:ascii="Arial" w:hAnsi="Arial" w:eastAsia="微软雅黑"/>
          <w:sz w:val="22"/>
          <w:szCs w:val="22"/>
        </w:rPr>
        <w:t>医疗行业：数字化加速，勒索攻击频发，是增长最快的垂直市场</w:t>
      </w:r>
    </w:p>
    <w:p w14:paraId="3CBB6C2A">
      <w:pPr>
        <w:pStyle w:val="20"/>
        <w:numPr>
          <w:ilvl w:val="0"/>
          <w:numId w:val="1"/>
        </w:numPr>
        <w:spacing w:after="80"/>
      </w:pPr>
      <w:r>
        <w:rPr>
          <w:rFonts w:ascii="Arial" w:hAnsi="Arial" w:eastAsia="微软雅黑"/>
          <w:sz w:val="22"/>
          <w:szCs w:val="22"/>
        </w:rPr>
        <w:t>中小企业：渗透率较低，云化部署模式有望打开增量市场</w:t>
      </w:r>
    </w:p>
    <w:p w14:paraId="0B8E4941">
      <w:pPr>
        <w:pStyle w:val="20"/>
        <w:numPr>
          <w:ilvl w:val="0"/>
          <w:numId w:val="1"/>
        </w:numPr>
        <w:spacing w:after="120"/>
      </w:pPr>
      <w:r>
        <w:rPr>
          <w:rFonts w:ascii="Arial" w:hAnsi="Arial" w:eastAsia="微软雅黑"/>
          <w:sz w:val="22"/>
          <w:szCs w:val="22"/>
        </w:rPr>
        <w:t>信创替代：国产化替代需求推动，国产NDR产品迎来发展机遇</w:t>
      </w:r>
    </w:p>
    <w:p w14:paraId="6C9E6BD9">
      <w:r>
        <w:br w:type="page"/>
      </w:r>
    </w:p>
    <w:p w14:paraId="3AE554AC">
      <w:pPr>
        <w:pStyle w:val="2"/>
      </w:pPr>
      <w:r>
        <w:rPr>
          <w:rFonts w:ascii="Arial" w:hAnsi="Arial" w:eastAsia="微软雅黑"/>
          <w:b/>
          <w:bCs/>
          <w:sz w:val="32"/>
          <w:szCs w:val="32"/>
        </w:rPr>
        <w:t>六、数据来源索引</w:t>
      </w:r>
    </w:p>
    <w:p w14:paraId="6FB67E14">
      <w:pPr>
        <w:pStyle w:val="3"/>
      </w:pPr>
      <w:r>
        <w:rPr>
          <w:rFonts w:ascii="Arial" w:hAnsi="Arial" w:eastAsia="微软雅黑"/>
          <w:b/>
          <w:bCs/>
          <w:sz w:val="28"/>
          <w:szCs w:val="28"/>
        </w:rPr>
        <w:t>权威机构报告</w:t>
      </w:r>
    </w:p>
    <w:p w14:paraId="25841D0C">
      <w:pPr>
        <w:pStyle w:val="20"/>
        <w:numPr>
          <w:ilvl w:val="0"/>
          <w:numId w:val="2"/>
        </w:numPr>
        <w:spacing w:after="80"/>
      </w:pPr>
      <w:r>
        <w:rPr>
          <w:rFonts w:ascii="Arial" w:hAnsi="Arial" w:eastAsia="微软雅黑"/>
          <w:sz w:val="22"/>
          <w:szCs w:val="22"/>
        </w:rPr>
        <w:t>IDC《中国网络威胁检测与响应市场份额，2023》</w:t>
      </w:r>
    </w:p>
    <w:p w14:paraId="7D3A4E67">
      <w:pPr>
        <w:spacing w:after="120"/>
        <w:jc w:val="both"/>
      </w:pPr>
      <w:r>
        <w:rPr>
          <w:rFonts w:ascii="Arial" w:hAnsi="Arial" w:eastAsia="微软雅黑"/>
          <w:sz w:val="22"/>
          <w:szCs w:val="22"/>
        </w:rPr>
        <w:t>链接：https://www.qianxin.com/report/detail/rid/62</w:t>
      </w:r>
    </w:p>
    <w:p w14:paraId="06B306DE">
      <w:pPr>
        <w:pStyle w:val="20"/>
        <w:numPr>
          <w:ilvl w:val="0"/>
          <w:numId w:val="2"/>
        </w:numPr>
        <w:spacing w:after="80"/>
      </w:pPr>
      <w:r>
        <w:rPr>
          <w:rFonts w:ascii="Arial" w:hAnsi="Arial" w:eastAsia="微软雅黑"/>
          <w:sz w:val="22"/>
          <w:szCs w:val="22"/>
        </w:rPr>
        <w:t>IDC《中国GenAI赋能的网络威胁检测与响应市场份额，2024》</w:t>
      </w:r>
    </w:p>
    <w:p w14:paraId="0336DFEB">
      <w:pPr>
        <w:spacing w:after="120"/>
        <w:jc w:val="both"/>
      </w:pPr>
      <w:r>
        <w:rPr>
          <w:rFonts w:ascii="Arial" w:hAnsi="Arial" w:eastAsia="微软雅黑"/>
          <w:sz w:val="22"/>
          <w:szCs w:val="22"/>
        </w:rPr>
        <w:t>链接：https://www.secrss.com/articles/79613</w:t>
      </w:r>
    </w:p>
    <w:p w14:paraId="4A4CF5FC">
      <w:pPr>
        <w:pStyle w:val="20"/>
        <w:numPr>
          <w:ilvl w:val="0"/>
          <w:numId w:val="2"/>
        </w:numPr>
        <w:spacing w:after="80"/>
      </w:pPr>
      <w:r>
        <w:rPr>
          <w:rFonts w:ascii="Arial" w:hAnsi="Arial" w:eastAsia="微软雅黑"/>
          <w:sz w:val="22"/>
          <w:szCs w:val="22"/>
        </w:rPr>
        <w:t>Grand View Research《Network Detection And Response Market Report》</w:t>
      </w:r>
    </w:p>
    <w:p w14:paraId="68F01AC5">
      <w:pPr>
        <w:spacing w:after="120"/>
        <w:jc w:val="both"/>
      </w:pPr>
      <w:r>
        <w:rPr>
          <w:rFonts w:ascii="Arial" w:hAnsi="Arial" w:eastAsia="微软雅黑"/>
          <w:sz w:val="22"/>
          <w:szCs w:val="22"/>
        </w:rPr>
        <w:t>链接：https://www.grandviewresearch.com/industry-analysis/network-detection-response-ndr-market-report</w:t>
      </w:r>
    </w:p>
    <w:p w14:paraId="3AB543A1">
      <w:pPr>
        <w:pStyle w:val="20"/>
        <w:numPr>
          <w:ilvl w:val="0"/>
          <w:numId w:val="2"/>
        </w:numPr>
        <w:spacing w:after="80"/>
      </w:pPr>
      <w:r>
        <w:rPr>
          <w:rFonts w:ascii="Arial" w:hAnsi="Arial" w:eastAsia="微软雅黑"/>
          <w:sz w:val="22"/>
          <w:szCs w:val="22"/>
        </w:rPr>
        <w:t>MarketsandMarkets《Network Detection and Response Market Forecast to 2030》</w:t>
      </w:r>
    </w:p>
    <w:p w14:paraId="0C5A38EA">
      <w:pPr>
        <w:spacing w:after="120"/>
        <w:jc w:val="both"/>
      </w:pPr>
      <w:r>
        <w:rPr>
          <w:rFonts w:ascii="Arial" w:hAnsi="Arial" w:eastAsia="微软雅黑"/>
          <w:sz w:val="22"/>
          <w:szCs w:val="22"/>
        </w:rPr>
        <w:t>链接：https://www.marketresearch.com/MarketsandMarkets-v3719/Network-Detection-Response-Offering-Solutions-42568606/</w:t>
      </w:r>
    </w:p>
    <w:p w14:paraId="5E6B5580">
      <w:pPr>
        <w:pStyle w:val="20"/>
        <w:numPr>
          <w:ilvl w:val="0"/>
          <w:numId w:val="2"/>
        </w:numPr>
        <w:spacing w:after="80"/>
      </w:pPr>
      <w:r>
        <w:rPr>
          <w:rFonts w:ascii="Arial" w:hAnsi="Arial" w:eastAsia="微软雅黑"/>
          <w:sz w:val="22"/>
          <w:szCs w:val="22"/>
        </w:rPr>
        <w:t>Zscaler ThreatLabz《2024 Encrypted Attacks Report》</w:t>
      </w:r>
    </w:p>
    <w:p w14:paraId="3D14261B">
      <w:pPr>
        <w:spacing w:after="120"/>
        <w:jc w:val="both"/>
      </w:pPr>
      <w:r>
        <w:rPr>
          <w:rFonts w:ascii="Arial" w:hAnsi="Arial" w:eastAsia="微软雅黑"/>
          <w:sz w:val="22"/>
          <w:szCs w:val="22"/>
        </w:rPr>
        <w:t>链接：https://www.zscaler.com/fr/campaign/threatlabz-encrypted-attacks-report</w:t>
      </w:r>
    </w:p>
    <w:p w14:paraId="3DB8C144">
      <w:pPr>
        <w:pStyle w:val="20"/>
        <w:numPr>
          <w:ilvl w:val="0"/>
          <w:numId w:val="2"/>
        </w:numPr>
        <w:spacing w:after="80"/>
      </w:pPr>
      <w:r>
        <w:rPr>
          <w:rFonts w:ascii="Arial" w:hAnsi="Arial" w:eastAsia="微软雅黑"/>
          <w:sz w:val="22"/>
          <w:szCs w:val="22"/>
        </w:rPr>
        <w:t>贝哲斯咨询《网络检测和响应(NDR)市场规模及未来发展走向研究报告》</w:t>
      </w:r>
    </w:p>
    <w:p w14:paraId="4DE6D5F0">
      <w:pPr>
        <w:spacing w:after="120"/>
        <w:jc w:val="both"/>
      </w:pPr>
      <w:r>
        <w:rPr>
          <w:rFonts w:ascii="Arial" w:hAnsi="Arial" w:eastAsia="微软雅黑"/>
          <w:sz w:val="22"/>
          <w:szCs w:val="22"/>
        </w:rPr>
        <w:t>链接：https://m.gelonghui.com/p/901401</w:t>
      </w:r>
    </w:p>
    <w:p w14:paraId="03BF8BF6">
      <w:pPr>
        <w:pStyle w:val="20"/>
        <w:numPr>
          <w:ilvl w:val="0"/>
          <w:numId w:val="2"/>
        </w:numPr>
        <w:spacing w:after="80"/>
      </w:pPr>
      <w:r>
        <w:rPr>
          <w:rFonts w:ascii="Arial" w:hAnsi="Arial" w:eastAsia="微软雅黑"/>
          <w:sz w:val="22"/>
          <w:szCs w:val="22"/>
        </w:rPr>
        <w:t>数世咨询《NDR能力指南》</w:t>
      </w:r>
    </w:p>
    <w:p w14:paraId="03B1E61D">
      <w:pPr>
        <w:spacing w:after="120"/>
        <w:jc w:val="both"/>
      </w:pPr>
      <w:r>
        <w:rPr>
          <w:rFonts w:ascii="Arial" w:hAnsi="Arial" w:eastAsia="微软雅黑"/>
          <w:sz w:val="22"/>
          <w:szCs w:val="22"/>
        </w:rPr>
        <w:t>链接：https://www.dwcon.cn/post/3410</w:t>
      </w:r>
    </w:p>
    <w:p w14:paraId="6A8CC05D">
      <w:pPr>
        <w:pStyle w:val="20"/>
        <w:numPr>
          <w:ilvl w:val="0"/>
          <w:numId w:val="2"/>
        </w:numPr>
        <w:spacing w:after="80"/>
      </w:pPr>
      <w:r>
        <w:rPr>
          <w:rFonts w:ascii="Arial" w:hAnsi="Arial" w:eastAsia="微软雅黑"/>
          <w:sz w:val="22"/>
          <w:szCs w:val="22"/>
        </w:rPr>
        <w:t>观成科技入选IDC NDR TOP10报告</w:t>
      </w:r>
    </w:p>
    <w:p w14:paraId="3C089458">
      <w:pPr>
        <w:spacing w:after="120"/>
        <w:jc w:val="both"/>
      </w:pPr>
      <w:r>
        <w:rPr>
          <w:rFonts w:ascii="Arial" w:hAnsi="Arial" w:eastAsia="微软雅黑"/>
          <w:sz w:val="22"/>
          <w:szCs w:val="22"/>
        </w:rPr>
        <w:t>链接：https://m.qcc.com/postnews/75bb239a6398c480b4b562ad63db5f77.html</w:t>
      </w:r>
    </w:p>
    <w:p w14:paraId="59D13D93">
      <w:pPr>
        <w:spacing w:before="400"/>
      </w:pPr>
    </w:p>
    <w:p w14:paraId="0F6A3187">
      <w:pPr>
        <w:pStyle w:val="3"/>
      </w:pPr>
      <w:r>
        <w:rPr>
          <w:rFonts w:ascii="Arial" w:hAnsi="Arial" w:eastAsia="微软雅黑"/>
          <w:b/>
          <w:bCs/>
          <w:sz w:val="28"/>
          <w:szCs w:val="28"/>
        </w:rPr>
        <w:t>免责声明</w:t>
      </w:r>
    </w:p>
    <w:p w14:paraId="4B040CE7">
      <w:pPr>
        <w:spacing w:after="120"/>
        <w:jc w:val="both"/>
      </w:pPr>
      <w:r>
        <w:rPr>
          <w:rFonts w:ascii="Arial" w:hAnsi="Arial" w:eastAsia="微软雅黑"/>
          <w:sz w:val="22"/>
          <w:szCs w:val="22"/>
        </w:rPr>
        <w:t>本报告数据均来源于公开渠道，包括IDC、Grand View Research、MarketsandMarkets、Zscaler等权威机构发布的公开报告及上市公司公告。部分预测数据标注为【估算】，并说明推算依据。报告仅供参考，不构成投资建议。</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明峰" w:date="2026-04-27T17:11:50Z" w:initials="">
    <w:p w14:paraId="08E347B3">
      <w:pPr>
        <w:pStyle w:val="8"/>
        <w:rPr>
          <w:rFonts w:hint="eastAsia" w:ascii="Arial" w:hAnsi="Arial" w:cs="Times New Roman"/>
          <w:lang w:val="en-US" w:eastAsia="zh-CN"/>
        </w:rPr>
      </w:pPr>
      <w:r>
        <w:rPr>
          <w:rFonts w:hint="eastAsia" w:ascii="Arial" w:hAnsi="Arial" w:cs="Times New Roman"/>
          <w:lang w:val="en-US" w:eastAsia="zh-CN"/>
        </w:rPr>
        <w:t xml:space="preserve">    </w:t>
      </w:r>
      <w:r>
        <w:rPr>
          <w:rFonts w:hint="eastAsia" w:ascii="Arial" w:hAnsi="Arial" w:cs="Times New Roman"/>
        </w:rPr>
        <w:t>IDC数据显示，20</w:t>
      </w:r>
      <w:r>
        <w:rPr>
          <w:rFonts w:hint="eastAsia" w:ascii="Arial" w:hAnsi="Arial" w:cs="Times New Roman"/>
          <w:lang w:val="en-US" w:eastAsia="zh-CN"/>
        </w:rPr>
        <w:t>22</w:t>
      </w:r>
      <w:r>
        <w:rPr>
          <w:rFonts w:hint="eastAsia" w:ascii="Arial" w:hAnsi="Arial" w:cs="Times New Roman"/>
        </w:rPr>
        <w:t>年中国NDR产品的市场规模达到3.5亿美元，同比增长13.7%。从市场份额来看，奇安信、绿盟科技、深信服科技、安恒信息、亚信安全等综合性安全厂商组成了该市场的主要玩家</w:t>
      </w:r>
      <w:r>
        <w:rPr>
          <w:rFonts w:hint="eastAsia" w:ascii="Arial" w:hAnsi="Arial" w:cs="Times New Roman"/>
          <w:lang w:val="en-US" w:eastAsia="zh-CN"/>
        </w:rPr>
        <w:t>.。</w:t>
      </w:r>
    </w:p>
    <w:p w14:paraId="2C8A9A80">
      <w:pPr>
        <w:pStyle w:val="8"/>
        <w:rPr>
          <w:rFonts w:hint="eastAsia" w:ascii="Arial" w:hAnsi="Arial" w:cs="Times New Roman"/>
          <w:lang w:eastAsia="zh-CN"/>
        </w:rPr>
      </w:pPr>
      <w:r>
        <w:rPr>
          <w:rFonts w:hint="eastAsia" w:ascii="Arial" w:hAnsi="Arial" w:cs="Times New Roman"/>
          <w:lang w:val="en-US" w:eastAsia="zh-CN"/>
        </w:rPr>
        <w:t xml:space="preserve">    </w:t>
      </w:r>
      <w:r>
        <w:rPr>
          <w:rFonts w:hint="eastAsia" w:ascii="Arial" w:hAnsi="Arial" w:cs="Times New Roman"/>
        </w:rPr>
        <w:t>IDC数据显示，2023年中国网络威胁检测与响应市场规模为23.8亿元人民币，相较于2022年实现了1.6%的同比增长。从市场份额来看，奇安信、深信服科技、安恒信息、绿盟科技、斗象科技等厂商组成了该市场的主要玩家</w:t>
      </w:r>
      <w:r>
        <w:rPr>
          <w:rFonts w:hint="eastAsia" w:ascii="Arial" w:hAnsi="Arial" w:cs="Times New Roman"/>
          <w:lang w:eastAsia="zh-CN"/>
        </w:rPr>
        <w:t>。</w:t>
      </w:r>
    </w:p>
    <w:p w14:paraId="5C0BF32E">
      <w:pPr>
        <w:pStyle w:val="8"/>
        <w:rPr>
          <w:rFonts w:hint="default" w:ascii="Arial" w:hAnsi="Arial" w:cs="Times New Roman"/>
          <w:lang w:val="en-US" w:eastAsia="zh-CN"/>
        </w:rPr>
      </w:pPr>
      <w:r>
        <w:rPr>
          <w:rFonts w:hint="eastAsia" w:ascii="Arial" w:hAnsi="Arial" w:cs="Times New Roman"/>
          <w:lang w:val="en-US" w:eastAsia="zh-CN"/>
        </w:rPr>
        <w:t xml:space="preserve">    </w:t>
      </w:r>
      <w:r>
        <w:rPr>
          <w:rFonts w:hint="eastAsia" w:ascii="Arial" w:hAnsi="Arial" w:cs="Times New Roman"/>
        </w:rPr>
        <w:t>IDC数据显示，2024年中国网络威胁检测与响应市场规模为23.6亿元人民币，同比下降0.9%。从市场份额来看，奇安信、绿盟科技、深信服科技、安恒信息（并列第三）、360数字安全集团等厂商组成了该市场的主要玩家</w:t>
      </w:r>
      <w:r>
        <w:rPr>
          <w:rFonts w:hint="eastAsia" w:ascii="Arial" w:hAnsi="Arial" w:cs="Times New Roman"/>
          <w:lang w:eastAsia="zh-CN"/>
        </w:rPr>
        <w:t>。</w:t>
      </w:r>
    </w:p>
  </w:comment>
  <w:comment w:id="1" w:author="张明峰" w:date="2026-04-27T13:56:02Z" w:initials="">
    <w:p w14:paraId="6D2AB902">
      <w:pPr>
        <w:pStyle w:val="8"/>
        <w:rPr>
          <w:rFonts w:hint="eastAsia"/>
        </w:rPr>
      </w:pPr>
      <w:r>
        <w:rPr>
          <w:rFonts w:hint="eastAsia"/>
        </w:rPr>
        <w:t>国际数据公司（IDC）正式发布了针对中国网络威胁检测与响应产品的市场份额研究报告——《 IDC 中国GenAI赋能的网络威胁检测与响应市场份额，2024：大模型深入应用，产品能力与运营效率双提升》（Doc # CHC52196225 ，2025年6月）。报告针对2024年中国网络威胁检测与响应市场的规模、增长速度、主要玩家、市场与技术的发展趋势等内容进行了详细研究。</w:t>
      </w:r>
    </w:p>
    <w:p w14:paraId="12397631">
      <w:pPr>
        <w:pStyle w:val="8"/>
      </w:pPr>
      <w:r>
        <w:rPr>
          <w:rFonts w:hint="eastAsia"/>
        </w:rPr>
        <w:t>IDC数据显示，2024年中国网络威胁检测与响应市场规模为23.6亿元人民币，同比下降0.9%。从市场份额来看，奇安信、绿盟科技、深信服科技、安恒信息（并列第三）、360数字安全集团等厂商组成了该市场的主要玩家。具体内容详见下图：</w:t>
      </w:r>
    </w:p>
  </w:comment>
  <w:comment w:id="2" w:author="张明峰" w:date="2026-04-27T13:58:33Z" w:initials="">
    <w:p w14:paraId="685F717B">
      <w:pPr>
        <w:pStyle w:val="8"/>
        <w:rPr>
          <w:rFonts w:hint="eastAsia"/>
          <w:lang w:eastAsia="zh-CN"/>
        </w:rPr>
      </w:pPr>
      <w:r>
        <w:rPr>
          <w:rFonts w:hint="eastAsia"/>
        </w:rPr>
        <w:t>ThreatLabz 2024 加密攻击报告</w:t>
      </w:r>
      <w:r>
        <w:rPr>
          <w:rFonts w:hint="eastAsia"/>
          <w:lang w:eastAsia="zh-CN"/>
        </w:rPr>
        <w:t>：</w:t>
      </w:r>
    </w:p>
    <w:p w14:paraId="025FC5F4">
      <w:pPr>
        <w:pStyle w:val="8"/>
        <w:rPr>
          <w:rFonts w:hint="eastAsia"/>
          <w:lang w:eastAsia="zh-CN"/>
        </w:rPr>
      </w:pPr>
      <w:r>
        <w:rPr>
          <w:rFonts w:hint="eastAsia"/>
          <w:lang w:eastAsia="zh-CN"/>
        </w:rPr>
        <w:t>加密网络攻击正在激增，过去一年中，有 321 亿个威胁隐藏在 TLS/SSL 加密的流量中——占总威胁的 87.2%。攻击者正充分利用加密通道来传播恶意软件和隐藏恶意活动。</w:t>
      </w:r>
    </w:p>
    <w:p w14:paraId="3AEA2925">
      <w:pPr>
        <w:pStyle w:val="8"/>
        <w:rPr>
          <w:rFonts w:hint="eastAsia"/>
          <w:lang w:eastAsia="zh-CN"/>
        </w:rPr>
      </w:pPr>
      <w:r>
        <w:rPr>
          <w:rFonts w:hint="eastAsia"/>
          <w:lang w:eastAsia="zh-CN"/>
        </w:rPr>
        <w:t>阅读《Zscaler ThreatLabz 2024 Encrypted Attacks Report》，了解攻击者如何利用加密通道，导致 HTTPS 威胁同比增长 10.3%。基于全球最大 inline 安全云的数据，本报告详细分析了加密威胁态势。</w:t>
      </w:r>
    </w:p>
  </w:comment>
  <w:comment w:id="3" w:author="张明峰" w:date="2026-04-27T16:16:34Z" w:initials="">
    <w:p w14:paraId="4220C332">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288" w:beforeAutospacing="0" w:after="0" w:afterAutospacing="0" w:line="360" w:lineRule="atLeast"/>
        <w:ind w:left="0" w:right="0"/>
        <w:jc w:val="both"/>
        <w:rPr>
          <w:color w:val="222222"/>
          <w:sz w:val="22"/>
          <w:szCs w:val="22"/>
        </w:rPr>
      </w:pPr>
      <w:r>
        <w:rPr>
          <w:rFonts w:ascii="Arial" w:hAnsi="Arial" w:cs="Arial"/>
          <w:i w:val="0"/>
          <w:iCs w:val="0"/>
          <w:caps w:val="0"/>
          <w:color w:val="222222"/>
          <w:spacing w:val="0"/>
          <w:sz w:val="22"/>
          <w:szCs w:val="22"/>
          <w:bdr w:val="none" w:color="auto" w:sz="0" w:space="0"/>
          <w:shd w:val="clear" w:fill="FFFFFF"/>
        </w:rPr>
        <w:t>IDC认为，加密流量检测成为更多行业的明确需求，利用AI实现不解密状态下的流量威胁检测成为技术提供商核心竞争力之一。在机器学习、AI等技术的推动下，技术提供商正在尝试通过特征提取、规则匹配、模型综合研判等多种手段检测加密流量中的恶意威胁，并已经取得了显著效果。目前， 金融、运营商、能源等重点行业客户对不解密状态下网络流量的安全检测需求明显提升，或将成为技术领导厂商持续保持市场增长的有力驱动。</w:t>
      </w:r>
    </w:p>
    <w:p w14:paraId="200D1713">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288" w:beforeAutospacing="0" w:after="0" w:afterAutospacing="0" w:line="360" w:lineRule="atLeast"/>
        <w:ind w:left="0" w:right="0"/>
        <w:jc w:val="both"/>
        <w:rPr>
          <w:rFonts w:hint="default" w:ascii="Arial" w:hAnsi="Arial" w:cs="Arial"/>
          <w:i w:val="0"/>
          <w:iCs w:val="0"/>
          <w:caps w:val="0"/>
          <w:color w:val="222222"/>
          <w:spacing w:val="0"/>
          <w:sz w:val="22"/>
          <w:szCs w:val="22"/>
          <w:bdr w:val="none" w:color="auto" w:sz="0" w:space="0"/>
          <w:shd w:val="clear" w:fill="FFFFFF"/>
        </w:rPr>
      </w:pPr>
      <w:r>
        <w:rPr>
          <w:rFonts w:hint="default" w:ascii="Arial" w:hAnsi="Arial" w:cs="Arial"/>
          <w:i w:val="0"/>
          <w:iCs w:val="0"/>
          <w:caps w:val="0"/>
          <w:color w:val="222222"/>
          <w:spacing w:val="0"/>
          <w:sz w:val="22"/>
          <w:szCs w:val="22"/>
          <w:bdr w:val="none" w:color="auto" w:sz="0" w:space="0"/>
          <w:shd w:val="clear" w:fill="FFFFFF"/>
        </w:rPr>
        <w:t>报告中特别提出，虽然，2024 年，中国网络威胁检测与响应（NDR）产品的市场规模为 23.6 亿元，同比下降0.9%。 技术提供商显著提升 NDR 产品在</w:t>
      </w:r>
      <w:r>
        <w:rPr>
          <w:rStyle w:val="15"/>
          <w:rFonts w:hint="default" w:ascii="Arial" w:hAnsi="Arial" w:cs="Arial"/>
          <w:i w:val="0"/>
          <w:iCs w:val="0"/>
          <w:caps w:val="0"/>
          <w:color w:val="222222"/>
          <w:spacing w:val="0"/>
          <w:sz w:val="22"/>
          <w:szCs w:val="22"/>
          <w:bdr w:val="none" w:color="auto" w:sz="0" w:space="0"/>
          <w:shd w:val="clear" w:fill="FFFFFF"/>
        </w:rPr>
        <w:t>加密流量检测、</w:t>
      </w:r>
      <w:r>
        <w:rPr>
          <w:rFonts w:hint="default" w:ascii="Arial" w:hAnsi="Arial" w:cs="Arial"/>
          <w:i w:val="0"/>
          <w:iCs w:val="0"/>
          <w:caps w:val="0"/>
          <w:color w:val="222222"/>
          <w:spacing w:val="0"/>
          <w:sz w:val="22"/>
          <w:szCs w:val="22"/>
          <w:bdr w:val="none" w:color="auto" w:sz="0" w:space="0"/>
          <w:shd w:val="clear" w:fill="FFFFFF"/>
        </w:rPr>
        <w:t>威胁分析、运营效率等多维度的能力，重点行业客户对产品的更新换代需求显著增长。随着企业数字化转型和网络应用场景的拓展，对云上全流量、</w:t>
      </w:r>
      <w:r>
        <w:rPr>
          <w:rStyle w:val="15"/>
          <w:rFonts w:hint="default" w:ascii="Arial" w:hAnsi="Arial" w:cs="Arial"/>
          <w:i w:val="0"/>
          <w:iCs w:val="0"/>
          <w:caps w:val="0"/>
          <w:color w:val="222222"/>
          <w:spacing w:val="0"/>
          <w:sz w:val="22"/>
          <w:szCs w:val="22"/>
          <w:bdr w:val="none" w:color="auto" w:sz="0" w:space="0"/>
          <w:shd w:val="clear" w:fill="FFFFFF"/>
        </w:rPr>
        <w:t>加密流量、</w:t>
      </w:r>
      <w:r>
        <w:rPr>
          <w:rFonts w:hint="default" w:ascii="Arial" w:hAnsi="Arial" w:cs="Arial"/>
          <w:i w:val="0"/>
          <w:iCs w:val="0"/>
          <w:caps w:val="0"/>
          <w:color w:val="222222"/>
          <w:spacing w:val="0"/>
          <w:sz w:val="22"/>
          <w:szCs w:val="22"/>
          <w:bdr w:val="none" w:color="auto" w:sz="0" w:space="0"/>
          <w:shd w:val="clear" w:fill="FFFFFF"/>
        </w:rPr>
        <w:t> 5GC流量等的安全检测与响应需求也随之增长，也将在未来几年带来新的市场增量。</w:t>
      </w:r>
    </w:p>
    <w:p w14:paraId="78A0F6AF">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288" w:beforeAutospacing="0" w:after="0" w:afterAutospacing="0" w:line="360" w:lineRule="atLeast"/>
        <w:ind w:left="0" w:right="0"/>
        <w:jc w:val="both"/>
        <w:rPr>
          <w:rFonts w:hint="default" w:ascii="Arial" w:hAnsi="Arial" w:cs="Arial"/>
          <w:i w:val="0"/>
          <w:iCs w:val="0"/>
          <w:caps w:val="0"/>
          <w:color w:val="222222"/>
          <w:spacing w:val="0"/>
          <w:sz w:val="22"/>
          <w:szCs w:val="22"/>
          <w:bdr w:val="none" w:color="auto" w:sz="0" w:space="0"/>
          <w:shd w:val="clear" w:fill="FFFFFF"/>
        </w:rPr>
      </w:pPr>
      <w:r>
        <w:rPr>
          <w:rFonts w:hint="default" w:ascii="Arial" w:hAnsi="Arial" w:cs="Arial"/>
          <w:i w:val="0"/>
          <w:iCs w:val="0"/>
          <w:caps w:val="0"/>
          <w:color w:val="222222"/>
          <w:spacing w:val="0"/>
          <w:sz w:val="22"/>
          <w:szCs w:val="22"/>
          <w:bdr w:val="none" w:color="auto" w:sz="0" w:space="0"/>
          <w:shd w:val="clear" w:fill="FFFFFF"/>
        </w:rPr>
        <w:t>作为国内加密流量检测技术领域的典型代表厂商，观成科技凭借在不解密的情况下，基于AI+精准行为检测技术的综合决策创新技术路线与实战化产品能力，公司业绩</w:t>
      </w:r>
      <w:r>
        <w:rPr>
          <w:rFonts w:hint="default" w:ascii="Arial" w:hAnsi="Arial" w:cs="Arial"/>
          <w:b/>
          <w:bCs/>
          <w:i w:val="0"/>
          <w:iCs w:val="0"/>
          <w:caps w:val="0"/>
          <w:color w:val="222222"/>
          <w:spacing w:val="0"/>
          <w:sz w:val="22"/>
          <w:szCs w:val="22"/>
          <w:bdr w:val="none" w:color="auto" w:sz="0" w:space="0"/>
          <w:shd w:val="clear" w:fill="FFFFFF"/>
        </w:rPr>
        <w:t>连续三年实现100%增长</w:t>
      </w:r>
      <w:r>
        <w:rPr>
          <w:rFonts w:hint="default" w:ascii="Arial" w:hAnsi="Arial" w:cs="Arial"/>
          <w:i w:val="0"/>
          <w:iCs w:val="0"/>
          <w:caps w:val="0"/>
          <w:color w:val="222222"/>
          <w:spacing w:val="0"/>
          <w:sz w:val="22"/>
          <w:szCs w:val="22"/>
          <w:bdr w:val="none" w:color="auto" w:sz="0" w:space="0"/>
          <w:shd w:val="clear" w:fill="FFFFFF"/>
        </w:rPr>
        <w:t>，为超过100家重要客户提供创新性的加密流量检测解决方案</w:t>
      </w:r>
    </w:p>
  </w:comment>
  <w:comment w:id="4" w:author="张明峰" w:date="2026-04-27T16:27:10Z" w:initials="">
    <w:p w14:paraId="59C1D345">
      <w:pPr>
        <w:pStyle w:val="8"/>
      </w:pPr>
      <w:r>
        <w:rPr>
          <w:rFonts w:hint="eastAsia"/>
        </w:rPr>
        <w:t>2025 年全球网络检测与响应市场规模估计为 37.7 亿美元，预计到 2033 年将达到 80.8 亿美元，从 2026 年到 2033 年将以 10.1%的复合年增长率增长。该市场专注于监控公司网络流量，以实时检测和响应安全威胁。</w:t>
      </w:r>
    </w:p>
  </w:comment>
  <w:comment w:id="5" w:author="张明峰" w:date="2026-04-27T16:25:40Z" w:initials="">
    <w:p w14:paraId="245E0F03">
      <w:pPr>
        <w:pStyle w:val="8"/>
        <w:rPr>
          <w:rFonts w:hint="eastAsia" w:ascii="微软雅黑" w:hAnsi="微软雅黑" w:eastAsia="微软雅黑" w:cs="微软雅黑"/>
        </w:rPr>
      </w:pPr>
      <w:r>
        <w:rPr>
          <w:rFonts w:hint="eastAsia" w:ascii="微软雅黑" w:hAnsi="微软雅黑" w:eastAsia="微软雅黑" w:cs="微软雅黑"/>
          <w:i w:val="0"/>
          <w:iCs w:val="0"/>
          <w:caps w:val="0"/>
          <w:color w:val="0E1318"/>
          <w:spacing w:val="0"/>
          <w:sz w:val="27"/>
          <w:szCs w:val="27"/>
          <w:shd w:val="clear" w:fill="FFFFFF"/>
        </w:rPr>
        <w:t>全球网络检测与响应（NDR）市场规模预计将从 2025 年的 36.8 亿美元增长到 2030 年的 58.2 亿美元，在预测期内以 9.6%的复合年增长率（CAGR）发展。检测加密流量和东西向通信中隐蔽威胁的日益需求推动了其采用。组织越来越多地部署利用行为分析、机器学习和自动化响应的 NDR 平台，以增强 SOC 效率、减少存在时间并确保运营连续性。</w:t>
      </w:r>
    </w:p>
  </w:comment>
  <w:comment w:id="6" w:author="张明峰" w:date="2026-04-27T16:30:38Z" w:initials="">
    <w:p w14:paraId="3ACCAF6C">
      <w:pPr>
        <w:pStyle w:val="8"/>
      </w:pPr>
      <w:r>
        <w:rPr>
          <w:rFonts w:hint="eastAsia"/>
        </w:rPr>
        <w:t>网络检测和响应（NDR）行业研究报告针对2024年网络检测和响应（NDR）市场概况、网络检测和响应（NDR）市场规模与份额、网络检测和响应（NDR）主要细分市场、网络检测和响应（NDR）产业链、重点企业概况及营收情况等方面展开调研。2023年全球网络检测和响应（NDR）市场规模达132.48亿元（人民币），中国网络检测和响应（NDR）市场规模达12.14亿元，据贝哲斯咨询预测，2029年全球网络检测和响应（NDR）市场规模将增长至376.33亿元，预测期间CAGR将达到18.61%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C0BF32E" w15:done="0"/>
  <w15:commentEx w15:paraId="12397631" w15:done="0"/>
  <w15:commentEx w15:paraId="3AEA2925" w15:done="0"/>
  <w15:commentEx w15:paraId="78A0F6AF" w15:done="0"/>
  <w15:commentEx w15:paraId="59C1D345" w15:done="0"/>
  <w15:commentEx w15:paraId="245E0F03" w15:done="0"/>
  <w15:commentEx w15:paraId="3ACCAF6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B0E9E">
    <w:pPr>
      <w:jc w:val="center"/>
    </w:pPr>
    <w:r>
      <w:rPr>
        <w:rFonts w:ascii="Arial" w:hAnsi="Arial" w:eastAsia="微软雅黑"/>
        <w:sz w:val="18"/>
        <w:szCs w:val="18"/>
      </w:rPr>
      <w:t xml:space="preserve">第 </w:t>
    </w:r>
    <w:r>
      <w:rPr>
        <w:rFonts w:ascii="Arial" w:hAnsi="Arial" w:eastAsia="微软雅黑"/>
        <w:sz w:val="18"/>
        <w:szCs w:val="18"/>
      </w:rPr>
      <w:fldChar w:fldCharType="begin"/>
    </w:r>
    <w:r>
      <w:rPr>
        <w:rFonts w:ascii="Arial" w:hAnsi="Arial" w:eastAsia="微软雅黑"/>
        <w:sz w:val="18"/>
        <w:szCs w:val="18"/>
      </w:rPr>
      <w:instrText xml:space="preserve">PAGE</w:instrText>
    </w:r>
    <w:r>
      <w:rPr>
        <w:rFonts w:ascii="Arial" w:hAnsi="Arial" w:eastAsia="微软雅黑"/>
        <w:sz w:val="18"/>
        <w:szCs w:val="18"/>
      </w:rPr>
      <w:fldChar w:fldCharType="separate"/>
    </w:r>
    <w:r>
      <w:rPr>
        <w:rFonts w:ascii="Arial" w:hAnsi="Arial" w:eastAsia="微软雅黑"/>
        <w:sz w:val="18"/>
        <w:szCs w:val="18"/>
      </w:rPr>
      <w:fldChar w:fldCharType="end"/>
    </w:r>
    <w:r>
      <w:rPr>
        <w:rFonts w:ascii="Arial" w:hAnsi="Arial" w:eastAsia="微软雅黑"/>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F78EE">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238F72C4">
                          <w:pPr>
                            <w:jc w:val="right"/>
                          </w:pPr>
                          <w:r>
                            <w:rPr>
                              <w:rFonts w:ascii="Arial" w:hAnsi="Arial" w:eastAsia="宋体"/>
                              <w:color w:val="808080"/>
                              <w:sz w:val="32"/>
                              <w:szCs w:val="32"/>
                              <w14:textFill>
                                <w14:solidFill>
                                  <w14:srgbClr w14:val="808080">
                                    <w14:alpha w14:val="19999"/>
                                  </w14:srgbClr>
                                </w14:solidFill>
                              </w14:textFill>
                            </w:rPr>
                            <w:t>TRAE 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238F72C4">
                    <w:pPr>
                      <w:jc w:val="right"/>
                    </w:pPr>
                    <w:r>
                      <w:rPr>
                        <w:rFonts w:ascii="Arial" w:hAnsi="Arial" w:eastAsia="宋体"/>
                        <w:color w:val="808080"/>
                        <w:sz w:val="32"/>
                        <w:szCs w:val="32"/>
                        <w14:textFill>
                          <w14:solidFill>
                            <w14:srgbClr w14:val="808080">
                              <w14:alpha w14:val="19999"/>
                            </w14:srgbClr>
                          </w14:solidFill>
                        </w14:textFill>
                      </w:rPr>
                      <w:t>TRAE AI 生成</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明峰">
    <w15:presenceInfo w15:providerId="WPS Office" w15:userId="44247123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3270C07"/>
    <w:rsid w:val="0AAB574F"/>
    <w:rsid w:val="10EC2A7F"/>
    <w:rsid w:val="111169F7"/>
    <w:rsid w:val="13006D78"/>
    <w:rsid w:val="14BA4B45"/>
    <w:rsid w:val="174628EA"/>
    <w:rsid w:val="1F092ECA"/>
    <w:rsid w:val="1F47793B"/>
    <w:rsid w:val="1F996BF4"/>
    <w:rsid w:val="1FD614D0"/>
    <w:rsid w:val="2834568E"/>
    <w:rsid w:val="29B82F43"/>
    <w:rsid w:val="29EA62A5"/>
    <w:rsid w:val="2FE5304B"/>
    <w:rsid w:val="314B68FF"/>
    <w:rsid w:val="38D91812"/>
    <w:rsid w:val="391A1372"/>
    <w:rsid w:val="3A062B85"/>
    <w:rsid w:val="3F42102A"/>
    <w:rsid w:val="40642868"/>
    <w:rsid w:val="41F56E5E"/>
    <w:rsid w:val="482145B2"/>
    <w:rsid w:val="483D737D"/>
    <w:rsid w:val="54FC01A8"/>
    <w:rsid w:val="56CE3AEB"/>
    <w:rsid w:val="593C3C41"/>
    <w:rsid w:val="5AF35B26"/>
    <w:rsid w:val="5C58107B"/>
    <w:rsid w:val="68C1269E"/>
    <w:rsid w:val="6B2561A6"/>
    <w:rsid w:val="6D246105"/>
    <w:rsid w:val="6D63683D"/>
    <w:rsid w:val="703F45D4"/>
    <w:rsid w:val="74786358"/>
    <w:rsid w:val="74E87617"/>
    <w:rsid w:val="764B4AE2"/>
    <w:rsid w:val="7B732B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2"/>
      <w:szCs w:val="22"/>
    </w:rPr>
  </w:style>
  <w:style w:type="paragraph" w:styleId="2">
    <w:name w:val="heading 1"/>
    <w:next w:val="1"/>
    <w:qFormat/>
    <w:uiPriority w:val="0"/>
    <w:pPr>
      <w:keepNext w:val="0"/>
      <w:keepLines w:val="0"/>
      <w:spacing w:before="360" w:after="240"/>
      <w:outlineLvl w:val="0"/>
    </w:pPr>
    <w:rPr>
      <w:rFonts w:ascii="Arial" w:hAnsi="Arial" w:eastAsia="微软雅黑"/>
      <w:b/>
      <w:bCs/>
      <w:sz w:val="32"/>
      <w:szCs w:val="32"/>
    </w:rPr>
  </w:style>
  <w:style w:type="paragraph" w:styleId="3">
    <w:name w:val="heading 2"/>
    <w:next w:val="1"/>
    <w:qFormat/>
    <w:uiPriority w:val="0"/>
    <w:pPr>
      <w:keepNext w:val="0"/>
      <w:keepLines w:val="0"/>
      <w:spacing w:before="240" w:after="180"/>
      <w:outlineLvl w:val="1"/>
    </w:pPr>
    <w:rPr>
      <w:rFonts w:ascii="Arial" w:hAnsi="Arial" w:eastAsia="微软雅黑"/>
      <w:b/>
      <w:bCs/>
      <w:sz w:val="28"/>
      <w:szCs w:val="28"/>
    </w:rPr>
  </w:style>
  <w:style w:type="paragraph" w:styleId="4">
    <w:name w:val="heading 3"/>
    <w:next w:val="1"/>
    <w:qFormat/>
    <w:uiPriority w:val="0"/>
    <w:pPr>
      <w:keepNext w:val="0"/>
      <w:keepLines w:val="0"/>
      <w:spacing w:before="180" w:after="120"/>
      <w:outlineLvl w:val="2"/>
    </w:pPr>
    <w:rPr>
      <w:rFonts w:ascii="Arial" w:hAnsi="Arial" w:eastAsia="微软雅黑"/>
      <w:b/>
      <w:bCs/>
      <w:sz w:val="24"/>
      <w:szCs w:val="24"/>
    </w:rPr>
  </w:style>
  <w:style w:type="paragraph" w:styleId="5">
    <w:name w:val="heading 4"/>
    <w:next w:val="1"/>
    <w:qFormat/>
    <w:uiPriority w:val="0"/>
    <w:rPr>
      <w:rFonts w:ascii="Arial" w:hAnsi="Arial" w:eastAsia="微软雅黑"/>
      <w:i/>
      <w:iCs/>
      <w:color w:val="2E74B5"/>
      <w:sz w:val="22"/>
      <w:szCs w:val="22"/>
    </w:rPr>
  </w:style>
  <w:style w:type="paragraph" w:styleId="6">
    <w:name w:val="heading 5"/>
    <w:next w:val="1"/>
    <w:qFormat/>
    <w:uiPriority w:val="0"/>
    <w:rPr>
      <w:rFonts w:ascii="Arial" w:hAnsi="Arial" w:eastAsia="微软雅黑"/>
      <w:color w:val="2E74B5"/>
      <w:sz w:val="22"/>
      <w:szCs w:val="22"/>
    </w:rPr>
  </w:style>
  <w:style w:type="paragraph" w:styleId="7">
    <w:name w:val="heading 6"/>
    <w:next w:val="1"/>
    <w:qFormat/>
    <w:uiPriority w:val="0"/>
    <w:rPr>
      <w:rFonts w:ascii="Arial" w:hAnsi="Arial" w:eastAsia="微软雅黑"/>
      <w:color w:val="1F4D78"/>
      <w:sz w:val="22"/>
      <w:szCs w:val="22"/>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endnote text"/>
    <w:link w:val="22"/>
    <w:semiHidden/>
    <w:unhideWhenUsed/>
    <w:uiPriority w:val="99"/>
    <w:pPr>
      <w:spacing w:after="0" w:line="240" w:lineRule="auto"/>
    </w:pPr>
    <w:rPr>
      <w:rFonts w:ascii="Arial" w:hAnsi="Arial" w:eastAsia="微软雅黑"/>
      <w:sz w:val="20"/>
      <w:szCs w:val="20"/>
    </w:rPr>
  </w:style>
  <w:style w:type="paragraph" w:styleId="10">
    <w:name w:val="footnote text"/>
    <w:link w:val="21"/>
    <w:semiHidden/>
    <w:unhideWhenUsed/>
    <w:uiPriority w:val="99"/>
    <w:pPr>
      <w:spacing w:after="0" w:line="240" w:lineRule="auto"/>
    </w:pPr>
    <w:rPr>
      <w:rFonts w:ascii="Arial" w:hAnsi="Arial" w:eastAsia="微软雅黑"/>
      <w:sz w:val="20"/>
      <w:szCs w:val="20"/>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paragraph" w:styleId="12">
    <w:name w:val="Title"/>
    <w:qFormat/>
    <w:uiPriority w:val="0"/>
    <w:rPr>
      <w:rFonts w:ascii="Arial" w:hAnsi="Arial" w:eastAsia="微软雅黑"/>
      <w:sz w:val="56"/>
      <w:szCs w:val="56"/>
    </w:rPr>
  </w:style>
  <w:style w:type="character" w:styleId="15">
    <w:name w:val="Strong"/>
    <w:basedOn w:val="14"/>
    <w:qFormat/>
    <w:uiPriority w:val="0"/>
    <w:rPr>
      <w:b/>
    </w:rPr>
  </w:style>
  <w:style w:type="character" w:styleId="16">
    <w:name w:val="endnote reference"/>
    <w:semiHidden/>
    <w:unhideWhenUsed/>
    <w:qFormat/>
    <w:uiPriority w:val="99"/>
    <w:rPr>
      <w:vertAlign w:val="superscript"/>
    </w:rPr>
  </w:style>
  <w:style w:type="character" w:styleId="17">
    <w:name w:val="FollowedHyperlink"/>
    <w:basedOn w:val="14"/>
    <w:uiPriority w:val="0"/>
    <w:rPr>
      <w:color w:val="800080"/>
      <w:u w:val="single"/>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styleId="20">
    <w:name w:val="List Paragraph"/>
    <w:qFormat/>
    <w:uiPriority w:val="0"/>
    <w:rPr>
      <w:rFonts w:ascii="Arial" w:hAnsi="Arial" w:eastAsia="微软雅黑"/>
      <w:sz w:val="22"/>
      <w:szCs w:val="22"/>
    </w:rPr>
  </w:style>
  <w:style w:type="character" w:customStyle="1" w:styleId="21">
    <w:name w:val="Footnote Text Char"/>
    <w:link w:val="10"/>
    <w:semiHidden/>
    <w:unhideWhenUsed/>
    <w:uiPriority w:val="99"/>
    <w:rPr>
      <w:sz w:val="20"/>
      <w:szCs w:val="20"/>
    </w:rPr>
  </w:style>
  <w:style w:type="character" w:customStyle="1" w:styleId="22">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2337</Words>
  <Characters>4416</Characters>
  <TotalTime>33</TotalTime>
  <ScaleCrop>false</ScaleCrop>
  <LinksUpToDate>false</LinksUpToDate>
  <CharactersWithSpaces>4479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2026-04-27T03:21:00Z</dcterms:created>
  <dc:creator>Un-named</dc:creator>
  <cp:lastModifiedBy>张明峰</cp:lastModifiedBy>
  <dcterms:modified xsi:type="dcterms:W3CDTF">2026-04-27T09:51:23Z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eyJoZGlkIjoiOTAzNTM4NzExOWZhYTdlY2YwMGQwMTYzNzJhNWIzODciLCJ1c2VySWQiOiIxNDQxNjczMDM4In0=</vt:lpwstr>
  </property>
  <property fmtid="{D5CDD505-2E9C-101B-9397-08002B2CF9AE}" pid="3" name="KSOProductBuildVer">
    <vt:lpwstr>2052-12.1.0.25865</vt:lpwstr>
  </property>
  <property fmtid="{D5CDD505-2E9C-101B-9397-08002B2CF9AE}" pid="4" name="ICV">
    <vt:lpwstr>485548278C9143B8BE7F27AB80125C7A_12</vt:lpwstr>
  </property>
</Properties>
</file>