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E22A" w14:textId="6EB5348B" w:rsidR="00EB2A56" w:rsidRPr="00EB2A56" w:rsidRDefault="00F11FDD" w:rsidP="00EB2A56">
      <w:pPr>
        <w:rPr>
          <w:rFonts w:ascii="Times New Roman" w:hAnsi="Times New Roman" w:cs="Times New Roman"/>
          <w:b/>
          <w:bCs/>
        </w:rPr>
      </w:pPr>
      <w:r>
        <w:rPr>
          <w:rFonts w:ascii="Times New Roman" w:hAnsi="Times New Roman" w:cs="Times New Roman"/>
          <w:b/>
          <w:bCs/>
        </w:rPr>
        <w:t>Response letter</w:t>
      </w:r>
    </w:p>
    <w:p w14:paraId="3D6B3728"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Manuscript title:</w:t>
      </w:r>
      <w:r w:rsidRPr="00EB2A56">
        <w:rPr>
          <w:rFonts w:ascii="Times New Roman" w:hAnsi="Times New Roman" w:cs="Times New Roman"/>
        </w:rPr>
        <w:t xml:space="preserve"> </w:t>
      </w:r>
      <w:r w:rsidRPr="00EB2A56">
        <w:rPr>
          <w:rFonts w:ascii="Times New Roman" w:hAnsi="Times New Roman" w:cs="Times New Roman"/>
          <w:i/>
          <w:iCs/>
        </w:rPr>
        <w:t>Identity Conformity and Concealment in Taiwan and South Korea: Why Citizens in Divided Societies are Pressured to Overstate National Pride</w:t>
      </w:r>
      <w:r w:rsidRPr="00EB2A56">
        <w:rPr>
          <w:rFonts w:ascii="Times New Roman" w:hAnsi="Times New Roman" w:cs="Times New Roman"/>
        </w:rPr>
        <w:br/>
      </w:r>
      <w:r w:rsidRPr="00EB2A56">
        <w:rPr>
          <w:rFonts w:ascii="Times New Roman" w:hAnsi="Times New Roman" w:cs="Times New Roman"/>
          <w:b/>
          <w:bCs/>
        </w:rPr>
        <w:t>Journal:</w:t>
      </w:r>
      <w:r w:rsidRPr="00EB2A56">
        <w:rPr>
          <w:rFonts w:ascii="Times New Roman" w:hAnsi="Times New Roman" w:cs="Times New Roman"/>
        </w:rPr>
        <w:t xml:space="preserve"> </w:t>
      </w:r>
      <w:r w:rsidRPr="00EB2A56">
        <w:rPr>
          <w:rFonts w:ascii="Times New Roman" w:hAnsi="Times New Roman" w:cs="Times New Roman"/>
          <w:i/>
          <w:iCs/>
        </w:rPr>
        <w:t>Nationalism and Ethnic Politics</w:t>
      </w:r>
      <w:r w:rsidRPr="00EB2A56">
        <w:rPr>
          <w:rFonts w:ascii="Times New Roman" w:hAnsi="Times New Roman" w:cs="Times New Roman"/>
        </w:rPr>
        <w:br/>
      </w:r>
      <w:r w:rsidRPr="00EB2A56">
        <w:rPr>
          <w:rFonts w:ascii="Times New Roman" w:hAnsi="Times New Roman" w:cs="Times New Roman"/>
          <w:b/>
          <w:bCs/>
        </w:rPr>
        <w:t>Manuscript No.:</w:t>
      </w:r>
      <w:r w:rsidRPr="00EB2A56">
        <w:rPr>
          <w:rFonts w:ascii="Times New Roman" w:hAnsi="Times New Roman" w:cs="Times New Roman"/>
        </w:rPr>
        <w:t xml:space="preserve"> FNEP-2025-0058</w:t>
      </w:r>
      <w:r w:rsidRPr="00EB2A56">
        <w:rPr>
          <w:rFonts w:ascii="Times New Roman" w:hAnsi="Times New Roman" w:cs="Times New Roman"/>
        </w:rPr>
        <w:br/>
      </w:r>
      <w:r w:rsidRPr="00EB2A56">
        <w:rPr>
          <w:rFonts w:ascii="Times New Roman" w:hAnsi="Times New Roman" w:cs="Times New Roman"/>
          <w:b/>
          <w:bCs/>
        </w:rPr>
        <w:t>Submission ID:</w:t>
      </w:r>
      <w:r w:rsidRPr="00EB2A56">
        <w:rPr>
          <w:rFonts w:ascii="Times New Roman" w:hAnsi="Times New Roman" w:cs="Times New Roman"/>
        </w:rPr>
        <w:t xml:space="preserve"> 251977900</w:t>
      </w:r>
    </w:p>
    <w:p w14:paraId="552FC176" w14:textId="761E5896" w:rsidR="00EB2A56" w:rsidRPr="00EB2A56" w:rsidRDefault="00EB2A56" w:rsidP="00EB2A56">
      <w:pPr>
        <w:rPr>
          <w:rFonts w:ascii="Times New Roman" w:hAnsi="Times New Roman" w:cs="Times New Roman"/>
        </w:rPr>
      </w:pPr>
      <w:r w:rsidRPr="00EB2A56">
        <w:rPr>
          <w:rFonts w:ascii="Times New Roman" w:hAnsi="Times New Roman" w:cs="Times New Roman"/>
        </w:rPr>
        <w:t xml:space="preserve">Dear Dr. Fontana and </w:t>
      </w:r>
      <w:r>
        <w:rPr>
          <w:rFonts w:ascii="Times New Roman" w:hAnsi="Times New Roman" w:cs="Times New Roman"/>
        </w:rPr>
        <w:t>Reviewers</w:t>
      </w:r>
      <w:r w:rsidRPr="00EB2A56">
        <w:rPr>
          <w:rFonts w:ascii="Times New Roman" w:hAnsi="Times New Roman" w:cs="Times New Roman"/>
        </w:rPr>
        <w:t>,</w:t>
      </w:r>
    </w:p>
    <w:p w14:paraId="241DB418" w14:textId="02B45CA3" w:rsidR="00EB2A56" w:rsidRPr="00EB2A56" w:rsidRDefault="00EB2A56" w:rsidP="00EB2A56">
      <w:pPr>
        <w:rPr>
          <w:rFonts w:ascii="Times New Roman" w:hAnsi="Times New Roman" w:cs="Times New Roman"/>
        </w:rPr>
      </w:pPr>
      <w:r>
        <w:rPr>
          <w:rFonts w:ascii="Times New Roman" w:hAnsi="Times New Roman" w:cs="Times New Roman"/>
        </w:rPr>
        <w:t>We, the authors, t</w:t>
      </w:r>
      <w:r w:rsidRPr="00EB2A56">
        <w:rPr>
          <w:rFonts w:ascii="Times New Roman" w:hAnsi="Times New Roman" w:cs="Times New Roman"/>
        </w:rPr>
        <w:t>hank</w:t>
      </w:r>
      <w:r w:rsidRPr="00EB2A56">
        <w:rPr>
          <w:rFonts w:ascii="Times New Roman" w:hAnsi="Times New Roman" w:cs="Times New Roman"/>
        </w:rPr>
        <w:t xml:space="preserve"> the editor for their constructive guidance and the reviewers for their reports. We have revised the manuscript substantially to clarify our theoretical contribution, make our design and measurement fully transparent, and address each specific point raised.</w:t>
      </w:r>
    </w:p>
    <w:p w14:paraId="2292C999" w14:textId="77777777" w:rsidR="00EB2A56" w:rsidRPr="00EB2A56" w:rsidRDefault="00EB2A56" w:rsidP="00EB2A56">
      <w:pPr>
        <w:rPr>
          <w:rFonts w:ascii="Times New Roman" w:hAnsi="Times New Roman" w:cs="Times New Roman"/>
        </w:rPr>
      </w:pPr>
      <w:r w:rsidRPr="00EB2A56">
        <w:rPr>
          <w:rFonts w:ascii="Times New Roman" w:hAnsi="Times New Roman" w:cs="Times New Roman"/>
        </w:rPr>
        <w:t xml:space="preserve">At a high level and </w:t>
      </w:r>
      <w:proofErr w:type="gramStart"/>
      <w:r w:rsidRPr="00EB2A56">
        <w:rPr>
          <w:rFonts w:ascii="Times New Roman" w:hAnsi="Times New Roman" w:cs="Times New Roman"/>
        </w:rPr>
        <w:t>with regard to</w:t>
      </w:r>
      <w:proofErr w:type="gramEnd"/>
      <w:r w:rsidRPr="00EB2A56">
        <w:rPr>
          <w:rFonts w:ascii="Times New Roman" w:hAnsi="Times New Roman" w:cs="Times New Roman"/>
        </w:rPr>
        <w:t xml:space="preserve"> the optional routes for revision laid out by the editor, we revised accordingly:</w:t>
      </w:r>
    </w:p>
    <w:p w14:paraId="744CB3FE" w14:textId="7B445080" w:rsidR="00EB2A56" w:rsidRPr="00EB2A56" w:rsidRDefault="00EB2A56" w:rsidP="00EB2A56">
      <w:pPr>
        <w:numPr>
          <w:ilvl w:val="0"/>
          <w:numId w:val="1"/>
        </w:numPr>
        <w:rPr>
          <w:rFonts w:ascii="Times New Roman" w:hAnsi="Times New Roman" w:cs="Times New Roman"/>
        </w:rPr>
      </w:pPr>
      <w:r w:rsidRPr="00EB2A56">
        <w:rPr>
          <w:rFonts w:ascii="Times New Roman" w:hAnsi="Times New Roman" w:cs="Times New Roman"/>
        </w:rPr>
        <w:t xml:space="preserve">We implemented option (2) by adding a </w:t>
      </w:r>
      <w:proofErr w:type="spellStart"/>
      <w:r w:rsidRPr="00EB2A56">
        <w:rPr>
          <w:rFonts w:ascii="Times New Roman" w:hAnsi="Times New Roman" w:cs="Times New Roman"/>
          <w:i/>
          <w:iCs/>
        </w:rPr>
        <w:t>Benshengren</w:t>
      </w:r>
      <w:proofErr w:type="spellEnd"/>
      <w:r w:rsidRPr="00EB2A56">
        <w:rPr>
          <w:rFonts w:ascii="Times New Roman" w:hAnsi="Times New Roman" w:cs="Times New Roman"/>
        </w:rPr>
        <w:t xml:space="preserve"> vs. </w:t>
      </w:r>
      <w:proofErr w:type="spellStart"/>
      <w:r w:rsidRPr="00EB2A56">
        <w:rPr>
          <w:rFonts w:ascii="Times New Roman" w:hAnsi="Times New Roman" w:cs="Times New Roman"/>
          <w:i/>
          <w:iCs/>
        </w:rPr>
        <w:t>Waishengren</w:t>
      </w:r>
      <w:proofErr w:type="spellEnd"/>
      <w:r w:rsidRPr="00EB2A56">
        <w:rPr>
          <w:rFonts w:ascii="Times New Roman" w:hAnsi="Times New Roman" w:cs="Times New Roman"/>
        </w:rPr>
        <w:t xml:space="preserve"> subgroup analysis for Taiwan based on paternal origin, and we report those results in the main Findings section and a newly added summary table. We also explain the limits of analyzing “New Residents” given </w:t>
      </w:r>
      <w:r>
        <w:rPr>
          <w:rFonts w:ascii="Times New Roman" w:hAnsi="Times New Roman" w:cs="Times New Roman"/>
        </w:rPr>
        <w:t xml:space="preserve">the </w:t>
      </w:r>
      <w:r w:rsidRPr="00EB2A56">
        <w:rPr>
          <w:rFonts w:ascii="Times New Roman" w:hAnsi="Times New Roman" w:cs="Times New Roman"/>
        </w:rPr>
        <w:t>sample size and provide a clear data note about this population.</w:t>
      </w:r>
    </w:p>
    <w:p w14:paraId="3DA20711" w14:textId="77777777" w:rsidR="00EB2A56" w:rsidRPr="00EB2A56" w:rsidRDefault="00EB2A56" w:rsidP="00EB2A56">
      <w:pPr>
        <w:numPr>
          <w:ilvl w:val="0"/>
          <w:numId w:val="1"/>
        </w:numPr>
        <w:rPr>
          <w:rFonts w:ascii="Times New Roman" w:hAnsi="Times New Roman" w:cs="Times New Roman"/>
        </w:rPr>
      </w:pPr>
      <w:r w:rsidRPr="00EB2A56">
        <w:rPr>
          <w:rFonts w:ascii="Times New Roman" w:hAnsi="Times New Roman" w:cs="Times New Roman"/>
        </w:rPr>
        <w:t>In line with option (3), we strengthened the theory and added explicit, testable hypotheses tied to our most-similar-systems design (MSSD), and we close the loop in the Findings and Discussion.</w:t>
      </w:r>
    </w:p>
    <w:p w14:paraId="0BF5F151"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What’s new/clarified (high-level summary):</w:t>
      </w:r>
    </w:p>
    <w:p w14:paraId="7537779B" w14:textId="77777777" w:rsidR="00EB2A56" w:rsidRPr="00EB2A56" w:rsidRDefault="00EB2A56" w:rsidP="00EB2A56">
      <w:pPr>
        <w:numPr>
          <w:ilvl w:val="0"/>
          <w:numId w:val="2"/>
        </w:numPr>
        <w:rPr>
          <w:rFonts w:ascii="Times New Roman" w:hAnsi="Times New Roman" w:cs="Times New Roman"/>
        </w:rPr>
      </w:pPr>
      <w:r w:rsidRPr="00EB2A56">
        <w:rPr>
          <w:rFonts w:ascii="Times New Roman" w:hAnsi="Times New Roman" w:cs="Times New Roman"/>
          <w:b/>
          <w:bCs/>
        </w:rPr>
        <w:t>Theory → Hypotheses.</w:t>
      </w:r>
      <w:r w:rsidRPr="00EB2A56">
        <w:rPr>
          <w:rFonts w:ascii="Times New Roman" w:hAnsi="Times New Roman" w:cs="Times New Roman"/>
        </w:rPr>
        <w:t xml:space="preserve"> We now state two general, testable expectations (within-case subjective identity strength; cross-case magnitude), plus case-specific implications for Taiwan and South Korea. These are then evaluated head-on in the Findings and a consolidated results table (Table 1).</w:t>
      </w:r>
    </w:p>
    <w:p w14:paraId="6BF46493" w14:textId="77777777" w:rsidR="00EB2A56" w:rsidRPr="00EB2A56" w:rsidRDefault="00EB2A56" w:rsidP="00EB2A56">
      <w:pPr>
        <w:numPr>
          <w:ilvl w:val="0"/>
          <w:numId w:val="2"/>
        </w:numPr>
        <w:rPr>
          <w:rFonts w:ascii="Times New Roman" w:hAnsi="Times New Roman" w:cs="Times New Roman"/>
        </w:rPr>
      </w:pPr>
      <w:r w:rsidRPr="00EB2A56">
        <w:rPr>
          <w:rFonts w:ascii="Times New Roman" w:hAnsi="Times New Roman" w:cs="Times New Roman"/>
          <w:b/>
          <w:bCs/>
        </w:rPr>
        <w:t>Measurement transparency.</w:t>
      </w:r>
      <w:r w:rsidRPr="00EB2A56">
        <w:rPr>
          <w:rFonts w:ascii="Times New Roman" w:hAnsi="Times New Roman" w:cs="Times New Roman"/>
        </w:rPr>
        <w:t xml:space="preserve"> We spell out more clearly question wording, block ordering, and cutoffs (including the 75th-percentile thresholds used to define “strong” identities). We also move/label the relevant items more clearly in the SI and include full codebook-style text for all direct and list items.</w:t>
      </w:r>
    </w:p>
    <w:p w14:paraId="19C35191" w14:textId="77777777" w:rsidR="00EB2A56" w:rsidRPr="00EB2A56" w:rsidRDefault="00EB2A56" w:rsidP="00EB2A56">
      <w:pPr>
        <w:numPr>
          <w:ilvl w:val="0"/>
          <w:numId w:val="2"/>
        </w:numPr>
        <w:rPr>
          <w:rFonts w:ascii="Times New Roman" w:hAnsi="Times New Roman" w:cs="Times New Roman"/>
        </w:rPr>
      </w:pPr>
      <w:r w:rsidRPr="00EB2A56">
        <w:rPr>
          <w:rFonts w:ascii="Times New Roman" w:hAnsi="Times New Roman" w:cs="Times New Roman"/>
          <w:b/>
          <w:bCs/>
        </w:rPr>
        <w:t>Design checks.</w:t>
      </w:r>
      <w:r w:rsidRPr="00EB2A56">
        <w:rPr>
          <w:rFonts w:ascii="Times New Roman" w:hAnsi="Times New Roman" w:cs="Times New Roman"/>
        </w:rPr>
        <w:t xml:space="preserve"> We clarify that list-experiment blocks were administered before any direct pride questions, which was not clearly communicated in all surveys. We report balance tests for each list experiment in the SI Appendix C. We also added an Ethics Statement with university approvals, which weren't stated before.</w:t>
      </w:r>
    </w:p>
    <w:p w14:paraId="751CEC62" w14:textId="77777777" w:rsidR="00EB2A56" w:rsidRPr="00EB2A56" w:rsidRDefault="00EB2A56" w:rsidP="00EB2A56">
      <w:pPr>
        <w:numPr>
          <w:ilvl w:val="0"/>
          <w:numId w:val="2"/>
        </w:numPr>
        <w:rPr>
          <w:rFonts w:ascii="Times New Roman" w:hAnsi="Times New Roman" w:cs="Times New Roman"/>
        </w:rPr>
      </w:pPr>
      <w:r w:rsidRPr="00EB2A56">
        <w:rPr>
          <w:rFonts w:ascii="Times New Roman" w:hAnsi="Times New Roman" w:cs="Times New Roman"/>
          <w:b/>
          <w:bCs/>
        </w:rPr>
        <w:t>Subgroup analyses.</w:t>
      </w:r>
    </w:p>
    <w:p w14:paraId="71A55B18" w14:textId="77777777" w:rsidR="00EB2A56" w:rsidRPr="00EB2A56" w:rsidRDefault="00EB2A56" w:rsidP="00EB2A56">
      <w:pPr>
        <w:numPr>
          <w:ilvl w:val="1"/>
          <w:numId w:val="2"/>
        </w:numPr>
        <w:rPr>
          <w:rFonts w:ascii="Times New Roman" w:hAnsi="Times New Roman" w:cs="Times New Roman"/>
        </w:rPr>
      </w:pPr>
      <w:r w:rsidRPr="00EB2A56">
        <w:rPr>
          <w:rFonts w:ascii="Times New Roman" w:hAnsi="Times New Roman" w:cs="Times New Roman"/>
          <w:b/>
          <w:bCs/>
        </w:rPr>
        <w:lastRenderedPageBreak/>
        <w:t>Taiwan:</w:t>
      </w:r>
      <w:r w:rsidRPr="00EB2A56">
        <w:rPr>
          <w:rFonts w:ascii="Times New Roman" w:hAnsi="Times New Roman" w:cs="Times New Roman"/>
        </w:rPr>
        <w:t xml:space="preserve"> We analyze subjective identity (Taiwanese-only vs. </w:t>
      </w:r>
      <w:proofErr w:type="gramStart"/>
      <w:r w:rsidRPr="00EB2A56">
        <w:rPr>
          <w:rFonts w:ascii="Times New Roman" w:hAnsi="Times New Roman" w:cs="Times New Roman"/>
        </w:rPr>
        <w:t>Taiwanese-Chinese</w:t>
      </w:r>
      <w:proofErr w:type="gramEnd"/>
      <w:r w:rsidRPr="00EB2A56">
        <w:rPr>
          <w:rFonts w:ascii="Times New Roman" w:hAnsi="Times New Roman" w:cs="Times New Roman"/>
        </w:rPr>
        <w:t>) and objective background (</w:t>
      </w:r>
      <w:proofErr w:type="spellStart"/>
      <w:r w:rsidRPr="00EB2A56">
        <w:rPr>
          <w:rFonts w:ascii="Times New Roman" w:hAnsi="Times New Roman" w:cs="Times New Roman"/>
          <w:i/>
          <w:iCs/>
        </w:rPr>
        <w:t>Benshengren</w:t>
      </w:r>
      <w:proofErr w:type="spellEnd"/>
      <w:r w:rsidRPr="00EB2A56">
        <w:rPr>
          <w:rFonts w:ascii="Times New Roman" w:hAnsi="Times New Roman" w:cs="Times New Roman"/>
        </w:rPr>
        <w:t xml:space="preserve"> vs. </w:t>
      </w:r>
      <w:proofErr w:type="spellStart"/>
      <w:r w:rsidRPr="00EB2A56">
        <w:rPr>
          <w:rFonts w:ascii="Times New Roman" w:hAnsi="Times New Roman" w:cs="Times New Roman"/>
          <w:i/>
          <w:iCs/>
        </w:rPr>
        <w:t>Waishengren</w:t>
      </w:r>
      <w:proofErr w:type="spellEnd"/>
      <w:r w:rsidRPr="00EB2A56">
        <w:rPr>
          <w:rFonts w:ascii="Times New Roman" w:hAnsi="Times New Roman" w:cs="Times New Roman"/>
        </w:rPr>
        <w:t>). We summarize these alongside the all-respondents and strong/weak-identifier splits in Table 1 and dedicated figures.</w:t>
      </w:r>
    </w:p>
    <w:p w14:paraId="6FA48C58" w14:textId="2246BBEF" w:rsidR="00EB2A56" w:rsidRPr="00EB2A56" w:rsidRDefault="00EB2A56" w:rsidP="00EB2A56">
      <w:pPr>
        <w:numPr>
          <w:ilvl w:val="1"/>
          <w:numId w:val="2"/>
        </w:numPr>
        <w:rPr>
          <w:rFonts w:ascii="Times New Roman" w:hAnsi="Times New Roman" w:cs="Times New Roman"/>
        </w:rPr>
      </w:pPr>
      <w:r w:rsidRPr="00EB2A56">
        <w:rPr>
          <w:rFonts w:ascii="Times New Roman" w:hAnsi="Times New Roman" w:cs="Times New Roman"/>
          <w:b/>
          <w:bCs/>
        </w:rPr>
        <w:t>South Korea:</w:t>
      </w:r>
      <w:r w:rsidRPr="00EB2A56">
        <w:rPr>
          <w:rFonts w:ascii="Times New Roman" w:hAnsi="Times New Roman" w:cs="Times New Roman"/>
        </w:rPr>
        <w:t xml:space="preserve"> We compare natives (by identity strength) with North Korean-origin migrants, and we include auxiliary items on NSA and unification to show where enforcement is salient</w:t>
      </w:r>
      <w:r>
        <w:rPr>
          <w:rFonts w:ascii="Times New Roman" w:hAnsi="Times New Roman" w:cs="Times New Roman"/>
        </w:rPr>
        <w:t xml:space="preserve"> (see Table 1 and SI)</w:t>
      </w:r>
      <w:r w:rsidRPr="00EB2A56">
        <w:rPr>
          <w:rFonts w:ascii="Times New Roman" w:hAnsi="Times New Roman" w:cs="Times New Roman"/>
        </w:rPr>
        <w:t>.</w:t>
      </w:r>
      <w:r>
        <w:rPr>
          <w:rFonts w:ascii="Times New Roman" w:hAnsi="Times New Roman" w:cs="Times New Roman"/>
        </w:rPr>
        <w:t xml:space="preserve"> This isn’t new, but its presentation is hopefully clearer.</w:t>
      </w:r>
    </w:p>
    <w:p w14:paraId="16A90A13" w14:textId="77777777" w:rsidR="00EB2A56" w:rsidRPr="00EB2A56" w:rsidRDefault="00EB2A56" w:rsidP="00EB2A56">
      <w:pPr>
        <w:numPr>
          <w:ilvl w:val="0"/>
          <w:numId w:val="2"/>
        </w:numPr>
        <w:rPr>
          <w:rFonts w:ascii="Times New Roman" w:hAnsi="Times New Roman" w:cs="Times New Roman"/>
        </w:rPr>
      </w:pPr>
      <w:r w:rsidRPr="00EB2A56">
        <w:rPr>
          <w:rFonts w:ascii="Times New Roman" w:hAnsi="Times New Roman" w:cs="Times New Roman"/>
          <w:b/>
          <w:bCs/>
        </w:rPr>
        <w:t>New Residents (Taiwan).</w:t>
      </w:r>
      <w:r w:rsidRPr="00EB2A56">
        <w:rPr>
          <w:rFonts w:ascii="Times New Roman" w:hAnsi="Times New Roman" w:cs="Times New Roman"/>
        </w:rPr>
        <w:t xml:space="preserve"> We </w:t>
      </w:r>
      <w:proofErr w:type="gramStart"/>
      <w:r w:rsidRPr="00EB2A56">
        <w:rPr>
          <w:rFonts w:ascii="Times New Roman" w:hAnsi="Times New Roman" w:cs="Times New Roman"/>
        </w:rPr>
        <w:t>add</w:t>
      </w:r>
      <w:proofErr w:type="gramEnd"/>
      <w:r w:rsidRPr="00EB2A56">
        <w:rPr>
          <w:rFonts w:ascii="Times New Roman" w:hAnsi="Times New Roman" w:cs="Times New Roman"/>
        </w:rPr>
        <w:t xml:space="preserve"> a data note explaining population shares and why the small number of foreign-born respondents in our panel (≈1%) precludes reliable within-group list-experiment estimation. This clarifies why the Taiwan side cannot mirror the North Korean migrant setup in South Korea.</w:t>
      </w:r>
    </w:p>
    <w:p w14:paraId="6DF4495A" w14:textId="77777777" w:rsidR="00EB2A56" w:rsidRPr="00EB2A56" w:rsidRDefault="00EB2A56" w:rsidP="00EB2A56">
      <w:pPr>
        <w:rPr>
          <w:rFonts w:ascii="Times New Roman" w:hAnsi="Times New Roman" w:cs="Times New Roman"/>
        </w:rPr>
      </w:pPr>
      <w:r w:rsidRPr="00EB2A56">
        <w:rPr>
          <w:rFonts w:ascii="Times New Roman" w:hAnsi="Times New Roman" w:cs="Times New Roman"/>
        </w:rPr>
        <w:t>Below, we provide a detailed, comment-by-comment response. We believe these changes resolve the reviewers’ concerns and improve the paper’s clarity and contribution.</w:t>
      </w:r>
    </w:p>
    <w:p w14:paraId="4FAEE25A" w14:textId="77777777" w:rsidR="00EB2A56" w:rsidRPr="00EB2A56" w:rsidRDefault="00EB2A56" w:rsidP="00EB2A56">
      <w:pPr>
        <w:rPr>
          <w:rFonts w:ascii="Times New Roman" w:hAnsi="Times New Roman" w:cs="Times New Roman"/>
        </w:rPr>
      </w:pPr>
      <w:r w:rsidRPr="00EB2A56">
        <w:rPr>
          <w:rFonts w:ascii="Times New Roman" w:hAnsi="Times New Roman" w:cs="Times New Roman"/>
        </w:rPr>
        <w:t>Sincerely,</w:t>
      </w:r>
      <w:r w:rsidRPr="00EB2A56">
        <w:rPr>
          <w:rFonts w:ascii="Times New Roman" w:hAnsi="Times New Roman" w:cs="Times New Roman"/>
        </w:rPr>
        <w:br/>
        <w:t>The Authors</w:t>
      </w:r>
    </w:p>
    <w:p w14:paraId="032E7CD4" w14:textId="6A97E0FC" w:rsidR="00EB2A56" w:rsidRPr="00EB2A56" w:rsidRDefault="00EB2A56" w:rsidP="00EB2A56">
      <w:pPr>
        <w:rPr>
          <w:rFonts w:ascii="Times New Roman" w:hAnsi="Times New Roman" w:cs="Times New Roman"/>
        </w:rPr>
      </w:pPr>
    </w:p>
    <w:p w14:paraId="2977743C" w14:textId="77777777" w:rsidR="00EB2A56" w:rsidRPr="00EB2A56" w:rsidRDefault="00EB2A56" w:rsidP="00EB2A56">
      <w:pPr>
        <w:rPr>
          <w:rFonts w:ascii="Times New Roman" w:hAnsi="Times New Roman" w:cs="Times New Roman"/>
          <w:b/>
          <w:bCs/>
        </w:rPr>
      </w:pPr>
      <w:r w:rsidRPr="00EB2A56">
        <w:rPr>
          <w:rFonts w:ascii="Times New Roman" w:hAnsi="Times New Roman" w:cs="Times New Roman"/>
          <w:b/>
          <w:bCs/>
        </w:rPr>
        <w:t>Detailed point-by-point responses</w:t>
      </w:r>
    </w:p>
    <w:p w14:paraId="66B2E382" w14:textId="77777777" w:rsidR="00EB2A56" w:rsidRPr="00EB2A56" w:rsidRDefault="00EB2A56" w:rsidP="00EB2A56">
      <w:pPr>
        <w:rPr>
          <w:rFonts w:ascii="Times New Roman" w:hAnsi="Times New Roman" w:cs="Times New Roman"/>
          <w:b/>
          <w:bCs/>
          <w:u w:val="single"/>
        </w:rPr>
      </w:pPr>
      <w:r w:rsidRPr="00EB2A56">
        <w:rPr>
          <w:rFonts w:ascii="Times New Roman" w:hAnsi="Times New Roman" w:cs="Times New Roman"/>
          <w:b/>
          <w:bCs/>
          <w:u w:val="single"/>
        </w:rPr>
        <w:t>Editor’s note (Associate Editor)</w:t>
      </w:r>
    </w:p>
    <w:p w14:paraId="77CEEE88" w14:textId="77777777" w:rsidR="00EB2A56" w:rsidRPr="00EB2A56" w:rsidRDefault="00EB2A56" w:rsidP="00EB2A56">
      <w:pPr>
        <w:rPr>
          <w:rFonts w:ascii="Times New Roman" w:hAnsi="Times New Roman" w:cs="Times New Roman"/>
        </w:rPr>
      </w:pPr>
      <w:r w:rsidRPr="00EB2A56">
        <w:rPr>
          <w:rFonts w:ascii="Times New Roman" w:hAnsi="Times New Roman" w:cs="Times New Roman"/>
          <w:i/>
          <w:iCs/>
        </w:rPr>
        <w:t xml:space="preserve">“When considering R1’s feedback … one of three options: (1) identify whether Taiwanese respondents reveal their ethnic identity (‘New Residents’); OR (2) split the </w:t>
      </w:r>
      <w:proofErr w:type="spellStart"/>
      <w:r w:rsidRPr="00EB2A56">
        <w:rPr>
          <w:rFonts w:ascii="Times New Roman" w:hAnsi="Times New Roman" w:cs="Times New Roman"/>
          <w:i/>
          <w:iCs/>
        </w:rPr>
        <w:t>Bengshen</w:t>
      </w:r>
      <w:proofErr w:type="spellEnd"/>
      <w:r w:rsidRPr="00EB2A56">
        <w:rPr>
          <w:rFonts w:ascii="Times New Roman" w:hAnsi="Times New Roman" w:cs="Times New Roman"/>
          <w:i/>
          <w:iCs/>
        </w:rPr>
        <w:t xml:space="preserve"> from the </w:t>
      </w:r>
      <w:proofErr w:type="spellStart"/>
      <w:r w:rsidRPr="00EB2A56">
        <w:rPr>
          <w:rFonts w:ascii="Times New Roman" w:hAnsi="Times New Roman" w:cs="Times New Roman"/>
          <w:i/>
          <w:iCs/>
        </w:rPr>
        <w:t>Waisheng</w:t>
      </w:r>
      <w:proofErr w:type="spellEnd"/>
      <w:r w:rsidRPr="00EB2A56">
        <w:rPr>
          <w:rFonts w:ascii="Times New Roman" w:hAnsi="Times New Roman" w:cs="Times New Roman"/>
          <w:i/>
          <w:iCs/>
        </w:rPr>
        <w:t xml:space="preserve"> … OR (3) if the data just isn’t there, add more theoretical discussion …”</w:t>
      </w:r>
    </w:p>
    <w:p w14:paraId="58A1BE5B"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We implemented (2) by adding a </w:t>
      </w:r>
      <w:proofErr w:type="spellStart"/>
      <w:r w:rsidRPr="00EB2A56">
        <w:rPr>
          <w:rFonts w:ascii="Times New Roman" w:hAnsi="Times New Roman" w:cs="Times New Roman"/>
        </w:rPr>
        <w:t>Benshengren</w:t>
      </w:r>
      <w:proofErr w:type="spellEnd"/>
      <w:r w:rsidRPr="00EB2A56">
        <w:rPr>
          <w:rFonts w:ascii="Times New Roman" w:hAnsi="Times New Roman" w:cs="Times New Roman"/>
        </w:rPr>
        <w:t xml:space="preserve"> vs. </w:t>
      </w:r>
      <w:proofErr w:type="spellStart"/>
      <w:r w:rsidRPr="00EB2A56">
        <w:rPr>
          <w:rFonts w:ascii="Times New Roman" w:hAnsi="Times New Roman" w:cs="Times New Roman"/>
        </w:rPr>
        <w:t>Waishengren</w:t>
      </w:r>
      <w:proofErr w:type="spellEnd"/>
      <w:r w:rsidRPr="00EB2A56">
        <w:rPr>
          <w:rFonts w:ascii="Times New Roman" w:hAnsi="Times New Roman" w:cs="Times New Roman"/>
        </w:rPr>
        <w:t xml:space="preserve"> analysis in the main text and Table 1; we specify coding based on paternal origin and show the distributions in SI Appendix D (Table D.2). We also strengthened theory per (3): we added explicit hypotheses derived from our MSSD logic and </w:t>
      </w:r>
      <w:proofErr w:type="gramStart"/>
      <w:r w:rsidRPr="00EB2A56">
        <w:rPr>
          <w:rFonts w:ascii="Times New Roman" w:hAnsi="Times New Roman" w:cs="Times New Roman"/>
        </w:rPr>
        <w:t>tie</w:t>
      </w:r>
      <w:proofErr w:type="gramEnd"/>
      <w:r w:rsidRPr="00EB2A56">
        <w:rPr>
          <w:rFonts w:ascii="Times New Roman" w:hAnsi="Times New Roman" w:cs="Times New Roman"/>
        </w:rPr>
        <w:t xml:space="preserve"> each empirical section back to them. Finally, we explain limits related to (1) in a data note on “New Residents” and why separate list-experiment estimation is not feasible given sample size.</w:t>
      </w:r>
    </w:p>
    <w:p w14:paraId="50109913" w14:textId="12EC44A9" w:rsidR="00EB2A56" w:rsidRPr="00EB2A56" w:rsidRDefault="00EB2A56" w:rsidP="00EB2A56">
      <w:pPr>
        <w:rPr>
          <w:rFonts w:ascii="Times New Roman" w:hAnsi="Times New Roman" w:cs="Times New Roman"/>
        </w:rPr>
      </w:pPr>
    </w:p>
    <w:p w14:paraId="27CD5CF3" w14:textId="77777777" w:rsidR="00EB2A56" w:rsidRPr="00EB2A56" w:rsidRDefault="00EB2A56" w:rsidP="00EB2A56">
      <w:pPr>
        <w:rPr>
          <w:rFonts w:ascii="Times New Roman" w:hAnsi="Times New Roman" w:cs="Times New Roman"/>
          <w:b/>
          <w:bCs/>
          <w:u w:val="single"/>
        </w:rPr>
      </w:pPr>
      <w:r w:rsidRPr="00EB2A56">
        <w:rPr>
          <w:rFonts w:ascii="Times New Roman" w:hAnsi="Times New Roman" w:cs="Times New Roman"/>
          <w:b/>
          <w:bCs/>
          <w:u w:val="single"/>
        </w:rPr>
        <w:t>Reviewer 1</w:t>
      </w:r>
    </w:p>
    <w:p w14:paraId="0C739119"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R1.1 — Case scope &amp; “New Residents” in Taiwan.</w:t>
      </w:r>
      <w:r w:rsidRPr="00EB2A56">
        <w:rPr>
          <w:rFonts w:ascii="Times New Roman" w:hAnsi="Times New Roman" w:cs="Times New Roman"/>
        </w:rPr>
        <w:br/>
      </w:r>
      <w:r w:rsidRPr="00EB2A56">
        <w:rPr>
          <w:rFonts w:ascii="Times New Roman" w:hAnsi="Times New Roman" w:cs="Times New Roman"/>
          <w:i/>
          <w:iCs/>
        </w:rPr>
        <w:t xml:space="preserve">“The focus on Taiwanese vs. Chinese </w:t>
      </w:r>
      <w:proofErr w:type="gramStart"/>
      <w:r w:rsidRPr="00EB2A56">
        <w:rPr>
          <w:rFonts w:ascii="Times New Roman" w:hAnsi="Times New Roman" w:cs="Times New Roman"/>
          <w:i/>
          <w:iCs/>
        </w:rPr>
        <w:t>misses</w:t>
      </w:r>
      <w:proofErr w:type="gramEnd"/>
      <w:r w:rsidRPr="00EB2A56">
        <w:rPr>
          <w:rFonts w:ascii="Times New Roman" w:hAnsi="Times New Roman" w:cs="Times New Roman"/>
          <w:i/>
          <w:iCs/>
        </w:rPr>
        <w:t xml:space="preserve"> politics surrounding ‘New Residents’ … Wouldn’t Mainland Chinese new residents parallel NK migrants? Smaller effects in Taiwan may simply reflect demographic diversity.”</w:t>
      </w:r>
    </w:p>
    <w:p w14:paraId="4892361C"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lastRenderedPageBreak/>
        <w:t>Response.</w:t>
      </w:r>
      <w:r w:rsidRPr="00EB2A56">
        <w:rPr>
          <w:rFonts w:ascii="Times New Roman" w:hAnsi="Times New Roman" w:cs="Times New Roman"/>
        </w:rPr>
        <w:t xml:space="preserve"> We added a dedicated data note: foreign residents are ≈4% of Taiwan’s population in late 2024, but only about 1% in our sample, which precludes reliable list-experiment estimation for that group. Accordingly, the Taiwan design centers on natives and subgroups that are well-measured—subjective identity (Taiwanese-only vs. </w:t>
      </w:r>
      <w:proofErr w:type="gramStart"/>
      <w:r w:rsidRPr="00EB2A56">
        <w:rPr>
          <w:rFonts w:ascii="Times New Roman" w:hAnsi="Times New Roman" w:cs="Times New Roman"/>
        </w:rPr>
        <w:t>Taiwanese-Chinese</w:t>
      </w:r>
      <w:proofErr w:type="gramEnd"/>
      <w:r w:rsidRPr="00EB2A56">
        <w:rPr>
          <w:rFonts w:ascii="Times New Roman" w:hAnsi="Times New Roman" w:cs="Times New Roman"/>
        </w:rPr>
        <w:t>) and objective background (Ben/Wai)—which align with longstanding social cleavages and our theoretical channels.</w:t>
      </w:r>
    </w:p>
    <w:p w14:paraId="2C32BBB2"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R1.2 — Add Ben/Wai subgroup analysis.</w:t>
      </w:r>
      <w:r w:rsidRPr="00EB2A56">
        <w:rPr>
          <w:rFonts w:ascii="Times New Roman" w:hAnsi="Times New Roman" w:cs="Times New Roman"/>
        </w:rPr>
        <w:br/>
      </w:r>
      <w:r w:rsidRPr="00EB2A56">
        <w:rPr>
          <w:rFonts w:ascii="Times New Roman" w:hAnsi="Times New Roman" w:cs="Times New Roman"/>
          <w:i/>
          <w:iCs/>
        </w:rPr>
        <w:t xml:space="preserve">“Split </w:t>
      </w:r>
      <w:proofErr w:type="spellStart"/>
      <w:r w:rsidRPr="00EB2A56">
        <w:rPr>
          <w:rFonts w:ascii="Times New Roman" w:hAnsi="Times New Roman" w:cs="Times New Roman"/>
          <w:i/>
          <w:iCs/>
        </w:rPr>
        <w:t>Benshengren</w:t>
      </w:r>
      <w:proofErr w:type="spellEnd"/>
      <w:r w:rsidRPr="00EB2A56">
        <w:rPr>
          <w:rFonts w:ascii="Times New Roman" w:hAnsi="Times New Roman" w:cs="Times New Roman"/>
          <w:i/>
          <w:iCs/>
        </w:rPr>
        <w:t xml:space="preserve"> from </w:t>
      </w:r>
      <w:proofErr w:type="spellStart"/>
      <w:r w:rsidRPr="00EB2A56">
        <w:rPr>
          <w:rFonts w:ascii="Times New Roman" w:hAnsi="Times New Roman" w:cs="Times New Roman"/>
          <w:i/>
          <w:iCs/>
        </w:rPr>
        <w:t>Waishengren</w:t>
      </w:r>
      <w:proofErr w:type="spellEnd"/>
      <w:r w:rsidRPr="00EB2A56">
        <w:rPr>
          <w:rFonts w:ascii="Times New Roman" w:hAnsi="Times New Roman" w:cs="Times New Roman"/>
          <w:i/>
          <w:iCs/>
        </w:rPr>
        <w:t xml:space="preserve"> and do a subgroup analysis.”</w:t>
      </w:r>
    </w:p>
    <w:p w14:paraId="3157683E"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Done. We code </w:t>
      </w:r>
      <w:proofErr w:type="spellStart"/>
      <w:r w:rsidRPr="00EB2A56">
        <w:rPr>
          <w:rFonts w:ascii="Times New Roman" w:hAnsi="Times New Roman" w:cs="Times New Roman"/>
          <w:i/>
          <w:iCs/>
        </w:rPr>
        <w:t>Benshengren</w:t>
      </w:r>
      <w:proofErr w:type="spellEnd"/>
      <w:r w:rsidRPr="00EB2A56">
        <w:rPr>
          <w:rFonts w:ascii="Times New Roman" w:hAnsi="Times New Roman" w:cs="Times New Roman"/>
        </w:rPr>
        <w:t xml:space="preserve"> (</w:t>
      </w:r>
      <w:proofErr w:type="spellStart"/>
      <w:r w:rsidRPr="00EB2A56">
        <w:rPr>
          <w:rFonts w:ascii="Times New Roman" w:hAnsi="Times New Roman" w:cs="Times New Roman"/>
        </w:rPr>
        <w:t>Hokkien</w:t>
      </w:r>
      <w:proofErr w:type="spellEnd"/>
      <w:r w:rsidRPr="00EB2A56">
        <w:rPr>
          <w:rFonts w:ascii="Times New Roman" w:hAnsi="Times New Roman" w:cs="Times New Roman"/>
        </w:rPr>
        <w:t xml:space="preserve">/Hakka paternal origin) vs. </w:t>
      </w:r>
      <w:proofErr w:type="spellStart"/>
      <w:r w:rsidRPr="00EB2A56">
        <w:rPr>
          <w:rFonts w:ascii="Times New Roman" w:hAnsi="Times New Roman" w:cs="Times New Roman"/>
          <w:i/>
          <w:iCs/>
        </w:rPr>
        <w:t>Waishengren</w:t>
      </w:r>
      <w:proofErr w:type="spellEnd"/>
      <w:r w:rsidRPr="00EB2A56">
        <w:rPr>
          <w:rFonts w:ascii="Times New Roman" w:hAnsi="Times New Roman" w:cs="Times New Roman"/>
        </w:rPr>
        <w:t xml:space="preserve"> (Mainlander paternal origin), show sample distributions (SI Table D.2), and report the pride-inflation gaps for each group in Findings (with a corresponding figure and Table 1). Interestingly, we find a sizable gap for </w:t>
      </w:r>
      <w:proofErr w:type="spellStart"/>
      <w:r w:rsidRPr="00EB2A56">
        <w:rPr>
          <w:rFonts w:ascii="Times New Roman" w:hAnsi="Times New Roman" w:cs="Times New Roman"/>
          <w:i/>
          <w:iCs/>
        </w:rPr>
        <w:t>Benshengren</w:t>
      </w:r>
      <w:proofErr w:type="spellEnd"/>
      <w:r w:rsidRPr="00EB2A56">
        <w:rPr>
          <w:rFonts w:ascii="Times New Roman" w:hAnsi="Times New Roman" w:cs="Times New Roman"/>
        </w:rPr>
        <w:t xml:space="preserve"> and a smaller, non-significant gap for </w:t>
      </w:r>
      <w:proofErr w:type="spellStart"/>
      <w:r w:rsidRPr="00EB2A56">
        <w:rPr>
          <w:rFonts w:ascii="Times New Roman" w:hAnsi="Times New Roman" w:cs="Times New Roman"/>
          <w:i/>
          <w:iCs/>
        </w:rPr>
        <w:t>Waishengren</w:t>
      </w:r>
      <w:proofErr w:type="spellEnd"/>
      <w:r w:rsidRPr="00EB2A56">
        <w:rPr>
          <w:rFonts w:ascii="Times New Roman" w:hAnsi="Times New Roman" w:cs="Times New Roman"/>
        </w:rPr>
        <w:t>, which we interpret as selective enforcement and/or cognitive-dissonance dynamics among modal-origin respondents in Taiwan’s relatively pluralistic regime.</w:t>
      </w:r>
    </w:p>
    <w:p w14:paraId="0146DE6E"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R1.3 — If “New Residents” cannot be analyzed, strengthen theory before design.</w:t>
      </w:r>
      <w:r w:rsidRPr="00EB2A56">
        <w:rPr>
          <w:rFonts w:ascii="Times New Roman" w:hAnsi="Times New Roman" w:cs="Times New Roman"/>
        </w:rPr>
        <w:br/>
      </w:r>
      <w:r w:rsidRPr="00EB2A56">
        <w:rPr>
          <w:rFonts w:ascii="Times New Roman" w:hAnsi="Times New Roman" w:cs="Times New Roman"/>
          <w:i/>
          <w:iCs/>
        </w:rPr>
        <w:t>“If the data isn’t there, add more theoretical discussion before jumping into the list experiment.”</w:t>
      </w:r>
    </w:p>
    <w:p w14:paraId="16CFD584"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We expanded the theoretical section to articulate how identity norms operate through two channels—subjective identity strength and objective/ascribed background—under democratic conditions in divided societies. We then state explicit hypotheses and link each empirical subsection back to them.</w:t>
      </w:r>
    </w:p>
    <w:p w14:paraId="3E3EDB3B" w14:textId="50B660D0" w:rsidR="00EB2A56" w:rsidRPr="00EB2A56" w:rsidRDefault="00EB2A56" w:rsidP="00EB2A56">
      <w:pPr>
        <w:rPr>
          <w:rFonts w:ascii="Times New Roman" w:hAnsi="Times New Roman" w:cs="Times New Roman"/>
        </w:rPr>
      </w:pPr>
    </w:p>
    <w:p w14:paraId="0C6D4735" w14:textId="77777777" w:rsidR="00EB2A56" w:rsidRPr="00EB2A56" w:rsidRDefault="00EB2A56" w:rsidP="00EB2A56">
      <w:pPr>
        <w:rPr>
          <w:rFonts w:ascii="Times New Roman" w:hAnsi="Times New Roman" w:cs="Times New Roman"/>
          <w:b/>
          <w:bCs/>
          <w:u w:val="single"/>
        </w:rPr>
      </w:pPr>
      <w:r w:rsidRPr="00EB2A56">
        <w:rPr>
          <w:rFonts w:ascii="Times New Roman" w:hAnsi="Times New Roman" w:cs="Times New Roman"/>
          <w:b/>
          <w:bCs/>
          <w:u w:val="single"/>
        </w:rPr>
        <w:t>Reviewer 2</w:t>
      </w:r>
    </w:p>
    <w:p w14:paraId="5751731A"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R2.1 — Ethnicity / background question in Taiwan &amp; subgroup construction.</w:t>
      </w:r>
      <w:r w:rsidRPr="00EB2A56">
        <w:rPr>
          <w:rFonts w:ascii="Times New Roman" w:hAnsi="Times New Roman" w:cs="Times New Roman"/>
        </w:rPr>
        <w:br/>
      </w:r>
      <w:r w:rsidRPr="00EB2A56">
        <w:rPr>
          <w:rFonts w:ascii="Times New Roman" w:hAnsi="Times New Roman" w:cs="Times New Roman"/>
          <w:i/>
          <w:iCs/>
        </w:rPr>
        <w:t xml:space="preserve">“The questionnaire appears not to ask about ethnicity … In TNSS style, a father-origin item helps distinguish </w:t>
      </w:r>
      <w:proofErr w:type="spellStart"/>
      <w:r w:rsidRPr="00EB2A56">
        <w:rPr>
          <w:rFonts w:ascii="Times New Roman" w:hAnsi="Times New Roman" w:cs="Times New Roman"/>
          <w:i/>
          <w:iCs/>
        </w:rPr>
        <w:t>Benshengren</w:t>
      </w:r>
      <w:proofErr w:type="spellEnd"/>
      <w:r w:rsidRPr="00EB2A56">
        <w:rPr>
          <w:rFonts w:ascii="Times New Roman" w:hAnsi="Times New Roman" w:cs="Times New Roman"/>
          <w:i/>
          <w:iCs/>
        </w:rPr>
        <w:t>/</w:t>
      </w:r>
      <w:proofErr w:type="spellStart"/>
      <w:r w:rsidRPr="00EB2A56">
        <w:rPr>
          <w:rFonts w:ascii="Times New Roman" w:hAnsi="Times New Roman" w:cs="Times New Roman"/>
          <w:i/>
          <w:iCs/>
        </w:rPr>
        <w:t>Waishengren</w:t>
      </w:r>
      <w:proofErr w:type="spellEnd"/>
      <w:r w:rsidRPr="00EB2A56">
        <w:rPr>
          <w:rFonts w:ascii="Times New Roman" w:hAnsi="Times New Roman" w:cs="Times New Roman"/>
          <w:i/>
          <w:iCs/>
        </w:rPr>
        <w:t>/Indigenous/New Resident.”</w:t>
      </w:r>
    </w:p>
    <w:p w14:paraId="6AB984C9"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Our instrument does include paternal origin. We now spell out the exact wording and full response set in SI Appendix B (Background &amp; Taiwan sections), and we use this to construct </w:t>
      </w:r>
      <w:proofErr w:type="spellStart"/>
      <w:r w:rsidRPr="00EB2A56">
        <w:rPr>
          <w:rFonts w:ascii="Times New Roman" w:hAnsi="Times New Roman" w:cs="Times New Roman"/>
          <w:i/>
          <w:iCs/>
        </w:rPr>
        <w:t>Benshengren</w:t>
      </w:r>
      <w:proofErr w:type="spellEnd"/>
      <w:r w:rsidRPr="00EB2A56">
        <w:rPr>
          <w:rFonts w:ascii="Times New Roman" w:hAnsi="Times New Roman" w:cs="Times New Roman"/>
        </w:rPr>
        <w:t xml:space="preserve"> vs. </w:t>
      </w:r>
      <w:proofErr w:type="spellStart"/>
      <w:r w:rsidRPr="00EB2A56">
        <w:rPr>
          <w:rFonts w:ascii="Times New Roman" w:hAnsi="Times New Roman" w:cs="Times New Roman"/>
          <w:i/>
          <w:iCs/>
        </w:rPr>
        <w:t>Waishengren</w:t>
      </w:r>
      <w:proofErr w:type="spellEnd"/>
      <w:r w:rsidRPr="00EB2A56">
        <w:rPr>
          <w:rFonts w:ascii="Times New Roman" w:hAnsi="Times New Roman" w:cs="Times New Roman"/>
        </w:rPr>
        <w:t>. Distributions appear in SI Appendix D (Tables D.1–D.2), and results are reported in Findings with Table 1.</w:t>
      </w:r>
    </w:p>
    <w:p w14:paraId="6A27F2C7"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R2.2 — Tie the MSSD logic to results; add clear hypotheses and a summary table.</w:t>
      </w:r>
      <w:r w:rsidRPr="00EB2A56">
        <w:rPr>
          <w:rFonts w:ascii="Times New Roman" w:hAnsi="Times New Roman" w:cs="Times New Roman"/>
        </w:rPr>
        <w:br/>
      </w:r>
      <w:r w:rsidRPr="00EB2A56">
        <w:rPr>
          <w:rFonts w:ascii="Times New Roman" w:hAnsi="Times New Roman" w:cs="Times New Roman"/>
          <w:i/>
          <w:iCs/>
        </w:rPr>
        <w:t>“Formulate a few clear hypotheses and use available data to test them; a table would help.”</w:t>
      </w:r>
    </w:p>
    <w:p w14:paraId="19999B61"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We added a Hypotheses section (within-case subjective strength; cross-case magnitude; case-specific implications for Taiwan and South Korea), and we evaluate them directly. We also added a consolidated Table 1 that lists direct vs. list estimates and gaps (pp) for each subgroup (with significance).</w:t>
      </w:r>
    </w:p>
    <w:p w14:paraId="34EA9EF9"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lastRenderedPageBreak/>
        <w:t>R2.3 — Clarify exactly what was asked in the direct questions and where it sits in the procedure.</w:t>
      </w:r>
      <w:r w:rsidRPr="00EB2A56">
        <w:rPr>
          <w:rFonts w:ascii="Times New Roman" w:hAnsi="Times New Roman" w:cs="Times New Roman"/>
        </w:rPr>
        <w:br/>
      </w:r>
      <w:r w:rsidRPr="00EB2A56">
        <w:rPr>
          <w:rFonts w:ascii="Times New Roman" w:hAnsi="Times New Roman" w:cs="Times New Roman"/>
          <w:i/>
          <w:iCs/>
        </w:rPr>
        <w:t>“Main text mentions ‘proud to be Taiwanese/Chinese’; SI mentions 0–10 ‘consider yourself’ scale. Which is which? Direct questions appear under the list-experiment section in the appendix—please clarify.”</w:t>
      </w:r>
    </w:p>
    <w:p w14:paraId="27E17BEB"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We modified the manuscript and SI text to more clearly distinguish the identity-strength scales (0–10 “consider yourself …”) from the direct pride items (“I feel proud to be Taiwanese/Chinese”; agreement response). We also clarify ordering: all list-experiment blocks preceded any direct pride items (to minimize priming/demand); this was confusingly communicated in the original manuscript. SI Appendix B presents the verbatim text for each block and labels the direct vs. list items explicitly; Data &amp; Methods </w:t>
      </w:r>
      <w:proofErr w:type="gramStart"/>
      <w:r w:rsidRPr="00EB2A56">
        <w:rPr>
          <w:rFonts w:ascii="Times New Roman" w:hAnsi="Times New Roman" w:cs="Times New Roman"/>
        </w:rPr>
        <w:t>repeats</w:t>
      </w:r>
      <w:proofErr w:type="gramEnd"/>
      <w:r w:rsidRPr="00EB2A56">
        <w:rPr>
          <w:rFonts w:ascii="Times New Roman" w:hAnsi="Times New Roman" w:cs="Times New Roman"/>
        </w:rPr>
        <w:t xml:space="preserve"> the ordering and item types.</w:t>
      </w:r>
    </w:p>
    <w:p w14:paraId="105BA876"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R2.4 — Define ‘strong’ vs. ‘weak’ identity and the thresholds.</w:t>
      </w:r>
      <w:r w:rsidRPr="00EB2A56">
        <w:rPr>
          <w:rFonts w:ascii="Times New Roman" w:hAnsi="Times New Roman" w:cs="Times New Roman"/>
        </w:rPr>
        <w:br/>
      </w:r>
      <w:r w:rsidRPr="00EB2A56">
        <w:rPr>
          <w:rFonts w:ascii="Times New Roman" w:hAnsi="Times New Roman" w:cs="Times New Roman"/>
          <w:i/>
          <w:iCs/>
        </w:rPr>
        <w:t>“If the 75th percentile corresponds to 10 for Taiwanese identity, what’s the ‘weak’ side</w:t>
      </w:r>
      <w:proofErr w:type="gramStart"/>
      <w:r w:rsidRPr="00EB2A56">
        <w:rPr>
          <w:rFonts w:ascii="Times New Roman" w:hAnsi="Times New Roman" w:cs="Times New Roman"/>
          <w:i/>
          <w:iCs/>
        </w:rPr>
        <w:t>?</w:t>
      </w:r>
      <w:proofErr w:type="gramEnd"/>
      <w:r w:rsidRPr="00EB2A56">
        <w:rPr>
          <w:rFonts w:ascii="Times New Roman" w:hAnsi="Times New Roman" w:cs="Times New Roman"/>
          <w:i/>
          <w:iCs/>
        </w:rPr>
        <w:t xml:space="preserve"> And where is the Chinese-identity cutoff?”</w:t>
      </w:r>
    </w:p>
    <w:p w14:paraId="275A724A"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We report the full distributions and cutoffs in SI Appendix D. For Taiwan: Taiwanese identity is heavily right-skewed; we define “strong” = 10 (top-box) and “weak” = 0–9. For Chinese identity, we set the 75th percentile cutoff at 6 (strong = ≥6). These thresholds underpin our Taiwanese-only and </w:t>
      </w:r>
      <w:proofErr w:type="gramStart"/>
      <w:r w:rsidRPr="00EB2A56">
        <w:rPr>
          <w:rFonts w:ascii="Times New Roman" w:hAnsi="Times New Roman" w:cs="Times New Roman"/>
        </w:rPr>
        <w:t>Taiwanese-Chinese</w:t>
      </w:r>
      <w:proofErr w:type="gramEnd"/>
      <w:r w:rsidRPr="00EB2A56">
        <w:rPr>
          <w:rFonts w:ascii="Times New Roman" w:hAnsi="Times New Roman" w:cs="Times New Roman"/>
        </w:rPr>
        <w:t xml:space="preserve"> subgroup definitions used in the Findings. We reference these choices in Data &amp; Methods and SI Appendix D.</w:t>
      </w:r>
    </w:p>
    <w:p w14:paraId="53DF35EE"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R2.5 — Priming effects concern.</w:t>
      </w:r>
      <w:r w:rsidRPr="00EB2A56">
        <w:rPr>
          <w:rFonts w:ascii="Times New Roman" w:hAnsi="Times New Roman" w:cs="Times New Roman"/>
        </w:rPr>
        <w:br/>
      </w:r>
      <w:r w:rsidRPr="00EB2A56">
        <w:rPr>
          <w:rFonts w:ascii="Times New Roman" w:hAnsi="Times New Roman" w:cs="Times New Roman"/>
          <w:i/>
          <w:iCs/>
        </w:rPr>
        <w:t>“If identity questions come first, they may prime later responses.”</w:t>
      </w:r>
    </w:p>
    <w:p w14:paraId="3524DC61"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xml:space="preserve"> We minimize priming by presenting list-experiment blocks first, followed by direct pride questions. This is now emphasized in Data &amp; Methods and reflected in the SI.</w:t>
      </w:r>
    </w:p>
    <w:p w14:paraId="622744CF"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R2.6 — IRB and manipulation checks.</w:t>
      </w:r>
      <w:r w:rsidRPr="00EB2A56">
        <w:rPr>
          <w:rFonts w:ascii="Times New Roman" w:hAnsi="Times New Roman" w:cs="Times New Roman"/>
        </w:rPr>
        <w:br/>
      </w:r>
      <w:r w:rsidRPr="00EB2A56">
        <w:rPr>
          <w:rFonts w:ascii="Times New Roman" w:hAnsi="Times New Roman" w:cs="Times New Roman"/>
          <w:i/>
          <w:iCs/>
        </w:rPr>
        <w:t>“Was there IRB approval</w:t>
      </w:r>
      <w:proofErr w:type="gramStart"/>
      <w:r w:rsidRPr="00EB2A56">
        <w:rPr>
          <w:rFonts w:ascii="Times New Roman" w:hAnsi="Times New Roman" w:cs="Times New Roman"/>
          <w:i/>
          <w:iCs/>
        </w:rPr>
        <w:t>?</w:t>
      </w:r>
      <w:proofErr w:type="gramEnd"/>
      <w:r w:rsidRPr="00EB2A56">
        <w:rPr>
          <w:rFonts w:ascii="Times New Roman" w:hAnsi="Times New Roman" w:cs="Times New Roman"/>
          <w:i/>
          <w:iCs/>
        </w:rPr>
        <w:t xml:space="preserve"> Any manipulation checks?”</w:t>
      </w:r>
    </w:p>
    <w:p w14:paraId="1787B5A8"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Response.</w:t>
      </w:r>
      <w:r w:rsidRPr="00EB2A56">
        <w:rPr>
          <w:rFonts w:ascii="Times New Roman" w:hAnsi="Times New Roman" w:cs="Times New Roman"/>
        </w:rPr>
        <w:t> Yes. We added an Ethics Statement citing approvals from the university Ethics Committee in the manuscript. Regarding manipulation checks, standard balance tests for list experiments (treatment-control equivalence) are reported in SI Appendix C for each item. We also note the rationale from the list-experiment literature: because the sensitive item is embedded and meant to operate below conscious awareness, conventional post-treatment “did-you-notice” checks can introduce demand and are typically avoided; instead, balance and design checks are preferred (we follow that practice).</w:t>
      </w:r>
    </w:p>
    <w:p w14:paraId="4C50BC8E"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t>R2.7 — Additional Taiwan studies (Tseng et al., working paper; Lee &amp; Yu, 2023).</w:t>
      </w:r>
      <w:r w:rsidRPr="00EB2A56">
        <w:rPr>
          <w:rFonts w:ascii="Times New Roman" w:hAnsi="Times New Roman" w:cs="Times New Roman"/>
        </w:rPr>
        <w:br/>
      </w:r>
      <w:r w:rsidRPr="00EB2A56">
        <w:rPr>
          <w:rFonts w:ascii="Times New Roman" w:hAnsi="Times New Roman" w:cs="Times New Roman"/>
          <w:i/>
          <w:iCs/>
        </w:rPr>
        <w:t>“Please consider incorporating these.”</w:t>
      </w:r>
    </w:p>
    <w:p w14:paraId="505E7B36" w14:textId="77777777" w:rsidR="00EB2A56" w:rsidRPr="00EB2A56" w:rsidRDefault="00EB2A56" w:rsidP="00EB2A56">
      <w:pPr>
        <w:rPr>
          <w:rFonts w:ascii="Times New Roman" w:hAnsi="Times New Roman" w:cs="Times New Roman"/>
        </w:rPr>
      </w:pPr>
      <w:r w:rsidRPr="00EB2A56">
        <w:rPr>
          <w:rFonts w:ascii="Times New Roman" w:hAnsi="Times New Roman" w:cs="Times New Roman"/>
          <w:b/>
          <w:bCs/>
        </w:rPr>
        <w:lastRenderedPageBreak/>
        <w:t>Response.</w:t>
      </w:r>
      <w:r w:rsidRPr="00EB2A56">
        <w:rPr>
          <w:rFonts w:ascii="Times New Roman" w:hAnsi="Times New Roman" w:cs="Times New Roman"/>
        </w:rPr>
        <w:t xml:space="preserve"> We appreciate these recommendations and now situate our Taiwan findings in relation to recent Taiwanese list-experiment work when discussing social desirability and framing effects in that context. (We also retain discussion of Wu &amp; Lin 2024 as a close comparator.) See Discussion.</w:t>
      </w:r>
    </w:p>
    <w:p w14:paraId="0D451B77" w14:textId="77777777" w:rsidR="00EE190D" w:rsidRPr="00EB2A56" w:rsidRDefault="00EE190D">
      <w:pPr>
        <w:rPr>
          <w:rFonts w:ascii="Times New Roman" w:hAnsi="Times New Roman" w:cs="Times New Roman"/>
        </w:rPr>
      </w:pPr>
    </w:p>
    <w:sectPr w:rsidR="00EE190D" w:rsidRPr="00EB2A5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D50D8" w14:textId="77777777" w:rsidR="00CC6452" w:rsidRDefault="00CC6452" w:rsidP="00EB2A56">
      <w:pPr>
        <w:spacing w:after="0" w:line="240" w:lineRule="auto"/>
      </w:pPr>
      <w:r>
        <w:separator/>
      </w:r>
    </w:p>
  </w:endnote>
  <w:endnote w:type="continuationSeparator" w:id="0">
    <w:p w14:paraId="17614151" w14:textId="77777777" w:rsidR="00CC6452" w:rsidRDefault="00CC6452" w:rsidP="00EB2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19610905"/>
      <w:docPartObj>
        <w:docPartGallery w:val="Page Numbers (Bottom of Page)"/>
        <w:docPartUnique/>
      </w:docPartObj>
    </w:sdtPr>
    <w:sdtEndPr>
      <w:rPr>
        <w:noProof/>
      </w:rPr>
    </w:sdtEndPr>
    <w:sdtContent>
      <w:p w14:paraId="39C6028E" w14:textId="51703EC5" w:rsidR="00EB2A56" w:rsidRPr="00EB2A56" w:rsidRDefault="00EB2A56">
        <w:pPr>
          <w:pStyle w:val="Footer"/>
          <w:jc w:val="right"/>
          <w:rPr>
            <w:rFonts w:ascii="Times New Roman" w:hAnsi="Times New Roman" w:cs="Times New Roman"/>
          </w:rPr>
        </w:pPr>
        <w:r w:rsidRPr="00EB2A56">
          <w:rPr>
            <w:rFonts w:ascii="Times New Roman" w:hAnsi="Times New Roman" w:cs="Times New Roman"/>
          </w:rPr>
          <w:fldChar w:fldCharType="begin"/>
        </w:r>
        <w:r w:rsidRPr="00EB2A56">
          <w:rPr>
            <w:rFonts w:ascii="Times New Roman" w:hAnsi="Times New Roman" w:cs="Times New Roman"/>
          </w:rPr>
          <w:instrText xml:space="preserve"> PAGE   \* MERGEFORMAT </w:instrText>
        </w:r>
        <w:r w:rsidRPr="00EB2A56">
          <w:rPr>
            <w:rFonts w:ascii="Times New Roman" w:hAnsi="Times New Roman" w:cs="Times New Roman"/>
          </w:rPr>
          <w:fldChar w:fldCharType="separate"/>
        </w:r>
        <w:r w:rsidRPr="00EB2A56">
          <w:rPr>
            <w:rFonts w:ascii="Times New Roman" w:hAnsi="Times New Roman" w:cs="Times New Roman"/>
            <w:noProof/>
          </w:rPr>
          <w:t>2</w:t>
        </w:r>
        <w:r w:rsidRPr="00EB2A56">
          <w:rPr>
            <w:rFonts w:ascii="Times New Roman" w:hAnsi="Times New Roman" w:cs="Times New Roman"/>
            <w:noProof/>
          </w:rPr>
          <w:fldChar w:fldCharType="end"/>
        </w:r>
      </w:p>
    </w:sdtContent>
  </w:sdt>
  <w:p w14:paraId="03E858F5" w14:textId="77777777" w:rsidR="00EB2A56" w:rsidRPr="00EB2A56" w:rsidRDefault="00EB2A5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D95C6" w14:textId="77777777" w:rsidR="00CC6452" w:rsidRDefault="00CC6452" w:rsidP="00EB2A56">
      <w:pPr>
        <w:spacing w:after="0" w:line="240" w:lineRule="auto"/>
      </w:pPr>
      <w:r>
        <w:separator/>
      </w:r>
    </w:p>
  </w:footnote>
  <w:footnote w:type="continuationSeparator" w:id="0">
    <w:p w14:paraId="6382834D" w14:textId="77777777" w:rsidR="00CC6452" w:rsidRDefault="00CC6452" w:rsidP="00EB2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9684C"/>
    <w:multiLevelType w:val="multilevel"/>
    <w:tmpl w:val="E2BCE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55003B"/>
    <w:multiLevelType w:val="multilevel"/>
    <w:tmpl w:val="2AC8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750976">
    <w:abstractNumId w:val="1"/>
  </w:num>
  <w:num w:numId="2" w16cid:durableId="143439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B1"/>
    <w:rsid w:val="00011793"/>
    <w:rsid w:val="00356E05"/>
    <w:rsid w:val="003D6009"/>
    <w:rsid w:val="0045429A"/>
    <w:rsid w:val="004A29B1"/>
    <w:rsid w:val="004C0DD4"/>
    <w:rsid w:val="00541E53"/>
    <w:rsid w:val="005F688E"/>
    <w:rsid w:val="007A253E"/>
    <w:rsid w:val="00C51496"/>
    <w:rsid w:val="00CC6452"/>
    <w:rsid w:val="00EB2A56"/>
    <w:rsid w:val="00EE190D"/>
    <w:rsid w:val="00F11FDD"/>
    <w:rsid w:val="00F33D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7C9FD9"/>
  <w15:chartTrackingRefBased/>
  <w15:docId w15:val="{76207255-E76B-4E19-A116-2A71C9FA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B1"/>
    <w:rPr>
      <w:rFonts w:eastAsiaTheme="majorEastAsia" w:cstheme="majorBidi"/>
      <w:color w:val="272727" w:themeColor="text1" w:themeTint="D8"/>
    </w:rPr>
  </w:style>
  <w:style w:type="paragraph" w:styleId="Title">
    <w:name w:val="Title"/>
    <w:basedOn w:val="Normal"/>
    <w:next w:val="Normal"/>
    <w:link w:val="TitleChar"/>
    <w:uiPriority w:val="10"/>
    <w:qFormat/>
    <w:rsid w:val="004A2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B1"/>
    <w:pPr>
      <w:spacing w:before="160"/>
      <w:jc w:val="center"/>
    </w:pPr>
    <w:rPr>
      <w:i/>
      <w:iCs/>
      <w:color w:val="404040" w:themeColor="text1" w:themeTint="BF"/>
    </w:rPr>
  </w:style>
  <w:style w:type="character" w:customStyle="1" w:styleId="QuoteChar">
    <w:name w:val="Quote Char"/>
    <w:basedOn w:val="DefaultParagraphFont"/>
    <w:link w:val="Quote"/>
    <w:uiPriority w:val="29"/>
    <w:rsid w:val="004A29B1"/>
    <w:rPr>
      <w:i/>
      <w:iCs/>
      <w:color w:val="404040" w:themeColor="text1" w:themeTint="BF"/>
    </w:rPr>
  </w:style>
  <w:style w:type="paragraph" w:styleId="ListParagraph">
    <w:name w:val="List Paragraph"/>
    <w:basedOn w:val="Normal"/>
    <w:uiPriority w:val="34"/>
    <w:qFormat/>
    <w:rsid w:val="004A29B1"/>
    <w:pPr>
      <w:ind w:left="720"/>
      <w:contextualSpacing/>
    </w:pPr>
  </w:style>
  <w:style w:type="character" w:styleId="IntenseEmphasis">
    <w:name w:val="Intense Emphasis"/>
    <w:basedOn w:val="DefaultParagraphFont"/>
    <w:uiPriority w:val="21"/>
    <w:qFormat/>
    <w:rsid w:val="004A29B1"/>
    <w:rPr>
      <w:i/>
      <w:iCs/>
      <w:color w:val="0F4761" w:themeColor="accent1" w:themeShade="BF"/>
    </w:rPr>
  </w:style>
  <w:style w:type="paragraph" w:styleId="IntenseQuote">
    <w:name w:val="Intense Quote"/>
    <w:basedOn w:val="Normal"/>
    <w:next w:val="Normal"/>
    <w:link w:val="IntenseQuoteChar"/>
    <w:uiPriority w:val="30"/>
    <w:qFormat/>
    <w:rsid w:val="004A2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B1"/>
    <w:rPr>
      <w:i/>
      <w:iCs/>
      <w:color w:val="0F4761" w:themeColor="accent1" w:themeShade="BF"/>
    </w:rPr>
  </w:style>
  <w:style w:type="character" w:styleId="IntenseReference">
    <w:name w:val="Intense Reference"/>
    <w:basedOn w:val="DefaultParagraphFont"/>
    <w:uiPriority w:val="32"/>
    <w:qFormat/>
    <w:rsid w:val="004A29B1"/>
    <w:rPr>
      <w:b/>
      <w:bCs/>
      <w:smallCaps/>
      <w:color w:val="0F4761" w:themeColor="accent1" w:themeShade="BF"/>
      <w:spacing w:val="5"/>
    </w:rPr>
  </w:style>
  <w:style w:type="paragraph" w:styleId="Header">
    <w:name w:val="header"/>
    <w:basedOn w:val="Normal"/>
    <w:link w:val="HeaderChar"/>
    <w:uiPriority w:val="99"/>
    <w:unhideWhenUsed/>
    <w:rsid w:val="00EB2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A56"/>
  </w:style>
  <w:style w:type="paragraph" w:styleId="Footer">
    <w:name w:val="footer"/>
    <w:basedOn w:val="Normal"/>
    <w:link w:val="FooterChar"/>
    <w:uiPriority w:val="99"/>
    <w:unhideWhenUsed/>
    <w:rsid w:val="00EB2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852668">
      <w:bodyDiv w:val="1"/>
      <w:marLeft w:val="0"/>
      <w:marRight w:val="0"/>
      <w:marTop w:val="0"/>
      <w:marBottom w:val="0"/>
      <w:divBdr>
        <w:top w:val="none" w:sz="0" w:space="0" w:color="auto"/>
        <w:left w:val="none" w:sz="0" w:space="0" w:color="auto"/>
        <w:bottom w:val="none" w:sz="0" w:space="0" w:color="auto"/>
        <w:right w:val="none" w:sz="0" w:space="0" w:color="auto"/>
      </w:divBdr>
    </w:div>
    <w:div w:id="191477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1429</Words>
  <Characters>8374</Characters>
  <Application>Microsoft Office Word</Application>
  <DocSecurity>0</DocSecurity>
  <Lines>141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Denney, S.C. (Steven)</dc:creator>
  <cp:keywords/>
  <dc:description/>
  <cp:lastModifiedBy>Denney, S.C. (Steven)</cp:lastModifiedBy>
  <cp:revision>3</cp:revision>
  <dcterms:created xsi:type="dcterms:W3CDTF">2025-09-24T10:20:00Z</dcterms:created>
  <dcterms:modified xsi:type="dcterms:W3CDTF">2025-09-24T10:52:00Z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ee829847-dd38-45e9-960a-42922083f2f6</vt:lpwstr>
  </property>
</Properties>
</file>