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6ph9slupq6t" w:id="0"/>
      <w:bookmarkEnd w:id="0"/>
      <w:r w:rsidDel="00000000" w:rsidR="00000000" w:rsidRPr="00000000">
        <w:rPr>
          <w:rtl w:val="0"/>
        </w:rPr>
        <w:t xml:space="preserve">Getting Started with Computational Text Analysis</w:t>
      </w:r>
    </w:p>
    <w:p w:rsidR="00000000" w:rsidDel="00000000" w:rsidP="00000000" w:rsidRDefault="00000000" w:rsidRPr="00000000" w14:paraId="00000002">
      <w:pPr>
        <w:rPr/>
      </w:pPr>
      <w:r w:rsidDel="00000000" w:rsidR="00000000" w:rsidRPr="00000000">
        <w:rPr>
          <w:rtl w:val="0"/>
        </w:rPr>
        <w:t xml:space="preserve">2023-11-06</w:t>
      </w:r>
    </w:p>
    <w:p w:rsidR="00000000" w:rsidDel="00000000" w:rsidP="00000000" w:rsidRDefault="00000000" w:rsidRPr="00000000" w14:paraId="00000003">
      <w:pPr>
        <w:pStyle w:val="Heading2"/>
        <w:rPr/>
      </w:pPr>
      <w:bookmarkStart w:colFirst="0" w:colLast="0" w:name="_qhqb5kumwd76" w:id="1"/>
      <w:bookmarkEnd w:id="1"/>
      <w:r w:rsidDel="00000000" w:rsidR="00000000" w:rsidRPr="00000000">
        <w:rPr>
          <w:rtl w:val="0"/>
        </w:rPr>
        <w:t xml:space="preserve">Dataset use instructions</w:t>
      </w:r>
    </w:p>
    <w:p w:rsidR="00000000" w:rsidDel="00000000" w:rsidP="00000000" w:rsidRDefault="00000000" w:rsidRPr="00000000" w14:paraId="00000004">
      <w:pPr>
        <w:rPr/>
      </w:pPr>
      <w:r w:rsidDel="00000000" w:rsidR="00000000" w:rsidRPr="00000000">
        <w:rPr>
          <w:rtl w:val="0"/>
        </w:rPr>
        <w:t xml:space="preserve">The dataset includes materials that are presently under copyright. In Canada, government documents are granted Crown copyright and do not enter into the public domain until 50 years after their creation. The copyright for materials like the political party platforms likely belongs to the respective party.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providing the documents to you as we believe our use falls under the </w:t>
      </w:r>
      <w:hyperlink r:id="rId6">
        <w:r w:rsidDel="00000000" w:rsidR="00000000" w:rsidRPr="00000000">
          <w:rPr>
            <w:color w:val="1155cc"/>
            <w:u w:val="single"/>
            <w:rtl w:val="0"/>
          </w:rPr>
          <w:t xml:space="preserve">Educational Exception in Canadian Copyright Law</w:t>
        </w:r>
      </w:hyperlink>
      <w:r w:rsidDel="00000000" w:rsidR="00000000" w:rsidRPr="00000000">
        <w:rPr>
          <w:rtl w:val="0"/>
        </w:rPr>
        <w:t xml:space="preserve"> (see “30.04 – Works available through the Internet.”).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Likewise, you may download a copy of the documents for your own personal use under the </w:t>
      </w:r>
      <w:hyperlink r:id="rId7">
        <w:r w:rsidDel="00000000" w:rsidR="00000000" w:rsidRPr="00000000">
          <w:rPr>
            <w:color w:val="1155cc"/>
            <w:u w:val="single"/>
            <w:rtl w:val="0"/>
          </w:rPr>
          <w:t xml:space="preserve">Fair Dealing exception</w:t>
        </w:r>
      </w:hyperlink>
      <w:r w:rsidDel="00000000" w:rsidR="00000000" w:rsidRPr="00000000">
        <w:rPr>
          <w:rtl w:val="0"/>
        </w:rPr>
        <w:t xml:space="preserve"> for research / private study. We ask that you do not use or reproduce the materials for any other reason.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one exception is “Letters Written During a Short Residence in Sweden, Norway, and Denmark” by Mary Wollstonecraft (wollstonecraft.txt), which is in the public domain. We obtained </w:t>
      </w:r>
      <w:hyperlink r:id="rId8">
        <w:r w:rsidDel="00000000" w:rsidR="00000000" w:rsidRPr="00000000">
          <w:rPr>
            <w:color w:val="1155cc"/>
            <w:u w:val="single"/>
            <w:rtl w:val="0"/>
          </w:rPr>
          <w:t xml:space="preserve">our copy from Project Gutenberg</w:t>
        </w:r>
      </w:hyperlink>
      <w:r w:rsidDel="00000000" w:rsidR="00000000" w:rsidRPr="00000000">
        <w:rPr>
          <w:rtl w:val="0"/>
        </w:rPr>
        <w:t xml:space="preserve">, but removed the preamble to facilitate text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ws-lois.justice.gc.ca/eng/acts/c-42/page-8.html" TargetMode="External"/><Relationship Id="rId7" Type="http://schemas.openxmlformats.org/officeDocument/2006/relationships/hyperlink" Target="https://laws-lois.justice.gc.ca/eng/acts/c-42/page-6.html#h-103270" TargetMode="External"/><Relationship Id="rId8" Type="http://schemas.openxmlformats.org/officeDocument/2006/relationships/hyperlink" Target="https://gutenberg.org/ebooks/3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