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F7C" w14:paraId="21C63616" w14:textId="77777777" w:rsidTr="50B3A8E8">
        <w:tc>
          <w:tcPr>
            <w:tcW w:w="9360" w:type="dxa"/>
            <w:shd w:val="clear" w:color="auto" w:fill="0A1F3C"/>
            <w:tcMar>
              <w:top w:w="200" w:type="dxa"/>
              <w:left w:w="260" w:type="dxa"/>
              <w:bottom w:w="200" w:type="dxa"/>
              <w:right w:w="260" w:type="dxa"/>
            </w:tcMar>
          </w:tcPr>
          <w:p w14:paraId="1D97150C" w14:textId="77777777" w:rsidR="00155F7C" w:rsidRDefault="00D94F37">
            <w:pPr>
              <w:spacing w:after="60"/>
            </w:pPr>
            <w:r>
              <w:rPr>
                <w:b/>
                <w:bCs/>
                <w:caps/>
                <w:color w:val="BCD7E6"/>
                <w:spacing w:val="30"/>
                <w:sz w:val="15"/>
                <w:szCs w:val="15"/>
              </w:rPr>
              <w:t>HOSTED BY CISCO</w:t>
            </w:r>
            <w:r>
              <w:rPr>
                <w:b/>
                <w:bCs/>
                <w:color w:val="CC785C"/>
                <w:sz w:val="15"/>
                <w:szCs w:val="15"/>
              </w:rPr>
              <w:t xml:space="preserve">   •   </w:t>
            </w:r>
            <w:r>
              <w:rPr>
                <w:b/>
                <w:bCs/>
                <w:caps/>
                <w:color w:val="BCD7E6"/>
                <w:spacing w:val="30"/>
                <w:sz w:val="15"/>
                <w:szCs w:val="15"/>
              </w:rPr>
              <w:t>IN PARTNERSHIP WITH ANTHROPIC</w:t>
            </w:r>
          </w:p>
          <w:p w14:paraId="44E86271" w14:textId="77777777" w:rsidR="00155F7C" w:rsidRDefault="00D94F37">
            <w:pPr>
              <w:spacing w:after="40"/>
            </w:pPr>
            <w:r>
              <w:rPr>
                <w:b/>
                <w:bCs/>
                <w:color w:val="FFFFFF"/>
                <w:sz w:val="38"/>
                <w:szCs w:val="38"/>
              </w:rPr>
              <w:t>Organizer Playbook</w:t>
            </w:r>
          </w:p>
          <w:p w14:paraId="637F9A9E" w14:textId="77777777" w:rsidR="00155F7C" w:rsidRDefault="50B3A8E8">
            <w:r w:rsidRPr="50B3A8E8">
              <w:rPr>
                <w:b/>
                <w:bCs/>
                <w:color w:val="CFE0EC"/>
                <w:sz w:val="19"/>
                <w:szCs w:val="19"/>
              </w:rPr>
              <w:t xml:space="preserve">AI Assurance — Partner </w:t>
            </w:r>
            <w:r w:rsidRPr="50B3A8E8">
              <w:rPr>
                <w:b/>
                <w:bCs/>
                <w:color w:val="00BCEB"/>
                <w:sz w:val="19"/>
                <w:szCs w:val="19"/>
              </w:rPr>
              <w:t>MCP</w:t>
            </w:r>
            <w:r w:rsidRPr="50B3A8E8">
              <w:rPr>
                <w:b/>
                <w:bCs/>
                <w:color w:val="CFE0EC"/>
                <w:sz w:val="19"/>
                <w:szCs w:val="19"/>
              </w:rPr>
              <w:t xml:space="preserve"> Day  ·  Run-of-show, logistics &amp; success metrics</w:t>
            </w:r>
          </w:p>
        </w:tc>
      </w:tr>
    </w:tbl>
    <w:p w14:paraId="36CE73B2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1 · Timing rationale</w:t>
      </w:r>
    </w:p>
    <w:p w14:paraId="566FF8AE" w14:textId="77777777" w:rsidR="00155F7C" w:rsidRDefault="50B3A8E8">
      <w:pPr>
        <w:spacing w:after="100"/>
      </w:pPr>
      <w:r w:rsidRPr="50B3A8E8">
        <w:t xml:space="preserve">This program runs as a single </w:t>
      </w:r>
      <w:r w:rsidRPr="50B3A8E8">
        <w:rPr>
          <w:b/>
          <w:bCs/>
          <w:color w:val="A8714F"/>
        </w:rPr>
        <w:t>full-day</w:t>
      </w:r>
      <w:r w:rsidRPr="50B3A8E8">
        <w:t xml:space="preserve"> format — ~4h50 of content with all four units hands-on, two breaks and a networking lunch. The agenda is provided as a separate document. The clock is built around full hands-on labs for the two required units (ThousandEyes and Meraki) plus the two featured units (Splunk and MCP tool-building), a meal and a commercial close. ThousandEyes goes first because it connects straight from the browser via a custom connector and OAuth — nothing to install — so the room is live in minutes. Meraki follows; because Meraki Magic is a local server that a browser can’t reach, its hands-on is for attendees with a Meraki API key (and the local setup), while everyone else follows the demo.</w:t>
      </w:r>
    </w:p>
    <w:tbl>
      <w:tblPr>
        <w:tblW w:w="9360" w:type="dxa"/>
        <w:tblBorders>
          <w:left w:val="single" w:sz="18" w:space="0" w:color="00BC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F7C" w14:paraId="0DBB3B23" w14:textId="77777777" w:rsidTr="50B3A8E8">
        <w:tc>
          <w:tcPr>
            <w:tcW w:w="9360" w:type="dxa"/>
            <w:tcBorders>
              <w:left w:val="single" w:sz="18" w:space="0" w:color="00BCEB"/>
            </w:tcBorders>
            <w:shd w:val="clear" w:color="auto" w:fill="E6F7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72DE0C" w14:textId="77777777" w:rsidR="00155F7C" w:rsidRDefault="50B3A8E8">
            <w:r w:rsidRPr="50B3A8E8">
              <w:rPr>
                <w:b/>
                <w:bCs/>
                <w:color w:val="0D274D"/>
              </w:rPr>
              <w:t xml:space="preserve">Total (full day): </w:t>
            </w:r>
            <w:r w:rsidRPr="50B3A8E8">
              <w:t>~4h50 of sessions &amp; labs + two 15-min breaks + a 45-min networking lunch + 30 min pre-event setup. Doors 8:30, content 9:00–15:05, optional drinks after. Drop a featured unit (and its break) to finish ~1 hr earlier; running the two required units only closes in the early afternoon.</w:t>
            </w:r>
          </w:p>
        </w:tc>
      </w:tr>
    </w:tbl>
    <w:p w14:paraId="53941092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2 · Modularity — adding &amp; removing units</w:t>
      </w:r>
    </w:p>
    <w:p w14:paraId="1D7FAC68" w14:textId="77777777" w:rsidR="00155F7C" w:rsidRDefault="00D94F37">
      <w:pPr>
        <w:spacing w:after="100"/>
      </w:pPr>
      <w:r>
        <w:t>Each technology unit is a self-contained block with its own presenter, lab-guide section, and time box. To reconfigure an event: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Required, always: </w:t>
      </w:r>
      <w:r w:rsidRPr="50B3A8E8">
        <w:t>ThousandEyes and Meraki. These anchor the day and the lab guide.</w:t>
      </w:r>
    </w:p>
    <w:p w14:paraId="54CEDC9F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A8714F"/>
        </w:rPr>
        <w:t xml:space="preserve">Featured: </w:t>
      </w:r>
      <w:r w:rsidRPr="50B3A8E8">
        <w:t>Splunk MCP (Riles) and MCP tool-building (Lewis Hubbard) — attendees build their own MCP server with Cursor and connect it to Claude. Both run in the full day; drop either (and its break) to finish earlier.</w:t>
      </w:r>
    </w:p>
    <w:p w14:paraId="24319403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</w:rPr>
        <w:t xml:space="preserve">To remove a unit: </w:t>
      </w:r>
      <w:r w:rsidRPr="50B3A8E8">
        <w:t>delete its agenda row, pull the clock up by its duration, and remove its lab-guide section / prereqs from the attendee email.</w:t>
      </w:r>
    </w:p>
    <w:p w14:paraId="4DEBF7BF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 add a unit back: </w:t>
      </w:r>
      <w:r>
        <w:t>insert its block, push the clock down, and confirm a presenter + proctor coverage for it.</w:t>
      </w:r>
    </w:p>
    <w:p w14:paraId="5943D535" w14:textId="77777777" w:rsidR="00155F7C" w:rsidRDefault="50B3A8E8">
      <w:pPr>
        <w:spacing w:after="100"/>
      </w:pPr>
      <w:r w:rsidRPr="50B3A8E8">
        <w:rPr>
          <w:i/>
          <w:iCs/>
          <w:color w:val="5A6675"/>
        </w:rPr>
        <w:t>Keep ThousandEyes first regardless of configuration — it gets the room connected fastest and de-risks the rest of the day.</w:t>
      </w:r>
    </w:p>
    <w:p w14:paraId="7B532C66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3 · Logistics &amp; staffing</w:t>
      </w:r>
    </w:p>
    <w:p w14:paraId="5E786F94" w14:textId="77777777" w:rsidR="00155F7C" w:rsidRDefault="00D94F37">
      <w:pPr>
        <w:spacing w:after="60"/>
      </w:pPr>
      <w:r>
        <w:rPr>
          <w:b/>
          <w:bCs/>
          <w:color w:val="0D274D"/>
          <w:sz w:val="21"/>
          <w:szCs w:val="21"/>
        </w:rPr>
        <w:t>Speakers &amp; proctors — who you need where</w:t>
      </w:r>
    </w:p>
    <w:p w14:paraId="1F8004A0" w14:textId="77777777" w:rsidR="00155F7C" w:rsidRDefault="50B3A8E8">
      <w:pPr>
        <w:spacing w:after="100"/>
      </w:pPr>
      <w:r w:rsidRPr="50B3A8E8">
        <w:t>Required units (ThousandEyes, Meraki) always need a dedicated speaker plus proctor coverage. Featured units (Splunk, MCP tool-building) need staffing whenever they run.</w:t>
      </w:r>
    </w:p>
    <w:p w14:paraId="618D7156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</w:rPr>
        <w:t xml:space="preserve">Minimum crew: </w:t>
      </w:r>
      <w:r w:rsidRPr="50B3A8E8">
        <w:t>executive sponsor (can double as host), AI/MCP lead, ThousandEyes SE, Meraki SE, Splunk SE, and a tool-building lead. Keep one proctor per area on the floor — that covers up to 40 attendees — with extra hands during the Meraki local-setup window. One person can cover multiple speaking slots if they don’t overlap (e.g. host + keynote).</w:t>
      </w:r>
    </w:p>
    <w:p w14:paraId="7EF0564B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</w:rPr>
        <w:t xml:space="preserve">Trimming the crew: </w:t>
      </w:r>
      <w:r w:rsidRPr="50B3A8E8">
        <w:t>if a featured team can’t join, drop that unit’s row and its SE — ThousandEyes and Meraki are the only units that always need coverage.</w:t>
      </w:r>
    </w:p>
    <w:p w14:paraId="672A6659" w14:textId="77777777" w:rsidR="00155F7C" w:rsidRDefault="00155F7C">
      <w:pPr>
        <w:spacing w:before="120" w:after="12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55F7C" w14:paraId="2C3C4CE1" w14:textId="77777777" w:rsidTr="50B3A8E8">
        <w:trPr>
          <w:tblHeader/>
        </w:trPr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26BA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Item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9F4B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Recommendation</w:t>
            </w:r>
          </w:p>
        </w:tc>
      </w:tr>
      <w:tr w:rsidR="00155F7C" w14:paraId="36AAEE13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36E8C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Format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4409A" w14:textId="77777777" w:rsidR="00155F7C" w:rsidRDefault="00D94F37">
            <w:r>
              <w:rPr>
                <w:sz w:val="18"/>
                <w:szCs w:val="18"/>
              </w:rPr>
              <w:t>Full day — ~4h50 of content + 30 min pre-event setup + a networking lunch. Doors 8:30, content 9:00–15:05.</w:t>
            </w:r>
          </w:p>
        </w:tc>
      </w:tr>
      <w:tr w:rsidR="00155F7C" w14:paraId="2D4D4DE2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26254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Room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12AA" w14:textId="77777777" w:rsidR="00155F7C" w:rsidRDefault="50B3A8E8">
            <w:r w:rsidRPr="50B3A8E8">
              <w:rPr>
                <w:sz w:val="18"/>
                <w:szCs w:val="18"/>
              </w:rPr>
              <w:t>Power at every seat, reliable guest Wi-Fi (browser + OAuth — no heavy downloads on the ThousandEyes path), 1 projector / large screen.</w:t>
            </w:r>
          </w:p>
        </w:tc>
      </w:tr>
      <w:tr w:rsidR="00155F7C" w14:paraId="7D2C45BE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2DF64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Attendee cap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FB27A" w14:textId="77777777" w:rsidR="00155F7C" w:rsidRDefault="00D94F37">
            <w:r>
              <w:rPr>
                <w:sz w:val="18"/>
                <w:szCs w:val="18"/>
              </w:rPr>
              <w:t>Up to 40 for full hands-on with one proctor per technology area. Beyond 40, add a second proctor to the busiest areas or split into two sessions.</w:t>
            </w:r>
          </w:p>
        </w:tc>
      </w:tr>
      <w:tr w:rsidR="00155F7C" w14:paraId="3CD08B34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6B7F6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Proctor ratio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64D87" w14:textId="77777777" w:rsidR="00155F7C" w:rsidRDefault="00D94F37">
            <w:r>
              <w:rPr>
                <w:sz w:val="18"/>
                <w:szCs w:val="18"/>
              </w:rPr>
              <w:t>One proctor per technology area — the area’s SE doubles as proctor — covers up to 40 attendees. Keep one spare “floater” for token / sign-in issues.</w:t>
            </w:r>
          </w:p>
        </w:tc>
      </w:tr>
      <w:tr w:rsidR="00155F7C" w14:paraId="439E5092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AC4E1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Presenters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4C337" w14:textId="77777777" w:rsidR="00155F7C" w:rsidRDefault="50B3A8E8">
            <w:r w:rsidRPr="50B3A8E8">
              <w:rPr>
                <w:sz w:val="18"/>
                <w:szCs w:val="18"/>
              </w:rPr>
              <w:t>Keynote (1), AI/MCP fundamentals (1–2), ThousandEyes lab lead (1), Meraki lab lead (1), Splunk lead (1), tool-building lead (1).</w:t>
            </w:r>
          </w:p>
        </w:tc>
      </w:tr>
      <w:tr w:rsidR="00155F7C" w14:paraId="28574E43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2F788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Demo accounts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4DF5B" w14:textId="77777777" w:rsidR="00155F7C" w:rsidRDefault="50B3A8E8">
            <w:r w:rsidRPr="50B3A8E8">
              <w:rPr>
                <w:sz w:val="18"/>
                <w:szCs w:val="18"/>
              </w:rPr>
              <w:t>Pre-provision ThousandEyes demo logins (used for the connector’s browser sign-in); staff a proctor desk to hand them out during breakfast.</w:t>
            </w:r>
          </w:p>
        </w:tc>
      </w:tr>
      <w:tr w:rsidR="00155F7C" w14:paraId="2851646E" w14:textId="77777777" w:rsidTr="50B3A8E8">
        <w:tc>
          <w:tcPr>
            <w:tcW w:w="312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BFA28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Account Managers</w:t>
            </w:r>
          </w:p>
        </w:tc>
        <w:tc>
          <w:tcPr>
            <w:tcW w:w="624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3750D2" w14:textId="77777777" w:rsidR="00155F7C" w:rsidRDefault="00D94F37">
            <w:r>
              <w:rPr>
                <w:sz w:val="18"/>
                <w:szCs w:val="18"/>
              </w:rPr>
              <w:t>Invite the AM for every partner attending — they own the lunch conversations and pipeline follow-up.</w:t>
            </w:r>
          </w:p>
        </w:tc>
      </w:tr>
    </w:tbl>
    <w:p w14:paraId="2D6BFA76" w14:textId="77777777" w:rsidR="00155F7C" w:rsidRDefault="00D94F37">
      <w:pPr>
        <w:spacing w:before="160" w:after="120"/>
      </w:pPr>
      <w:r>
        <w:rPr>
          <w:b/>
          <w:bCs/>
          <w:color w:val="0D274D"/>
          <w:sz w:val="21"/>
          <w:szCs w:val="21"/>
        </w:rPr>
        <w:t>Block timing — why each block is the length it is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4560"/>
      </w:tblGrid>
      <w:tr w:rsidR="00155F7C" w14:paraId="070B05EB" w14:textId="77777777" w:rsidTr="50B3A8E8">
        <w:trPr>
          <w:tblHeader/>
        </w:trPr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7FE0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Block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2FA4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Minutes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86E7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Why this long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E4C4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Registration / breakfast / setup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897CE" w14:textId="77777777" w:rsidR="00155F7C" w:rsidRDefault="00D94F37">
            <w:r>
              <w:rPr>
                <w:sz w:val="18"/>
                <w:szCs w:val="18"/>
              </w:rPr>
              <w:t>30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19818" w14:textId="77777777" w:rsidR="00155F7C" w:rsidRDefault="50B3A8E8">
            <w:r w:rsidRPr="50B3A8E8">
              <w:rPr>
                <w:sz w:val="18"/>
                <w:szCs w:val="18"/>
              </w:rPr>
              <w:t>Browser sign-in to the ThousandEyes connector (minutes) + Meraki local setup for key-holders + breakfast and late arrivals. Comfortable buffer now there’s nothing to install.</w:t>
            </w:r>
          </w:p>
        </w:tc>
      </w:tr>
      <w:tr w:rsidR="00155F7C" w14:paraId="57AA073E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6256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Welcome &amp; keynote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7C906" w14:textId="77777777" w:rsidR="00155F7C" w:rsidRDefault="00D94F37">
            <w:r>
              <w:rPr>
                <w:sz w:val="18"/>
                <w:szCs w:val="18"/>
              </w:rPr>
              <w:t>20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207AE" w14:textId="77777777" w:rsidR="00155F7C" w:rsidRDefault="00D94F37">
            <w:r>
              <w:rPr>
                <w:sz w:val="18"/>
                <w:szCs w:val="18"/>
              </w:rPr>
              <w:t>Set the “why” — simplified operations — without eating lab time.</w:t>
            </w:r>
          </w:p>
        </w:tc>
      </w:tr>
      <w:tr w:rsidR="00155F7C" w14:paraId="36AB5D89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53CDD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AI &amp; MCP fundamentals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DD700" w14:textId="77777777" w:rsidR="00155F7C" w:rsidRDefault="00D94F37">
            <w:r>
              <w:rPr>
                <w:sz w:val="18"/>
                <w:szCs w:val="18"/>
              </w:rPr>
              <w:t>25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12C57" w14:textId="77777777" w:rsidR="00155F7C" w:rsidRDefault="00D94F37">
            <w:r>
              <w:rPr>
                <w:sz w:val="18"/>
                <w:szCs w:val="18"/>
              </w:rPr>
              <w:t>Enough to make the labs land for a mixed-skill room; not a lecture.</w:t>
            </w:r>
          </w:p>
        </w:tc>
      </w:tr>
      <w:tr w:rsidR="00155F7C" w14:paraId="1205F9B6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AC243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Get-connected checkpoint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69756" w14:textId="77777777" w:rsidR="00155F7C" w:rsidRDefault="00D94F37">
            <w:r>
              <w:rPr>
                <w:sz w:val="18"/>
                <w:szCs w:val="18"/>
              </w:rPr>
              <w:t>10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62C1B" w14:textId="77777777" w:rsidR="00155F7C" w:rsidRDefault="50B3A8E8">
            <w:r w:rsidRPr="50B3A8E8">
              <w:rPr>
                <w:sz w:val="18"/>
                <w:szCs w:val="18"/>
              </w:rPr>
              <w:t>Room-wide sync — confirm everyone’s ThousandEyes connector is live before the first lab.</w:t>
            </w:r>
          </w:p>
        </w:tc>
      </w:tr>
      <w:tr w:rsidR="00155F7C" w14:paraId="6D5BACE9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B5BC2" w14:textId="77777777" w:rsidR="00155F7C" w:rsidRDefault="50B3A8E8">
            <w:r w:rsidRPr="50B3A8E8">
              <w:rPr>
                <w:b/>
                <w:bCs/>
                <w:color w:val="0D274D"/>
                <w:sz w:val="18"/>
                <w:szCs w:val="18"/>
              </w:rPr>
              <w:t>ThousandEyes lab (required)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B1212" w14:textId="77777777" w:rsidR="00155F7C" w:rsidRDefault="00D94F37">
            <w:r>
              <w:rPr>
                <w:sz w:val="18"/>
                <w:szCs w:val="18"/>
              </w:rPr>
              <w:t>60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84B811" w14:textId="77777777" w:rsidR="00155F7C" w:rsidRDefault="00D94F37">
            <w:r>
              <w:rPr>
                <w:sz w:val="18"/>
                <w:szCs w:val="18"/>
              </w:rPr>
              <w:t>Full prospect → test → report workflow needs a real run cycle (~5 min) plus build + report time.</w:t>
            </w:r>
          </w:p>
        </w:tc>
      </w:tr>
      <w:tr w:rsidR="00155F7C" w14:paraId="39D16542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2AFA9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Break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FEC6B" w14:textId="77777777" w:rsidR="00155F7C" w:rsidRDefault="00D94F37">
            <w:r>
              <w:rPr>
                <w:sz w:val="18"/>
                <w:szCs w:val="18"/>
              </w:rPr>
              <w:t>15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B2E20" w14:textId="77777777" w:rsidR="00155F7C" w:rsidRDefault="00D94F37">
            <w:r>
              <w:rPr>
                <w:sz w:val="18"/>
                <w:szCs w:val="18"/>
              </w:rPr>
              <w:t>Reset before the next hands-on block — two breaks across the day.</w:t>
            </w:r>
          </w:p>
        </w:tc>
      </w:tr>
      <w:tr w:rsidR="00155F7C" w14:paraId="57670769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8F025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Meraki lab (required)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48C20F" w14:textId="77777777" w:rsidR="00155F7C" w:rsidRDefault="00D94F37">
            <w:r>
              <w:rPr>
                <w:sz w:val="18"/>
                <w:szCs w:val="18"/>
              </w:rPr>
              <w:t>60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A2C2D" w14:textId="77777777" w:rsidR="00155F7C" w:rsidRDefault="00D94F37">
            <w:r>
              <w:rPr>
                <w:sz w:val="18"/>
                <w:szCs w:val="18"/>
              </w:rPr>
              <w:t>Multiple prompt demos (diagram, audit, config) with attendee try-along.</w:t>
            </w:r>
          </w:p>
        </w:tc>
      </w:tr>
      <w:tr w:rsidR="00155F7C" w14:paraId="3D1953F9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FB3F2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Splunk lab (featured)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D57A7" w14:textId="77777777" w:rsidR="00155F7C" w:rsidRDefault="00D94F37">
            <w:r>
              <w:rPr>
                <w:sz w:val="18"/>
                <w:szCs w:val="18"/>
              </w:rPr>
              <w:t>40–50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DDF88" w14:textId="77777777" w:rsidR="00155F7C" w:rsidRDefault="00D94F37">
            <w:r>
              <w:rPr>
                <w:sz w:val="18"/>
                <w:szCs w:val="18"/>
              </w:rPr>
              <w:t>Investigate Splunk data in plain English — search, correlate, root-cause.</w:t>
            </w:r>
          </w:p>
        </w:tc>
      </w:tr>
      <w:tr w:rsidR="00155F7C" w14:paraId="325F0556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6A4F5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MCP tool-building (featured)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35C2" w14:textId="77777777" w:rsidR="00155F7C" w:rsidRDefault="00D94F37">
            <w:r>
              <w:rPr>
                <w:sz w:val="18"/>
                <w:szCs w:val="18"/>
              </w:rPr>
              <w:t>40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1BD0D1" w14:textId="77777777" w:rsidR="00155F7C" w:rsidRDefault="00D94F37">
            <w:r>
              <w:rPr>
                <w:sz w:val="18"/>
                <w:szCs w:val="18"/>
              </w:rPr>
              <w:t>Build your own MCP server with Cursor — little/no coding — then connect it to Claude.</w:t>
            </w:r>
          </w:p>
        </w:tc>
      </w:tr>
      <w:tr w:rsidR="00155F7C" w14:paraId="7A34616D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E7938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Wrap &amp; next steps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D4B9D" w14:textId="77777777" w:rsidR="00155F7C" w:rsidRDefault="00D94F37">
            <w:r>
              <w:rPr>
                <w:sz w:val="18"/>
                <w:szCs w:val="18"/>
              </w:rPr>
              <w:t>15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7D6584" w14:textId="77777777" w:rsidR="00155F7C" w:rsidRDefault="00D94F37">
            <w:r>
              <w:rPr>
                <w:sz w:val="18"/>
                <w:szCs w:val="18"/>
              </w:rPr>
              <w:t>Call-to-action, trial offers, certificates, and hand-off to AMs.</w:t>
            </w:r>
          </w:p>
        </w:tc>
      </w:tr>
      <w:tr w:rsidR="00155F7C" w14:paraId="09911DDD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F2A09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Networking lunch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BD11F" w14:textId="77777777" w:rsidR="00155F7C" w:rsidRDefault="00D94F37">
            <w:r>
              <w:rPr>
                <w:sz w:val="18"/>
                <w:szCs w:val="18"/>
              </w:rPr>
              <w:t>45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559AA" w14:textId="77777777" w:rsidR="00155F7C" w:rsidRDefault="00D94F37">
            <w:r>
              <w:rPr>
                <w:sz w:val="18"/>
                <w:szCs w:val="18"/>
              </w:rPr>
              <w:t>Pipeline conversations — the commercial point of the day.</w:t>
            </w:r>
          </w:p>
        </w:tc>
      </w:tr>
    </w:tbl>
    <w:p w14:paraId="5E37F0C8" w14:textId="77777777" w:rsidR="00155F7C" w:rsidRDefault="00D94F37">
      <w:pPr>
        <w:spacing w:before="160" w:after="120"/>
      </w:pPr>
      <w:r>
        <w:rPr>
          <w:b/>
          <w:bCs/>
          <w:color w:val="0D274D"/>
          <w:sz w:val="21"/>
          <w:szCs w:val="21"/>
        </w:rPr>
        <w:t>Speaker &amp; proctor coverage by session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155F7C" w14:paraId="6C4D6808" w14:textId="77777777" w:rsidTr="50B3A8E8">
        <w:trPr>
          <w:tblHeader/>
        </w:trPr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421D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Session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D4E5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Speaker needed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CD4C" w14:textId="77777777" w:rsidR="00155F7C" w:rsidRDefault="00D94F37">
            <w:r>
              <w:rPr>
                <w:b/>
                <w:bCs/>
                <w:caps/>
                <w:color w:val="FFFFFF"/>
                <w:spacing w:val="12"/>
                <w:sz w:val="17"/>
                <w:szCs w:val="17"/>
              </w:rPr>
              <w:t>Proctor coverage</w:t>
            </w:r>
          </w:p>
        </w:tc>
      </w:tr>
      <w:tr w:rsidR="00155F7C" w14:paraId="046350C1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49040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Welcome &amp; keynote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0B6F3" w14:textId="77777777" w:rsidR="00155F7C" w:rsidRDefault="00D94F37">
            <w:r>
              <w:rPr>
                <w:sz w:val="18"/>
                <w:szCs w:val="18"/>
              </w:rPr>
              <w:t>Executive sponsor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66E0F" w14:textId="77777777" w:rsidR="00155F7C" w:rsidRDefault="00D94F37">
            <w:r>
              <w:rPr>
                <w:sz w:val="18"/>
                <w:szCs w:val="18"/>
              </w:rPr>
              <w:t>—</w:t>
            </w:r>
          </w:p>
        </w:tc>
      </w:tr>
      <w:tr w:rsidR="00155F7C" w14:paraId="72AD10FC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37BC7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AI &amp; MCP fundamentals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EA213" w14:textId="77777777" w:rsidR="00155F7C" w:rsidRDefault="00D94F37">
            <w:r>
              <w:rPr>
                <w:sz w:val="18"/>
                <w:szCs w:val="18"/>
              </w:rPr>
              <w:t>AI / MCP lead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5A22D" w14:textId="77777777" w:rsidR="00155F7C" w:rsidRDefault="00D94F37">
            <w:r>
              <w:rPr>
                <w:sz w:val="18"/>
                <w:szCs w:val="18"/>
              </w:rPr>
              <w:t>Light — proctors circulate</w:t>
            </w:r>
          </w:p>
        </w:tc>
      </w:tr>
      <w:tr w:rsidR="00155F7C" w14:paraId="3366B34A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0A360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Get connected (setup checkpoint)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B8DAE" w14:textId="77777777" w:rsidR="00155F7C" w:rsidRDefault="00D94F37">
            <w:r>
              <w:rPr>
                <w:sz w:val="18"/>
                <w:szCs w:val="18"/>
              </w:rPr>
              <w:t>Proctor-led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D247A" w14:textId="77777777" w:rsidR="00155F7C" w:rsidRDefault="00D94F37">
            <w:r>
              <w:rPr>
                <w:sz w:val="18"/>
                <w:szCs w:val="18"/>
              </w:rPr>
              <w:t>All proctors on the floor</w:t>
            </w:r>
          </w:p>
        </w:tc>
      </w:tr>
      <w:tr w:rsidR="00155F7C" w14:paraId="1B8531CA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6AB5D" w14:textId="77777777" w:rsidR="00155F7C" w:rsidRDefault="50B3A8E8">
            <w:r w:rsidRPr="50B3A8E8">
              <w:rPr>
                <w:b/>
                <w:bCs/>
                <w:color w:val="0D274D"/>
                <w:sz w:val="18"/>
                <w:szCs w:val="18"/>
              </w:rPr>
              <w:t>ThousandEyes lab — REQUIRED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05F7C" w14:textId="77777777" w:rsidR="00155F7C" w:rsidRDefault="50B3A8E8">
            <w:r w:rsidRPr="50B3A8E8">
              <w:rPr>
                <w:sz w:val="18"/>
                <w:szCs w:val="18"/>
              </w:rPr>
              <w:t>ThousandEyes SE (leads from front)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205CC" w14:textId="77777777" w:rsidR="00155F7C" w:rsidRDefault="00D94F37">
            <w:r>
              <w:rPr>
                <w:sz w:val="18"/>
                <w:szCs w:val="18"/>
              </w:rPr>
              <w:t>One area proctor — covers up to 40</w:t>
            </w:r>
          </w:p>
        </w:tc>
      </w:tr>
      <w:tr w:rsidR="00155F7C" w14:paraId="3FA5C75E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C0E38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Meraki lab — REQUIRED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602DF" w14:textId="77777777" w:rsidR="00155F7C" w:rsidRDefault="00D94F37">
            <w:r>
              <w:rPr>
                <w:sz w:val="18"/>
                <w:szCs w:val="18"/>
              </w:rPr>
              <w:t>Meraki SE (leads from front)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8016A" w14:textId="77777777" w:rsidR="00155F7C" w:rsidRDefault="00D94F37">
            <w:r>
              <w:rPr>
                <w:sz w:val="18"/>
                <w:szCs w:val="18"/>
              </w:rPr>
              <w:t>One area proctor (up to 40); extra hands during local setup</w:t>
            </w:r>
          </w:p>
        </w:tc>
      </w:tr>
      <w:tr w:rsidR="00155F7C" w14:paraId="2B6FEDE8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635CE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Splunk lab — FEATURED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1C658" w14:textId="77777777" w:rsidR="00155F7C" w:rsidRDefault="00D94F37">
            <w:r>
              <w:rPr>
                <w:sz w:val="18"/>
                <w:szCs w:val="18"/>
              </w:rPr>
              <w:t>Splunk SE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CC2B9" w14:textId="77777777" w:rsidR="00155F7C" w:rsidRDefault="00D94F37">
            <w:r>
              <w:rPr>
                <w:sz w:val="18"/>
                <w:szCs w:val="18"/>
              </w:rPr>
              <w:t>One area proctor — covers up to 40</w:t>
            </w:r>
          </w:p>
        </w:tc>
      </w:tr>
      <w:tr w:rsidR="00155F7C" w14:paraId="55D7790E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799C8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MCP tool-building — FEATURED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20C03" w14:textId="77777777" w:rsidR="00155F7C" w:rsidRDefault="00D94F37">
            <w:r>
              <w:rPr>
                <w:sz w:val="18"/>
                <w:szCs w:val="18"/>
              </w:rPr>
              <w:t>Tool-building lead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BC205" w14:textId="77777777" w:rsidR="00155F7C" w:rsidRDefault="00D94F37">
            <w:r>
              <w:rPr>
                <w:sz w:val="18"/>
                <w:szCs w:val="18"/>
              </w:rPr>
              <w:t>One area proctor — covers up to 40</w:t>
            </w:r>
          </w:p>
        </w:tc>
      </w:tr>
      <w:tr w:rsidR="00155F7C" w14:paraId="50EDD170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92FA1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Wrap-up &amp; next steps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6A31F0" w14:textId="77777777" w:rsidR="00155F7C" w:rsidRDefault="00D94F37">
            <w:r>
              <w:rPr>
                <w:sz w:val="18"/>
                <w:szCs w:val="18"/>
              </w:rPr>
              <w:t>Host + Account Managers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FAF9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0D8BB" w14:textId="77777777" w:rsidR="00155F7C" w:rsidRDefault="00D94F37">
            <w:r>
              <w:rPr>
                <w:sz w:val="18"/>
                <w:szCs w:val="18"/>
              </w:rPr>
              <w:t>—</w:t>
            </w:r>
          </w:p>
        </w:tc>
      </w:tr>
      <w:tr w:rsidR="00155F7C" w14:paraId="0F47C16B" w14:textId="77777777" w:rsidTr="50B3A8E8">
        <w:tc>
          <w:tcPr>
            <w:tcW w:w="33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B1095" w14:textId="77777777" w:rsidR="00155F7C" w:rsidRDefault="00D94F37">
            <w:r>
              <w:rPr>
                <w:b/>
                <w:bCs/>
                <w:color w:val="0D274D"/>
                <w:sz w:val="18"/>
                <w:szCs w:val="18"/>
              </w:rPr>
              <w:t>Lunch &amp; networking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39D88" w14:textId="77777777" w:rsidR="00155F7C" w:rsidRDefault="00D94F37">
            <w:r>
              <w:rPr>
                <w:sz w:val="18"/>
                <w:szCs w:val="18"/>
              </w:rPr>
              <w:t>Account Managers (ideally one per partner org)</w:t>
            </w:r>
          </w:p>
        </w:tc>
        <w:tc>
          <w:tcPr>
            <w:tcW w:w="30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0B065" w14:textId="77777777" w:rsidR="00155F7C" w:rsidRDefault="00D94F37">
            <w:r>
              <w:rPr>
                <w:sz w:val="18"/>
                <w:szCs w:val="18"/>
              </w:rPr>
              <w:t>—</w:t>
            </w:r>
          </w:p>
        </w:tc>
      </w:tr>
    </w:tbl>
    <w:p w14:paraId="786791E9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4 · Attendee prerequisites e-mail (send T−5 days)</w:t>
      </w:r>
    </w:p>
    <w:p w14:paraId="62F5B80E" w14:textId="77777777" w:rsidR="00155F7C" w:rsidRDefault="50B3A8E8">
      <w:pPr>
        <w:spacing w:after="100"/>
      </w:pPr>
      <w:r w:rsidRPr="50B3A8E8">
        <w:t>Paste the block below into your invite / confirmation email. Trim the Meraki / Splunk / tool-building lines if those modules aren’t running.</w:t>
      </w:r>
    </w:p>
    <w:tbl>
      <w:tblPr>
        <w:tblW w:w="9360" w:type="dxa"/>
        <w:tblBorders>
          <w:left w:val="single" w:sz="18" w:space="0" w:color="CC78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F7C" w14:paraId="3CA5712E" w14:textId="77777777" w:rsidTr="50B3A8E8">
        <w:tc>
          <w:tcPr>
            <w:tcW w:w="9360" w:type="dxa"/>
            <w:tcBorders>
              <w:left w:val="single" w:sz="18" w:space="0" w:color="CC785C"/>
            </w:tcBorders>
            <w:shd w:val="clear" w:color="auto" w:fill="F7F4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Subject: </w:t>
            </w:r>
            <w:r w:rsidRPr="50B3A8E8">
              <w:rPr>
                <w:b/>
                <w:bCs/>
              </w:rPr>
              <w:t>You’re booked for AI Assurance — please set up your laptop before you arrive</w:t>
            </w:r>
          </w:p>
          <w:p w14:paraId="01065247" w14:textId="77777777" w:rsidR="00155F7C" w:rsidRDefault="50B3A8E8">
            <w:pPr>
              <w:spacing w:after="80"/>
            </w:pPr>
            <w:r w:rsidRPr="50B3A8E8">
              <w:t>Looking forward to seeing you at AI Assurance. This is a hands-on session — a few things to do beforehand so you’re ready to build from minute one:</w:t>
            </w:r>
          </w:p>
          <w:p w14:paraId="20830F51" w14:textId="77777777" w:rsidR="00155F7C" w:rsidRDefault="00D94F37">
            <w:pPr>
              <w:spacing w:after="60"/>
            </w:pPr>
            <w:r>
              <w:t>• Bring a laptop with admin rights and a modern web browser (Chrome, Edge, or Safari).</w:t>
            </w:r>
          </w:p>
          <w:p w14:paraId="387D777B" w14:textId="77777777" w:rsidR="00155F7C" w:rsidRDefault="50B3A8E8">
            <w:pPr>
              <w:spacing w:after="60"/>
            </w:pPr>
            <w:r w:rsidRPr="50B3A8E8">
              <w:t>• Before you arrive: install the Claude Desktop app and sign in (recommended). A browser-only Claude account is fine if you’re ONLY doing the ThousandEyes lab — but Desktop is preferred, because the Meraki and Splunk labs run local servers that only Claude Desktop can reach.</w:t>
            </w:r>
          </w:p>
          <w:p w14:paraId="042447D1" w14:textId="77777777" w:rsidR="00155F7C" w:rsidRDefault="50B3A8E8">
            <w:pPr>
              <w:spacing w:after="60"/>
            </w:pPr>
            <w:r w:rsidRPr="50B3A8E8">
              <w:t>• ThousandEyes: nothing else to set up in advance. On the day you’ll add a ThousandEyes connector inside Claude via a quick OAuth sign-in, using the demo account we provide (or your own, if you have the “API Access” permission).</w:t>
            </w:r>
          </w:p>
          <w:p w14:paraId="44704A7B" w14:textId="77777777" w:rsidR="00155F7C" w:rsidRDefault="50B3A8E8">
            <w:pPr>
              <w:spacing w:after="60"/>
            </w:pPr>
            <w:r w:rsidRPr="50B3A8E8">
              <w:t>• Meraki (optional hands-on): want to build along? Bring a Meraki Dashboard API key + Org ID, and have Python 3.8+ and Git installed beforehand. No key? You’ll follow the live demo instead.</w:t>
            </w:r>
          </w:p>
          <w:p w14:paraId="7D6008CA" w14:textId="77777777" w:rsidR="00155F7C" w:rsidRDefault="50B3A8E8">
            <w:pPr>
              <w:spacing w:after="60"/>
            </w:pPr>
            <w:r w:rsidRPr="50B3A8E8">
              <w:t>• MCP tool-building (optional hands-on): want to build your own MCP server? Install Cursor (cursor.com) and Node.js 18+ beforehand. No setup? You’ll follow the live build instead.</w:t>
            </w:r>
          </w:p>
          <w:p w14:paraId="3E1A5AC4" w14:textId="77777777" w:rsidR="00155F7C" w:rsidRDefault="50B3A8E8">
            <w:r w:rsidRPr="50B3A8E8">
              <w:rPr>
                <w:i/>
                <w:iCs/>
                <w:color w:val="5A6675"/>
              </w:rPr>
              <w:t>Reply to this email if you’d like setup help — proctors are on hand from [START−30 min].</w:t>
            </w:r>
          </w:p>
        </w:tc>
      </w:tr>
    </w:tbl>
    <w:p w14:paraId="221EB7B6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5 · Run-of-show checklist</w:t>
      </w:r>
    </w:p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T−2 weeks</w:t>
      </w:r>
    </w:p>
    <w:p w14:paraId="7A3A26B1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t>Confirm presenters per module and which featured module(s) are running.</w:t>
      </w:r>
    </w:p>
    <w:p w14:paraId="51DFCCDB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t>Lock venue, catering (breakfast + lunch), Wi-Fi capacity.</w:t>
      </w:r>
    </w:p>
    <w:p w14:paraId="4F6418B3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t>Open registration; share the one-pager with Account Managers.</w:t>
      </w:r>
    </w:p>
    <w:p w14:paraId="010AF11C" w14:textId="77777777" w:rsidR="00155F7C" w:rsidRDefault="00D94F37">
      <w:pPr>
        <w:spacing w:before="80" w:after="60"/>
      </w:pPr>
      <w:r>
        <w:rPr>
          <w:b/>
          <w:bCs/>
          <w:color w:val="0792B5"/>
        </w:rPr>
        <w:t>T−5 days</w:t>
      </w:r>
    </w:p>
    <w:p w14:paraId="65E2F5B7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t>Send the prerequisites email; pre-provision ThousandEyes demo tokens.</w:t>
      </w:r>
    </w:p>
    <w:p w14:paraId="4BDD668E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t>Confirm headcount; staff one proctor per technology area (good for up to 40).</w:t>
      </w:r>
    </w:p>
    <w:p w14:paraId="5C23248A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t>Dry-run each lab end-to-end on guest Wi-Fi.</w:t>
      </w:r>
    </w:p>
    <w:p w14:paraId="0C8BCEB9" w14:textId="77777777" w:rsidR="00155F7C" w:rsidRDefault="00D94F37">
      <w:pPr>
        <w:spacing w:before="80" w:after="60"/>
      </w:pPr>
      <w:r>
        <w:rPr>
          <w:b/>
          <w:bCs/>
          <w:color w:val="0792B5"/>
        </w:rPr>
        <w:t>Day of</w:t>
      </w:r>
    </w:p>
    <w:p w14:paraId="36112830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t>Proctor desk live during breakfast for tokens &amp; setup.</w:t>
      </w:r>
    </w:p>
    <w:p w14:paraId="5F42CA6F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t>Get-connected checkpoint before first lab — nobody left behind.</w:t>
      </w:r>
    </w:p>
    <w:p w14:paraId="50063690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t>Capture attendance + interest in the tracking workbook.</w:t>
      </w:r>
    </w:p>
    <w:p w14:paraId="415EDD58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t>AMs work the lunch; log pipeline &amp; follow-ups same day. Hand out Certificates of Participation at wrap-up.</w:t>
      </w:r>
    </w:p>
    <w:p w14:paraId="310CE671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6 · What “good” looks like — success metrics</w:t>
      </w:r>
    </w:p>
    <w:p w14:paraId="45E6C062" w14:textId="77777777" w:rsidR="00155F7C" w:rsidRDefault="00D94F37">
      <w:pPr>
        <w:spacing w:after="100"/>
      </w:pPr>
      <w:r>
        <w:t>Track these per event in the companion workbook so you can compare across regions and prove demand:</w:t>
      </w:r>
    </w:p>
    <w:p w14:paraId="6CB3C131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74D"/>
        </w:rPr>
        <w:t xml:space="preserve">Reach: </w:t>
      </w:r>
      <w:r>
        <w:t>registered vs attended (target ≥80% show rate), partner orgs represented.</w:t>
      </w:r>
    </w:p>
    <w:p w14:paraId="297E1889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D274D"/>
        </w:rPr>
        <w:t xml:space="preserve">Engagement: </w:t>
      </w:r>
      <w:r w:rsidRPr="50B3A8E8">
        <w:t>% who completed the ThousandEyes lab live, average session rating (target ≥4/5).</w:t>
      </w:r>
    </w:p>
    <w:p w14:paraId="4CC328D8" w14:textId="77777777" w:rsidR="00155F7C" w:rsidRDefault="00D94F3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D274D"/>
        </w:rPr>
        <w:t xml:space="preserve">Demand: </w:t>
      </w:r>
      <w:r>
        <w:t># of follow-up actions logged, # of qualified opportunities, total influenced pipeline value.</w:t>
      </w:r>
    </w:p>
    <w:p w14:paraId="0A2AE85A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D274D"/>
        </w:rPr>
        <w:t xml:space="preserve">Conversion: </w:t>
      </w:r>
      <w:r w:rsidRPr="50B3A8E8">
        <w:t>ThousandEyes trials started, Meraki API keys activated, opportunities advanced within 30 days.</w:t>
      </w:r>
    </w:p>
    <w:p w14:paraId="310CE671" w14:textId="77777777" w:rsidR="00155F7C" w:rsidRDefault="00D94F37">
      <w:pPr>
        <w:pBdr>
          <w:bottom w:val="single" w:sz="6" w:space="2" w:color="CC785C"/>
        </w:pBdr>
        <w:spacing w:before="280" w:after="120"/>
      </w:pPr>
      <w:r>
        <w:rPr>
          <w:b/>
          <w:bCs/>
          <w:color w:val="0A1F3C"/>
          <w:spacing w:val="6"/>
          <w:sz w:val="21"/>
          <w:szCs w:val="21"/>
        </w:rPr>
        <w:t>7 · Driving attendance</w:t>
      </w:r>
    </w:p>
    <w:p w14:paraId="45E6C062" w14:textId="77777777" w:rsidR="00155F7C" w:rsidRDefault="00D94F37">
      <w:pPr>
        <w:spacing w:after="100"/>
      </w:pPr>
      <w:r>
        <w:t>Most of the lift happens before the day, not from the reminder email alone. Layer these into the Run-of-show checklist in Section 5 — the suggested cadence and day-of email template are below.</w:t>
      </w:r>
    </w:p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Before the event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Multi-touch sequence: </w:t>
      </w:r>
      <w:r w:rsidRPr="50B3A8E8">
        <w:t>confirmation right after registering, then reminders at 1 week, 2–3 days, and day-of. Each should add something new (agenda, speaker, attendee list), not just repeat.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Pre-work that creates ownership: </w:t>
      </w:r>
      <w:r w:rsidRPr="50B3A8E8">
        <w:t>ask registrants to submit the problem they want to tackle in the workshop. People who invest effort show up.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Personal outreach to key accounts: </w:t>
      </w:r>
      <w:r w:rsidRPr="50B3A8E8">
        <w:t>a short text or LinkedIn message from the host to the top 10–15 registrants beats any mass email.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Bring a colleague: </w:t>
      </w:r>
      <w:r w:rsidRPr="50B3A8E8">
        <w:t>suggest they invite a teammate. People rarely flake on a commitment made with someone else.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Calendar hold: </w:t>
      </w:r>
      <w:r w:rsidRPr="50B3A8E8">
        <w:t>include an .ics file in the confirmation so it's on their calendar with the address.</w:t>
      </w:r>
    </w:p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Make it hard to skip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Exclusive, non-recorded content: </w:t>
      </w:r>
      <w:r w:rsidRPr="50B3A8E8">
        <w:t>if the workshop materials only go to attendees, say so plainly.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Honest scarcity: </w:t>
      </w:r>
      <w:r w:rsidRPr="50B3A8E8">
        <w:t>“We capped it at 40 so everyone gets hands-on time.”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Attendee preview: </w:t>
      </w:r>
      <w:r w:rsidRPr="50B3A8E8">
        <w:t>share which companies or roles are coming (with permission). Peer conversations are the biggest draw — make them visible.</w:t>
      </w:r>
    </w:p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Reduce friction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Logistics up front: </w:t>
      </w:r>
      <w:r w:rsidRPr="50B3A8E8">
        <w:t>parking, check-in, what to bring, and a clear start time — reuse the Section 4 prerequisites email.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Easy opt-out: </w:t>
      </w:r>
      <w:r w:rsidRPr="50B3A8E8">
        <w:t>offer a “can't make it” link so you can backfill from a waitlist and learn who's out early.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Plan for no-shows: </w:t>
      </w:r>
      <w:r w:rsidRPr="50B3A8E8">
        <w:t>overbook by roughly 20–30%, since in-person events typically see meaningful drop-off.</w:t>
      </w:r>
    </w:p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Day-of and after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Morning text to high-priority registrants: </w:t>
      </w:r>
      <w:r w:rsidRPr="50B3A8E8">
        <w:t>“Saved you a seat, see you at [time]?” from the host.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Timing: </w:t>
      </w:r>
      <w:r w:rsidRPr="50B3A8E8">
        <w:t>send the day-of email (template below) early enough that people can rearrange their day, but not so early it's buried.</w:t>
      </w:r>
    </w:p>
    <w:p w14:paraId="0C1DA385" w14:textId="77777777" w:rsidR="00155F7C" w:rsidRDefault="50B3A8E8">
      <w:pPr>
        <w:pStyle w:val="ListParagraph"/>
        <w:numPr>
          <w:ilvl w:val="0"/>
          <w:numId w:val="2"/>
        </w:numPr>
        <w:spacing w:after="60"/>
      </w:pPr>
      <w:r w:rsidRPr="50B3A8E8">
        <w:rPr>
          <w:b/>
          <w:bCs/>
          <w:color w:val="0792B5"/>
        </w:rPr>
        <w:t xml:space="preserve">Afterward: </w:t>
      </w:r>
      <w:r w:rsidRPr="50B3A8E8">
        <w:t>send no-shows a “sorry we missed you” note with a teaser of what they missed and an invite to the next one — it builds FOMO that improves attendance next time.</w:t>
      </w:r>
    </w:p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Suggested reminder cadence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4560"/>
      </w:tblGrid>
      <w:tr w:rsidR="00155F7C" w14:paraId="070B05EB" w14:textId="77777777" w:rsidTr="50B3A8E8">
        <w:trPr>
          <w:tblHeader/>
        </w:trPr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Touchpoint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Timing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shd w:val="clear" w:color="auto" w:fill="0D274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What's new in it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Confirmation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At registration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Calendar invite, logistics, what to bring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Reminder 1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 week out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Agenda and workshop preview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Reminder 2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2–3 days out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Pre-work ask, attendee preview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Personal outreach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1–2 days out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Text/LinkedIn to top registrants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Day-of email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Morning of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Template below</w:t>
            </w:r>
          </w:p>
        </w:tc>
      </w:tr>
      <w:tr w:rsidR="00155F7C" w14:paraId="6089A9DA" w14:textId="77777777" w:rsidTr="50B3A8E8">
        <w:tc>
          <w:tcPr>
            <w:tcW w:w="36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Follow-up</w:t>
            </w:r>
          </w:p>
        </w:tc>
        <w:tc>
          <w:tcPr>
            <w:tcW w:w="120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Next day</w:t>
            </w:r>
          </w:p>
        </w:tc>
        <w:tc>
          <w:tcPr>
            <w:tcW w:w="4560" w:type="dxa"/>
            <w:tcBorders>
              <w:top w:val="single" w:sz="2" w:space="0" w:color="E6E1D8"/>
              <w:left w:val="single" w:sz="2" w:space="0" w:color="E6E1D8"/>
              <w:bottom w:val="single" w:sz="2" w:space="0" w:color="E6E1D8"/>
              <w:right w:val="single" w:sz="2" w:space="0" w:color="E6E1D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Recap for attendees; teaser for no-shows</w:t>
            </w:r>
          </w:p>
        </w:tc>
      </w:tr>
    </w:tbl>
    <w:p w14:paraId="0E71DCE2" w14:textId="77777777" w:rsidR="00155F7C" w:rsidRDefault="00D94F37">
      <w:pPr>
        <w:spacing w:after="60"/>
      </w:pPr>
      <w:r>
        <w:rPr>
          <w:b/>
          <w:bCs/>
          <w:color w:val="0792B5"/>
        </w:rPr>
        <w:t>Day-of reminder email template</w:t>
      </w:r>
    </w:p>
    <w:tbl>
      <w:tblPr>
        <w:tblW w:w="9360" w:type="dxa"/>
        <w:tblBorders>
          <w:left w:val="single" w:sz="18" w:space="0" w:color="CC78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F7C" w14:paraId="3CA5712E" w14:textId="77777777" w:rsidTr="50B3A8E8">
        <w:tc>
          <w:tcPr>
            <w:tcW w:w="9360" w:type="dxa"/>
            <w:tcBorders>
              <w:left w:val="single" w:sz="18" w:space="0" w:color="CC785C"/>
            </w:tcBorders>
            <w:shd w:val="clear" w:color="auto" w:fill="F7F4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Subject: Today: bring a laptop and a real problem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/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Hi [First Name],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/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Today's the day, and I'm really looking forward to seeing you at AI Assurance — Partner MCP Day at [Venue].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/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Here's why I'd encourage you to be in the room rather than catching up afterward: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You'll build something, not just watch. The hands-on labs are the heart of the day — you'll work through the ThousandEyes and Meraki labs (plus Splunk and MCP tool-building, if running) with guidance from our SEs, and leave with a workflow you can use with your own customers next week.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The conversations are the real value. You'll be sitting with partner peers working through the same questions you are: how to bring AI into network operations, what's working, and what isn't. Past attendees say these conversations were the most useful part of the day.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Bring a laptop and a real problem. The more specific your challenge, the more you'll get out of both the workshop and the room.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/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The details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Where: [Venue + address]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When: Doors 8:30 | Workshop kicks off 9:00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Bring: Laptop with admin rights, charger, [login/prereq from the Section 4 email]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• Parking/check-in: [tip]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/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If something has come up, just reply and let me know. But if there's any way to make it, I'd love to see you there. Find me at [registration table] and I'll personally introduce you to a few people worth knowing.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/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See you this morning,</w:t>
            </w:r>
          </w:p>
          <w:p w14:paraId="69684137" w14:textId="77777777" w:rsidR="00155F7C" w:rsidRDefault="50B3A8E8">
            <w:pPr>
              <w:spacing w:after="100"/>
            </w:pPr>
            <w:r w:rsidRPr="50B3A8E8">
              <w:rPr>
                <w:b/>
                <w:bCs/>
                <w:color w:val="0D274D"/>
              </w:rPr>
              <w:t xml:space="preserve">[Host name]</w:t>
            </w:r>
          </w:p>
        </w:tc>
      </w:tr>
    </w:tbl>
    <w:tbl>
      <w:tblPr>
        <w:tblW w:w="9360" w:type="dxa"/>
        <w:tblBorders>
          <w:left w:val="single" w:sz="18" w:space="0" w:color="00BC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5F7C" w14:paraId="1A2E9D83" w14:textId="77777777">
        <w:tc>
          <w:tcPr>
            <w:tcW w:w="9360" w:type="dxa"/>
            <w:tcBorders>
              <w:left w:val="single" w:sz="18" w:space="0" w:color="00BCEB"/>
            </w:tcBorders>
            <w:shd w:val="clear" w:color="auto" w:fill="E6F7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C58E30" w14:textId="77777777" w:rsidR="00155F7C" w:rsidRDefault="00D94F37">
            <w:r>
              <w:rPr>
                <w:b/>
                <w:bCs/>
                <w:color w:val="0D274D"/>
              </w:rPr>
              <w:t xml:space="preserve">Rule of thumb: </w:t>
            </w:r>
            <w:r>
              <w:t>every attendee should leave with one concrete next step, and every partner org with one named opportunity or follow-up owned by an Account Manager.</w:t>
            </w:r>
          </w:p>
        </w:tc>
      </w:tr>
    </w:tbl>
    <w:p w14:paraId="1DE83007" w14:textId="77777777" w:rsidR="00D94F37" w:rsidRDefault="00D94F37"/>
    <w:sectPr w:rsidR="00D94F37">
      <w:footerReference w:type="even" r:id="rId10"/>
      <w:footerReference w:type="default" r:id="rId11"/>
      <w:footerReference w:type="firs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1AE2" w14:textId="77777777" w:rsidR="001E4C7B" w:rsidRDefault="001E4C7B" w:rsidP="0043607E">
      <w:r>
        <w:separator/>
      </w:r>
    </w:p>
  </w:endnote>
  <w:endnote w:type="continuationSeparator" w:id="0">
    <w:p w14:paraId="09C08CAB" w14:textId="77777777" w:rsidR="001E4C7B" w:rsidRDefault="001E4C7B" w:rsidP="00436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8BBD" w14:textId="05837561" w:rsidR="0043607E" w:rsidRDefault="001F2D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3AD000" wp14:editId="2E4A479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185189148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989E0" w14:textId="6D1B59A6" w:rsidR="001F2D19" w:rsidRPr="001F2D19" w:rsidRDefault="001F2D19" w:rsidP="001F2D1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F2D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AD0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6.3pt;margin-top:0;width:87.5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" filled="f" stroked="f">
              <v:fill o:detectmouseclick="t"/>
              <v:textbox style="mso-fit-shape-to-text:t" inset="0,0,20pt,15pt">
                <w:txbxContent>
                  <w:p w14:paraId="72A989E0" w14:textId="6D1B59A6" w:rsidR="001F2D19" w:rsidRPr="001F2D19" w:rsidRDefault="001F2D19" w:rsidP="001F2D1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F2D1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EA69" w14:textId="54E9C0AB" w:rsidR="0043607E" w:rsidRDefault="001F2D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9144AD" wp14:editId="2E04718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135356489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84D362" w14:textId="31AE5A67" w:rsidR="001F2D19" w:rsidRPr="001F2D19" w:rsidRDefault="001F2D19" w:rsidP="001F2D1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F2D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144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6.3pt;margin-top:0;width:87.5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B84D362" w14:textId="31AE5A67" w:rsidR="001F2D19" w:rsidRPr="001F2D19" w:rsidRDefault="001F2D19" w:rsidP="001F2D1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F2D1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328F" w14:textId="5D12EA7A" w:rsidR="0043607E" w:rsidRDefault="001F2D1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BA3F0F" wp14:editId="3911FC2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14325"/>
              <wp:effectExtent l="0" t="0" r="0" b="0"/>
              <wp:wrapNone/>
              <wp:docPr id="160732699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2B4D1" w14:textId="3CDF7132" w:rsidR="001F2D19" w:rsidRPr="001F2D19" w:rsidRDefault="001F2D19" w:rsidP="001F2D1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F2D1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A3F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6.3pt;margin-top:0;width:87.5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0202B4D1" w14:textId="3CDF7132" w:rsidR="001F2D19" w:rsidRPr="001F2D19" w:rsidRDefault="001F2D19" w:rsidP="001F2D1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F2D1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DED5C" w14:textId="77777777" w:rsidR="001E4C7B" w:rsidRDefault="001E4C7B" w:rsidP="0043607E">
      <w:r>
        <w:separator/>
      </w:r>
    </w:p>
  </w:footnote>
  <w:footnote w:type="continuationSeparator" w:id="0">
    <w:p w14:paraId="2DE12D3E" w14:textId="77777777" w:rsidR="001E4C7B" w:rsidRDefault="001E4C7B" w:rsidP="00436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9833"/>
    <w:multiLevelType w:val="hybridMultilevel"/>
    <w:tmpl w:val="FFFFFFFF"/>
    <w:lvl w:ilvl="0" w:tplc="5F06CA3E">
      <w:start w:val="1"/>
      <w:numFmt w:val="bullet"/>
      <w:lvlText w:val="●"/>
      <w:lvlJc w:val="left"/>
      <w:pPr>
        <w:ind w:left="720" w:hanging="360"/>
      </w:pPr>
    </w:lvl>
    <w:lvl w:ilvl="1" w:tplc="57908A8A">
      <w:start w:val="1"/>
      <w:numFmt w:val="bullet"/>
      <w:lvlText w:val="○"/>
      <w:lvlJc w:val="left"/>
      <w:pPr>
        <w:ind w:left="1440" w:hanging="360"/>
      </w:pPr>
    </w:lvl>
    <w:lvl w:ilvl="2" w:tplc="75D6FC6E">
      <w:start w:val="1"/>
      <w:numFmt w:val="bullet"/>
      <w:lvlText w:val="■"/>
      <w:lvlJc w:val="left"/>
      <w:pPr>
        <w:ind w:left="2160" w:hanging="360"/>
      </w:pPr>
    </w:lvl>
    <w:lvl w:ilvl="3" w:tplc="C31A48B2">
      <w:start w:val="1"/>
      <w:numFmt w:val="bullet"/>
      <w:lvlText w:val="●"/>
      <w:lvlJc w:val="left"/>
      <w:pPr>
        <w:ind w:left="2880" w:hanging="360"/>
      </w:pPr>
    </w:lvl>
    <w:lvl w:ilvl="4" w:tplc="36EC83DA">
      <w:start w:val="1"/>
      <w:numFmt w:val="bullet"/>
      <w:lvlText w:val="○"/>
      <w:lvlJc w:val="left"/>
      <w:pPr>
        <w:ind w:left="3600" w:hanging="360"/>
      </w:pPr>
    </w:lvl>
    <w:lvl w:ilvl="5" w:tplc="CA2C7E80">
      <w:start w:val="1"/>
      <w:numFmt w:val="bullet"/>
      <w:lvlText w:val="■"/>
      <w:lvlJc w:val="left"/>
      <w:pPr>
        <w:ind w:left="4320" w:hanging="360"/>
      </w:pPr>
    </w:lvl>
    <w:lvl w:ilvl="6" w:tplc="676E645E">
      <w:start w:val="1"/>
      <w:numFmt w:val="bullet"/>
      <w:lvlText w:val="●"/>
      <w:lvlJc w:val="left"/>
      <w:pPr>
        <w:ind w:left="5040" w:hanging="360"/>
      </w:pPr>
    </w:lvl>
    <w:lvl w:ilvl="7" w:tplc="C93A74DC">
      <w:start w:val="1"/>
      <w:numFmt w:val="bullet"/>
      <w:lvlText w:val="●"/>
      <w:lvlJc w:val="left"/>
      <w:pPr>
        <w:ind w:left="5760" w:hanging="360"/>
      </w:pPr>
    </w:lvl>
    <w:lvl w:ilvl="8" w:tplc="7D9062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00379B"/>
    <w:multiLevelType w:val="hybridMultilevel"/>
    <w:tmpl w:val="FFFFFFFF"/>
    <w:lvl w:ilvl="0" w:tplc="9C363418">
      <w:start w:val="1"/>
      <w:numFmt w:val="bullet"/>
      <w:lvlText w:val="•"/>
      <w:lvlJc w:val="left"/>
      <w:pPr>
        <w:ind w:left="480" w:hanging="260"/>
      </w:pPr>
      <w:rPr>
        <w:color w:val="CC785C"/>
      </w:rPr>
    </w:lvl>
    <w:lvl w:ilvl="1" w:tplc="E922407A">
      <w:numFmt w:val="decimal"/>
      <w:lvlText w:val=""/>
      <w:lvlJc w:val="left"/>
    </w:lvl>
    <w:lvl w:ilvl="2" w:tplc="EF2E81C0">
      <w:numFmt w:val="decimal"/>
      <w:lvlText w:val=""/>
      <w:lvlJc w:val="left"/>
    </w:lvl>
    <w:lvl w:ilvl="3" w:tplc="19EA9B96">
      <w:numFmt w:val="decimal"/>
      <w:lvlText w:val=""/>
      <w:lvlJc w:val="left"/>
    </w:lvl>
    <w:lvl w:ilvl="4" w:tplc="53AA078C">
      <w:numFmt w:val="decimal"/>
      <w:lvlText w:val=""/>
      <w:lvlJc w:val="left"/>
    </w:lvl>
    <w:lvl w:ilvl="5" w:tplc="FBC8B5EC">
      <w:numFmt w:val="decimal"/>
      <w:lvlText w:val=""/>
      <w:lvlJc w:val="left"/>
    </w:lvl>
    <w:lvl w:ilvl="6" w:tplc="C5E45894">
      <w:numFmt w:val="decimal"/>
      <w:lvlText w:val=""/>
      <w:lvlJc w:val="left"/>
    </w:lvl>
    <w:lvl w:ilvl="7" w:tplc="7C82EF46">
      <w:numFmt w:val="decimal"/>
      <w:lvlText w:val=""/>
      <w:lvlJc w:val="left"/>
    </w:lvl>
    <w:lvl w:ilvl="8" w:tplc="D59C3E6A">
      <w:numFmt w:val="decimal"/>
      <w:lvlText w:val=""/>
      <w:lvlJc w:val="left"/>
    </w:lvl>
  </w:abstractNum>
  <w:num w:numId="1" w16cid:durableId="1951890989">
    <w:abstractNumId w:val="0"/>
    <w:lvlOverride w:ilvl="0">
      <w:startOverride w:val="1"/>
    </w:lvlOverride>
  </w:num>
  <w:num w:numId="2" w16cid:durableId="14968424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B3A8E8"/>
    <w:rsid w:val="00155F7C"/>
    <w:rsid w:val="00175892"/>
    <w:rsid w:val="001E4C7B"/>
    <w:rsid w:val="001F2D19"/>
    <w:rsid w:val="002658CB"/>
    <w:rsid w:val="0043607E"/>
    <w:rsid w:val="00D94F37"/>
    <w:rsid w:val="3BC24EC2"/>
    <w:rsid w:val="50B3A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AE9EB"/>
  <w15:docId w15:val="{FA3173DD-8D66-4250-89FF-8FA8C1E9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61D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36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EE7A82EFF80459FB78B2AEF2047B1" ma:contentTypeVersion="20" ma:contentTypeDescription="Create a new document." ma:contentTypeScope="" ma:versionID="8c73bcd14e6fe787c9f8c7d18f27847b">
  <xsd:schema xmlns:xsd="http://www.w3.org/2001/XMLSchema" xmlns:xs="http://www.w3.org/2001/XMLSchema" xmlns:p="http://schemas.microsoft.com/office/2006/metadata/properties" xmlns:ns2="3459a699-b481-47ad-860f-07b21d901613" xmlns:ns3="1f7b5849-d0a0-44d9-9a32-3b8a1a75f360" targetNamespace="http://schemas.microsoft.com/office/2006/metadata/properties" ma:root="true" ma:fieldsID="5077c1de267fe35f3bd25942216fb10c" ns2:_="" ns3:_="">
    <xsd:import namespace="3459a699-b481-47ad-860f-07b21d901613"/>
    <xsd:import namespace="1f7b5849-d0a0-44d9-9a32-3b8a1a75f3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9a699-b481-47ad-860f-07b21d901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b5849-d0a0-44d9-9a32-3b8a1a75f3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43127e-b2c5-4db8-bbf2-6d1bb59d1a49}" ma:internalName="TaxCatchAll" ma:showField="CatchAllData" ma:web="1f7b5849-d0a0-44d9-9a32-3b8a1a75f3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59a699-b481-47ad-860f-07b21d901613">
      <Terms xmlns="http://schemas.microsoft.com/office/infopath/2007/PartnerControls"/>
    </lcf76f155ced4ddcb4097134ff3c332f>
    <TaxCatchAll xmlns="1f7b5849-d0a0-44d9-9a32-3b8a1a75f360" xsi:nil="true"/>
  </documentManagement>
</p:properties>
</file>

<file path=customXml/itemProps1.xml><?xml version="1.0" encoding="utf-8"?>
<ds:datastoreItem xmlns:ds="http://schemas.openxmlformats.org/officeDocument/2006/customXml" ds:itemID="{11F2E7CB-F6A8-4C26-BA6C-C4ECB3554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59a699-b481-47ad-860f-07b21d901613"/>
    <ds:schemaRef ds:uri="1f7b5849-d0a0-44d9-9a32-3b8a1a75f3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FBBD6F-8C3F-4F48-9568-779C798658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8B8A09-3426-42AC-A108-BED51283EBED}">
  <ds:schemaRefs>
    <ds:schemaRef ds:uri="http://schemas.microsoft.com/office/2006/metadata/properties"/>
    <ds:schemaRef ds:uri="http://schemas.microsoft.com/office/infopath/2007/PartnerControls"/>
    <ds:schemaRef ds:uri="3459a699-b481-47ad-860f-07b21d901613"/>
    <ds:schemaRef ds:uri="1f7b5849-d0a0-44d9-9a32-3b8a1a75f360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Eddy (sceddy)</cp:lastModifiedBy>
  <cp:revision>3</cp:revision>
  <dcterms:created xsi:type="dcterms:W3CDTF">2026-06-12T16:17:00Z</dcterms:created>
  <dcterms:modified xsi:type="dcterms:W3CDTF">2026-06-12T16:17:00Z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0x01010093BEE7A82EFF80459FB78B2AEF2047B1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5fcddd15,6e619f20,50adc2e1</vt:lpwstr>
  </property>
  <property fmtid="{D5CDD505-2E9C-101B-9397-08002B2CF9AE}" pid="5" name="ClassificationContentMarkingFooterFontProps">
    <vt:lpwstr>#000000,8,Aptos</vt:lpwstr>
  </property>
  <property fmtid="{D5CDD505-2E9C-101B-9397-08002B2CF9AE}" pid="6" name="ClassificationContentMarkingFooterText">
    <vt:lpwstr>Cisco Confidential</vt:lpwstr>
  </property>
</Properties>
</file>