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rFonts w:ascii="Arial" w:cs="Arial" w:eastAsia="Arial" w:hAnsi="Arial"/>
          <w:b/>
          <w:bCs/>
          <w:color w:val="C3094A"/>
          <w:sz w:val="18"/>
          <w:szCs w:val="18"/>
        </w:rPr>
        <w:t xml:space="preserve">SPEECH DE SUSTENTACIÓN · 18 MINUTOS</w:t>
      </w:r>
    </w:p>
    <w:p>
      <w:pPr>
        <w:spacing w:after="120" w:before="0" w:line="320"/>
      </w:pPr>
      <w:r>
        <w:rPr>
          <w:rFonts w:ascii="Arial" w:cs="Arial" w:eastAsia="Arial" w:hAnsi="Arial"/>
          <w:b/>
          <w:bCs/>
          <w:color w:val="042354"/>
          <w:sz w:val="32"/>
          <w:szCs w:val="32"/>
        </w:rPr>
        <w:t xml:space="preserve">Recuperación de los indicadores de mantenimiento de la flota 980E-5 de acarreo minero debido a la falla del eje palier del sistema de propulsión</w:t>
      </w:r>
    </w:p>
    <w:p>
      <w:pPr>
        <w:spacing w:after="280" w:before="0" w:line="300"/>
      </w:pPr>
      <w:r>
        <w:rPr>
          <w:rFonts w:ascii="Arial" w:cs="Arial" w:eastAsia="Arial" w:hAnsi="Arial"/>
          <w:color w:val="7A8494"/>
          <w:sz w:val="19"/>
          <w:szCs w:val="19"/>
        </w:rPr>
        <w:t xml:space="preserve">Samir Aldair Cedillo Preciado · Asesor: Ing. Carlos Alberto Juárez Aparcana · Lima, setiembre de 2026</w:t>
      </w:r>
    </w:p>
    <w:p>
      <w:pPr>
        <w:pStyle w:val="Heading1"/>
        <w:keepNext/>
        <w:spacing w:after="140" w:before="0"/>
      </w:pPr>
      <w:r>
        <w:rPr>
          <w:rFonts w:ascii="Arial" w:cs="Arial" w:eastAsia="Arial" w:hAnsi="Arial"/>
          <w:b/>
          <w:bCs/>
          <w:color w:val="042354"/>
          <w:sz w:val="26"/>
          <w:szCs w:val="26"/>
        </w:rPr>
        <w:t xml:space="preserve">Cómo usarlo</w:t>
      </w:r>
    </w:p>
    <w:p>
      <w:pPr>
        <w:pStyle w:val="ListParagraph"/>
        <w:numPr>
          <w:ilvl w:val="0"/>
          <w:numId w:val="2"/>
        </w:numPr>
        <w:spacing w:after="80" w:line="290"/>
      </w:pPr>
      <w:r>
        <w:rPr>
          <w:rFonts w:ascii="Arial" w:cs="Arial" w:eastAsia="Arial" w:hAnsi="Arial"/>
          <w:color w:val="191919"/>
          <w:sz w:val="21"/>
          <w:szCs w:val="21"/>
        </w:rPr>
        <w:t xml:space="preserve">Texto calculado a un ritmo de </w:t>
      </w:r>
      <w:r>
        <w:rPr>
          <w:rFonts w:ascii="Arial" w:cs="Arial" w:eastAsia="Arial" w:hAnsi="Arial"/>
          <w:b/>
          <w:bCs/>
          <w:color w:val="042354"/>
          <w:sz w:val="21"/>
          <w:szCs w:val="21"/>
        </w:rPr>
        <w:t xml:space="preserve">130 palabras por minuto</w:t>
      </w:r>
      <w:r>
        <w:rPr>
          <w:rFonts w:ascii="Arial" w:cs="Arial" w:eastAsia="Arial" w:hAnsi="Arial"/>
          <w:color w:val="191919"/>
          <w:sz w:val="21"/>
          <w:szCs w:val="21"/>
        </w:rPr>
        <w:t xml:space="preserve"> más 3 s por cambio de lámina: </w:t>
      </w:r>
      <w:r>
        <w:rPr>
          <w:rFonts w:ascii="Arial" w:cs="Arial" w:eastAsia="Arial" w:hAnsi="Arial"/>
          <w:b/>
          <w:bCs/>
          <w:color w:val="042354"/>
          <w:sz w:val="21"/>
          <w:szCs w:val="21"/>
        </w:rPr>
        <w:t xml:space="preserve">2175 palabras, 17:45 min</w:t>
      </w:r>
      <w:r>
        <w:rPr>
          <w:rFonts w:ascii="Arial" w:cs="Arial" w:eastAsia="Arial" w:hAnsi="Arial"/>
          <w:color w:val="191919"/>
          <w:sz w:val="21"/>
          <w:szCs w:val="21"/>
        </w:rPr>
        <w:t xml:space="preserve">. Deja el resto como margen para pausas y el clic de cada lámina.</w:t>
      </w:r>
    </w:p>
    <w:p>
      <w:pPr>
        <w:pStyle w:val="ListParagraph"/>
        <w:numPr>
          <w:ilvl w:val="0"/>
          <w:numId w:val="2"/>
        </w:numPr>
        <w:spacing w:after="80" w:line="290"/>
      </w:pPr>
      <w:r>
        <w:rPr>
          <w:rFonts w:ascii="Arial" w:cs="Arial" w:eastAsia="Arial" w:hAnsi="Arial"/>
          <w:color w:val="191919"/>
          <w:sz w:val="21"/>
          <w:szCs w:val="21"/>
        </w:rPr>
        <w:t xml:space="preserve">Las frases en </w:t>
      </w:r>
      <w:r>
        <w:rPr>
          <w:rFonts w:ascii="Arial" w:cs="Arial" w:eastAsia="Arial" w:hAnsi="Arial"/>
          <w:b/>
          <w:bCs/>
          <w:color w:val="042354"/>
          <w:sz w:val="21"/>
          <w:szCs w:val="21"/>
        </w:rPr>
        <w:t xml:space="preserve">negrita</w:t>
      </w:r>
      <w:r>
        <w:rPr>
          <w:rFonts w:ascii="Arial" w:cs="Arial" w:eastAsia="Arial" w:hAnsi="Arial"/>
          <w:color w:val="191919"/>
          <w:sz w:val="21"/>
          <w:szCs w:val="21"/>
        </w:rPr>
        <w:t xml:space="preserve"> son las marcas de etapa, pregunta y paso del ACR que pidió el asesor: dilas siempre, aunque recortes lo demás.</w:t>
      </w:r>
    </w:p>
    <w:p>
      <w:pPr>
        <w:pStyle w:val="ListParagraph"/>
        <w:numPr>
          <w:ilvl w:val="0"/>
          <w:numId w:val="2"/>
        </w:numPr>
        <w:spacing w:after="80" w:line="290"/>
      </w:pPr>
      <w:r>
        <w:rPr>
          <w:rFonts w:ascii="Arial" w:cs="Arial" w:eastAsia="Arial" w:hAnsi="Arial"/>
          <w:color w:val="191919"/>
          <w:sz w:val="21"/>
          <w:szCs w:val="21"/>
        </w:rPr>
        <w:t xml:space="preserve">No leas las cifras de la lámina una por una: di la cifra que sostiene el mensaje y señálala.</w:t>
      </w:r>
    </w:p>
    <w:p>
      <w:pPr>
        <w:pStyle w:val="ListParagraph"/>
        <w:numPr>
          <w:ilvl w:val="0"/>
          <w:numId w:val="2"/>
        </w:numPr>
        <w:spacing w:after="80" w:line="290"/>
      </w:pPr>
      <w:r>
        <w:rPr>
          <w:rFonts w:ascii="Arial" w:cs="Arial" w:eastAsia="Arial" w:hAnsi="Arial"/>
          <w:color w:val="191919"/>
          <w:sz w:val="21"/>
          <w:szCs w:val="21"/>
        </w:rPr>
        <w:t xml:space="preserve">El mismo texto está en las notas de cada diapositiva de la PPT (vista del presentador), seguido del apoyo para preguntas del jurado.</w:t>
      </w:r>
    </w:p>
    <w:p>
      <w:pPr>
        <w:pStyle w:val="Heading1"/>
        <w:keepNext/>
        <w:spacing w:after="140" w:before="360"/>
      </w:pPr>
      <w:r>
        <w:rPr>
          <w:rFonts w:ascii="Arial" w:cs="Arial" w:eastAsia="Arial" w:hAnsi="Arial"/>
          <w:b/>
          <w:bCs/>
          <w:color w:val="042354"/>
          <w:sz w:val="26"/>
          <w:szCs w:val="26"/>
        </w:rPr>
        <w:t xml:space="preserve">Puntos de control</w:t>
      </w:r>
    </w:p>
    <w:p>
      <w:pPr>
        <w:pStyle w:val="ListParagraph"/>
        <w:numPr>
          <w:ilvl w:val="0"/>
          <w:numId w:val="2"/>
        </w:numPr>
        <w:spacing w:after="80" w:line="290"/>
      </w:pPr>
      <w:r>
        <w:rPr>
          <w:rFonts w:ascii="Arial" w:cs="Arial" w:eastAsia="Arial" w:hAnsi="Arial"/>
          <w:color w:val="191919"/>
          <w:sz w:val="21"/>
          <w:szCs w:val="21"/>
        </w:rPr>
        <w:t xml:space="preserve">Al entrar a la </w:t>
      </w:r>
      <w:r>
        <w:rPr>
          <w:rFonts w:ascii="Arial" w:cs="Arial" w:eastAsia="Arial" w:hAnsi="Arial"/>
          <w:b/>
          <w:bCs/>
          <w:color w:val="042354"/>
          <w:sz w:val="21"/>
          <w:szCs w:val="21"/>
        </w:rPr>
        <w:t xml:space="preserve">diap. 8</w:t>
      </w:r>
      <w:r>
        <w:rPr>
          <w:rFonts w:ascii="Arial" w:cs="Arial" w:eastAsia="Arial" w:hAnsi="Arial"/>
          <w:color w:val="191919"/>
          <w:sz w:val="21"/>
          <w:szCs w:val="21"/>
        </w:rPr>
        <w:t xml:space="preserve"> (causa física): </w:t>
      </w:r>
      <w:r>
        <w:rPr>
          <w:rFonts w:ascii="Arial" w:cs="Arial" w:eastAsia="Arial" w:hAnsi="Arial"/>
          <w:b/>
          <w:bCs/>
          <w:color w:val="042354"/>
          <w:sz w:val="21"/>
          <w:szCs w:val="21"/>
        </w:rPr>
        <w:t xml:space="preserve">5:20</w:t>
      </w:r>
      <w:r>
        <w:rPr>
          <w:rFonts w:ascii="Arial" w:cs="Arial" w:eastAsia="Arial" w:hAnsi="Arial"/>
          <w:color w:val="191919"/>
          <w:sz w:val="21"/>
          <w:szCs w:val="21"/>
        </w:rPr>
        <w:t xml:space="preserve">.</w:t>
      </w:r>
    </w:p>
    <w:p>
      <w:pPr>
        <w:pStyle w:val="ListParagraph"/>
        <w:numPr>
          <w:ilvl w:val="0"/>
          <w:numId w:val="2"/>
        </w:numPr>
        <w:spacing w:after="80" w:line="290"/>
      </w:pPr>
      <w:r>
        <w:rPr>
          <w:rFonts w:ascii="Arial" w:cs="Arial" w:eastAsia="Arial" w:hAnsi="Arial"/>
          <w:color w:val="191919"/>
          <w:sz w:val="21"/>
          <w:szCs w:val="21"/>
        </w:rPr>
        <w:t xml:space="preserve">Al entrar a la </w:t>
      </w:r>
      <w:r>
        <w:rPr>
          <w:rFonts w:ascii="Arial" w:cs="Arial" w:eastAsia="Arial" w:hAnsi="Arial"/>
          <w:b/>
          <w:bCs/>
          <w:color w:val="042354"/>
          <w:sz w:val="21"/>
          <w:szCs w:val="21"/>
        </w:rPr>
        <w:t xml:space="preserve">diap. 11</w:t>
      </w:r>
      <w:r>
        <w:rPr>
          <w:rFonts w:ascii="Arial" w:cs="Arial" w:eastAsia="Arial" w:hAnsi="Arial"/>
          <w:color w:val="191919"/>
          <w:sz w:val="21"/>
          <w:szCs w:val="21"/>
        </w:rPr>
        <w:t xml:space="preserve"> (análisis de causa raíz): </w:t>
      </w:r>
      <w:r>
        <w:rPr>
          <w:rFonts w:ascii="Arial" w:cs="Arial" w:eastAsia="Arial" w:hAnsi="Arial"/>
          <w:b/>
          <w:bCs/>
          <w:color w:val="042354"/>
          <w:sz w:val="21"/>
          <w:szCs w:val="21"/>
        </w:rPr>
        <w:t xml:space="preserve">7:30</w:t>
      </w:r>
      <w:r>
        <w:rPr>
          <w:rFonts w:ascii="Arial" w:cs="Arial" w:eastAsia="Arial" w:hAnsi="Arial"/>
          <w:color w:val="191919"/>
          <w:sz w:val="21"/>
          <w:szCs w:val="21"/>
        </w:rPr>
        <w:t xml:space="preserve">.</w:t>
      </w:r>
    </w:p>
    <w:p>
      <w:pPr>
        <w:pStyle w:val="ListParagraph"/>
        <w:numPr>
          <w:ilvl w:val="0"/>
          <w:numId w:val="2"/>
        </w:numPr>
        <w:spacing w:after="80" w:line="290"/>
      </w:pPr>
      <w:r>
        <w:rPr>
          <w:rFonts w:ascii="Arial" w:cs="Arial" w:eastAsia="Arial" w:hAnsi="Arial"/>
          <w:color w:val="191919"/>
          <w:sz w:val="21"/>
          <w:szCs w:val="21"/>
        </w:rPr>
        <w:t xml:space="preserve">Al entrar a la </w:t>
      </w:r>
      <w:r>
        <w:rPr>
          <w:rFonts w:ascii="Arial" w:cs="Arial" w:eastAsia="Arial" w:hAnsi="Arial"/>
          <w:b/>
          <w:bCs/>
          <w:color w:val="042354"/>
          <w:sz w:val="21"/>
          <w:szCs w:val="21"/>
        </w:rPr>
        <w:t xml:space="preserve">diap. 15</w:t>
      </w:r>
      <w:r>
        <w:rPr>
          <w:rFonts w:ascii="Arial" w:cs="Arial" w:eastAsia="Arial" w:hAnsi="Arial"/>
          <w:color w:val="191919"/>
          <w:sz w:val="21"/>
          <w:szCs w:val="21"/>
        </w:rPr>
        <w:t xml:space="preserve"> (decisión de rediseño): </w:t>
      </w:r>
      <w:r>
        <w:rPr>
          <w:rFonts w:ascii="Arial" w:cs="Arial" w:eastAsia="Arial" w:hAnsi="Arial"/>
          <w:b/>
          <w:bCs/>
          <w:color w:val="042354"/>
          <w:sz w:val="21"/>
          <w:szCs w:val="21"/>
        </w:rPr>
        <w:t xml:space="preserve">10:30</w:t>
      </w:r>
      <w:r>
        <w:rPr>
          <w:rFonts w:ascii="Arial" w:cs="Arial" w:eastAsia="Arial" w:hAnsi="Arial"/>
          <w:color w:val="191919"/>
          <w:sz w:val="21"/>
          <w:szCs w:val="21"/>
        </w:rPr>
        <w:t xml:space="preserve">.</w:t>
      </w:r>
    </w:p>
    <w:p>
      <w:pPr>
        <w:pStyle w:val="ListParagraph"/>
        <w:numPr>
          <w:ilvl w:val="0"/>
          <w:numId w:val="2"/>
        </w:numPr>
        <w:spacing w:after="80" w:line="290"/>
      </w:pPr>
      <w:r>
        <w:rPr>
          <w:rFonts w:ascii="Arial" w:cs="Arial" w:eastAsia="Arial" w:hAnsi="Arial"/>
          <w:color w:val="191919"/>
          <w:sz w:val="21"/>
          <w:szCs w:val="21"/>
        </w:rPr>
        <w:t xml:space="preserve">Al entrar a la </w:t>
      </w:r>
      <w:r>
        <w:rPr>
          <w:rFonts w:ascii="Arial" w:cs="Arial" w:eastAsia="Arial" w:hAnsi="Arial"/>
          <w:b/>
          <w:bCs/>
          <w:color w:val="042354"/>
          <w:sz w:val="21"/>
          <w:szCs w:val="21"/>
        </w:rPr>
        <w:t xml:space="preserve">diap. 18</w:t>
      </w:r>
      <w:r>
        <w:rPr>
          <w:rFonts w:ascii="Arial" w:cs="Arial" w:eastAsia="Arial" w:hAnsi="Arial"/>
          <w:color w:val="191919"/>
          <w:sz w:val="21"/>
          <w:szCs w:val="21"/>
        </w:rPr>
        <w:t xml:space="preserve"> (recuperación de indicadores): </w:t>
      </w:r>
      <w:r>
        <w:rPr>
          <w:rFonts w:ascii="Arial" w:cs="Arial" w:eastAsia="Arial" w:hAnsi="Arial"/>
          <w:b/>
          <w:bCs/>
          <w:color w:val="042354"/>
          <w:sz w:val="21"/>
          <w:szCs w:val="21"/>
        </w:rPr>
        <w:t xml:space="preserve">13:05</w:t>
      </w:r>
      <w:r>
        <w:rPr>
          <w:rFonts w:ascii="Arial" w:cs="Arial" w:eastAsia="Arial" w:hAnsi="Arial"/>
          <w:color w:val="191919"/>
          <w:sz w:val="21"/>
          <w:szCs w:val="21"/>
        </w:rPr>
        <w:t xml:space="preserve">.</w:t>
      </w:r>
    </w:p>
    <w:p>
      <w:pPr>
        <w:pStyle w:val="ListParagraph"/>
        <w:numPr>
          <w:ilvl w:val="0"/>
          <w:numId w:val="2"/>
        </w:numPr>
        <w:spacing w:after="80" w:line="290"/>
      </w:pPr>
      <w:r>
        <w:rPr>
          <w:rFonts w:ascii="Arial" w:cs="Arial" w:eastAsia="Arial" w:hAnsi="Arial"/>
          <w:color w:val="191919"/>
          <w:sz w:val="21"/>
          <w:szCs w:val="21"/>
        </w:rPr>
        <w:t xml:space="preserve">Al entrar a la </w:t>
      </w:r>
      <w:r>
        <w:rPr>
          <w:rFonts w:ascii="Arial" w:cs="Arial" w:eastAsia="Arial" w:hAnsi="Arial"/>
          <w:b/>
          <w:bCs/>
          <w:color w:val="042354"/>
          <w:sz w:val="21"/>
          <w:szCs w:val="21"/>
        </w:rPr>
        <w:t xml:space="preserve">diap. 21</w:t>
      </w:r>
      <w:r>
        <w:rPr>
          <w:rFonts w:ascii="Arial" w:cs="Arial" w:eastAsia="Arial" w:hAnsi="Arial"/>
          <w:color w:val="191919"/>
          <w:sz w:val="21"/>
          <w:szCs w:val="21"/>
        </w:rPr>
        <w:t xml:space="preserve"> (conclusiones): </w:t>
      </w:r>
      <w:r>
        <w:rPr>
          <w:rFonts w:ascii="Arial" w:cs="Arial" w:eastAsia="Arial" w:hAnsi="Arial"/>
          <w:b/>
          <w:bCs/>
          <w:color w:val="042354"/>
          <w:sz w:val="21"/>
          <w:szCs w:val="21"/>
        </w:rPr>
        <w:t xml:space="preserve">16:00</w:t>
      </w:r>
      <w:r>
        <w:rPr>
          <w:rFonts w:ascii="Arial" w:cs="Arial" w:eastAsia="Arial" w:hAnsi="Arial"/>
          <w:color w:val="191919"/>
          <w:sz w:val="21"/>
          <w:szCs w:val="21"/>
        </w:rPr>
        <w:t xml:space="preserve">.</w:t>
      </w:r>
    </w:p>
    <w:p>
      <w:pPr>
        <w:pStyle w:val="Heading1"/>
        <w:keepNext/>
        <w:spacing w:after="140" w:before="360"/>
      </w:pPr>
      <w:r>
        <w:rPr>
          <w:rFonts w:ascii="Arial" w:cs="Arial" w:eastAsia="Arial" w:hAnsi="Arial"/>
          <w:b/>
          <w:bCs/>
          <w:color w:val="042354"/>
          <w:sz w:val="26"/>
          <w:szCs w:val="26"/>
        </w:rPr>
        <w:t xml:space="preserve">Si vas atrasado, recorta aquí</w:t>
      </w:r>
    </w:p>
    <w:p>
      <w:pPr>
        <w:pStyle w:val="ListParagraph"/>
        <w:numPr>
          <w:ilvl w:val="0"/>
          <w:numId w:val="2"/>
        </w:numPr>
        <w:spacing w:after="80" w:line="290"/>
      </w:pPr>
      <w:r>
        <w:rPr>
          <w:rFonts w:ascii="Arial" w:cs="Arial" w:eastAsia="Arial" w:hAnsi="Arial"/>
          <w:b/>
          <w:bCs/>
          <w:color w:val="042354"/>
          <w:sz w:val="21"/>
          <w:szCs w:val="21"/>
        </w:rPr>
        <w:t xml:space="preserve">Diap. 12 y 13:</w:t>
      </w:r>
      <w:r>
        <w:rPr>
          <w:rFonts w:ascii="Arial" w:cs="Arial" w:eastAsia="Arial" w:hAnsi="Arial"/>
          <w:color w:val="191919"/>
          <w:sz w:val="21"/>
          <w:szCs w:val="21"/>
        </w:rPr>
        <w:t xml:space="preserve"> una frase cada una: «la fractura aparece en toda la flota, no en las unidades más exigidas» y «el eje nuevo volvió a fallar en el mismo lugar».</w:t>
      </w:r>
    </w:p>
    <w:p>
      <w:pPr>
        <w:pStyle w:val="ListParagraph"/>
        <w:numPr>
          <w:ilvl w:val="0"/>
          <w:numId w:val="2"/>
        </w:numPr>
        <w:spacing w:after="80" w:line="290"/>
      </w:pPr>
      <w:r>
        <w:rPr>
          <w:rFonts w:ascii="Arial" w:cs="Arial" w:eastAsia="Arial" w:hAnsi="Arial"/>
          <w:b/>
          <w:bCs/>
          <w:color w:val="042354"/>
          <w:sz w:val="21"/>
          <w:szCs w:val="21"/>
        </w:rPr>
        <w:t xml:space="preserve">Diap. 15:</w:t>
      </w:r>
      <w:r>
        <w:rPr>
          <w:rFonts w:ascii="Arial" w:cs="Arial" w:eastAsia="Arial" w:hAnsi="Arial"/>
          <w:color w:val="191919"/>
          <w:sz w:val="21"/>
          <w:szCs w:val="21"/>
        </w:rPr>
        <w:t xml:space="preserve"> solo la clasificación de la consecuencia.</w:t>
      </w:r>
    </w:p>
    <w:p>
      <w:pPr>
        <w:pStyle w:val="ListParagraph"/>
        <w:numPr>
          <w:ilvl w:val="0"/>
          <w:numId w:val="2"/>
        </w:numPr>
        <w:spacing w:after="80" w:line="290"/>
      </w:pPr>
      <w:r>
        <w:rPr>
          <w:rFonts w:ascii="Arial" w:cs="Arial" w:eastAsia="Arial" w:hAnsi="Arial"/>
          <w:b/>
          <w:bCs/>
          <w:color w:val="042354"/>
          <w:sz w:val="21"/>
          <w:szCs w:val="21"/>
        </w:rPr>
        <w:t xml:space="preserve">Diap. 17:</w:t>
      </w:r>
      <w:r>
        <w:rPr>
          <w:rFonts w:ascii="Arial" w:cs="Arial" w:eastAsia="Arial" w:hAnsi="Arial"/>
          <w:color w:val="191919"/>
          <w:sz w:val="21"/>
          <w:szCs w:val="21"/>
        </w:rPr>
        <w:t xml:space="preserve"> omite los tres pasos de implementación; están en la lámina.</w:t>
      </w:r>
    </w:p>
    <w:p>
      <w:pPr>
        <w:pStyle w:val="ListParagraph"/>
        <w:numPr>
          <w:ilvl w:val="0"/>
          <w:numId w:val="2"/>
        </w:numPr>
        <w:spacing w:after="80" w:line="290"/>
      </w:pPr>
      <w:r>
        <w:rPr>
          <w:rFonts w:ascii="Arial" w:cs="Arial" w:eastAsia="Arial" w:hAnsi="Arial"/>
          <w:b/>
          <w:bCs/>
          <w:color w:val="042354"/>
          <w:sz w:val="21"/>
          <w:szCs w:val="21"/>
        </w:rPr>
        <w:t xml:space="preserve">Nunca recortes las diap. 18 a 21:</w:t>
      </w:r>
      <w:r>
        <w:rPr>
          <w:rFonts w:ascii="Arial" w:cs="Arial" w:eastAsia="Arial" w:hAnsi="Arial"/>
          <w:color w:val="191919"/>
          <w:sz w:val="21"/>
          <w:szCs w:val="21"/>
        </w:rPr>
        <w:t xml:space="preserve"> son el cierre que mira el jurado.</w:t>
      </w:r>
    </w:p>
    <w:p>
      <w:pPr>
        <w:pStyle w:val="Heading1"/>
        <w:keepNext/>
        <w:spacing w:after="140" w:before="360"/>
      </w:pPr>
      <w:r>
        <w:rPr>
          <w:rFonts w:ascii="Arial" w:cs="Arial" w:eastAsia="Arial" w:hAnsi="Arial"/>
          <w:b/>
          <w:bCs/>
          <w:color w:val="042354"/>
          <w:sz w:val="26"/>
          <w:szCs w:val="26"/>
        </w:rPr>
        <w:t xml:space="preserve">Tiempos por diapositiva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180"/>
        <w:gridCol w:w="2298"/>
        <w:gridCol w:w="1100"/>
        <w:gridCol w:w="1300"/>
      </w:tblGrid>
      <w:tr>
        <w:trPr>
          <w:tblHeader/>
        </w:trPr>
        <w:tc>
          <w:tcPr>
            <w:tcW w:type="dxa" w:w="760"/>
            <w:tcBorders>
              <w:top w:val="single" w:color="CFD6DF" w:sz="4"/>
              <w:left w:val="single" w:color="CFD6DF" w:sz="4"/>
              <w:bottom w:val="single" w:color="CFD6DF" w:sz="4"/>
              <w:right w:val="single" w:color="CFD6DF" w:sz="4"/>
            </w:tcBorders>
            <w:shd w:fill="042354" w:color="auto" w:val="clear"/>
            <w:tcMar>
              <w:top w:type="dxa" w:w="60"/>
              <w:left w:type="dxa" w:w="100"/>
              <w:bottom w:type="dxa" w:w="60"/>
              <w:right w:type="dxa" w:w="100"/>
            </w:tcMar>
          </w:tcPr>
          <w:p>
            <w:r>
              <w:rPr>
                <w:rFonts w:ascii="Arial" w:cs="Arial" w:eastAsia="Arial" w:hAnsi="Arial"/>
                <w:b/>
                <w:bCs/>
                <w:color w:val="FFFFFF"/>
                <w:sz w:val="18"/>
                <w:szCs w:val="18"/>
              </w:rPr>
              <w:t xml:space="preserve">Diap.</w:t>
            </w:r>
          </w:p>
        </w:tc>
        <w:tc>
          <w:tcPr>
            <w:tcW w:type="dxa" w:w="4180"/>
            <w:tcBorders>
              <w:top w:val="single" w:color="CFD6DF" w:sz="4"/>
              <w:left w:val="single" w:color="CFD6DF" w:sz="4"/>
              <w:bottom w:val="single" w:color="CFD6DF" w:sz="4"/>
              <w:right w:val="single" w:color="CFD6DF" w:sz="4"/>
            </w:tcBorders>
            <w:shd w:fill="042354" w:color="auto" w:val="clear"/>
            <w:tcMar>
              <w:top w:type="dxa" w:w="60"/>
              <w:left w:type="dxa" w:w="100"/>
              <w:bottom w:type="dxa" w:w="60"/>
              <w:right w:type="dxa" w:w="100"/>
            </w:tcMar>
          </w:tcPr>
          <w:p>
            <w:r>
              <w:rPr>
                <w:rFonts w:ascii="Arial" w:cs="Arial" w:eastAsia="Arial" w:hAnsi="Arial"/>
                <w:b/>
                <w:bCs/>
                <w:color w:val="FFFFFF"/>
                <w:sz w:val="18"/>
                <w:szCs w:val="18"/>
              </w:rPr>
              <w:t xml:space="preserve">Contenido</w:t>
            </w:r>
          </w:p>
        </w:tc>
        <w:tc>
          <w:tcPr>
            <w:tcW w:type="dxa" w:w="2298"/>
            <w:tcBorders>
              <w:top w:val="single" w:color="CFD6DF" w:sz="4"/>
              <w:left w:val="single" w:color="CFD6DF" w:sz="4"/>
              <w:bottom w:val="single" w:color="CFD6DF" w:sz="4"/>
              <w:right w:val="single" w:color="CFD6DF" w:sz="4"/>
            </w:tcBorders>
            <w:shd w:fill="042354" w:color="auto" w:val="clear"/>
            <w:tcMar>
              <w:top w:type="dxa" w:w="60"/>
              <w:left w:type="dxa" w:w="100"/>
              <w:bottom w:type="dxa" w:w="60"/>
              <w:right w:type="dxa" w:w="100"/>
            </w:tcMar>
          </w:tcPr>
          <w:p>
            <w:r>
              <w:rPr>
                <w:rFonts w:ascii="Arial" w:cs="Arial" w:eastAsia="Arial" w:hAnsi="Arial"/>
                <w:b/>
                <w:bCs/>
                <w:color w:val="FFFFFF"/>
                <w:sz w:val="18"/>
                <w:szCs w:val="18"/>
              </w:rPr>
              <w:t xml:space="preserve">Marca en voz y en lámina</w:t>
            </w:r>
          </w:p>
        </w:tc>
        <w:tc>
          <w:tcPr>
            <w:tcW w:type="dxa" w:w="1100"/>
            <w:tcBorders>
              <w:top w:val="single" w:color="CFD6DF" w:sz="4"/>
              <w:left w:val="single" w:color="CFD6DF" w:sz="4"/>
              <w:bottom w:val="single" w:color="CFD6DF" w:sz="4"/>
              <w:right w:val="single" w:color="CFD6DF" w:sz="4"/>
            </w:tcBorders>
            <w:shd w:fill="042354"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Tiempo</w:t>
            </w:r>
          </w:p>
        </w:tc>
        <w:tc>
          <w:tcPr>
            <w:tcW w:type="dxa" w:w="1300"/>
            <w:tcBorders>
              <w:top w:val="single" w:color="CFD6DF" w:sz="4"/>
              <w:left w:val="single" w:color="CFD6DF" w:sz="4"/>
              <w:bottom w:val="single" w:color="CFD6DF" w:sz="4"/>
              <w:right w:val="single" w:color="CFD6DF" w:sz="4"/>
            </w:tcBorders>
            <w:shd w:fill="042354"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Acumulado</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Portada</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0:20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0:20</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2</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Contenido</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0:25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0:45</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3</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Problemática</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01 · Etapa 1</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1:30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2:15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4</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Objetivos</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02</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0:50</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3:05</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5</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Metodología</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03</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1:10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4:15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6</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Focalización</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04 · Etapa 2</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0:35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4:50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7</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Preguntas 1 y 2</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04 · Etapa 3 · P1–P2</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0:30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5:20</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8</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Causa física: evidencia de los AFA</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4.1 · P3 · ACR paso 1</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0:50</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6:10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9</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Fractura y metalografía</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4.1 · P3 · ACR paso 2</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0:40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6:50</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10</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Resistencia de materiales</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4.1 · P3 · ACR paso 3</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0:40</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7:30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11</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Hipótesis (Ishikawa)</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4.2 · P3 · ACR paso 4</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0:40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8:10</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12</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Descarte de la operación</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4.2 · P3 · ACR paso 5</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0:35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8:45</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13</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Descarte de la fabricación</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4.2 · P3 · ACR paso 6</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0:40</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9:25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14</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Causa latente</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4.2 · P3 · ACR paso 7</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1:05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10:30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15</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Preguntas 4 y 5</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4.3 · P4–P5</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0:35</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11:05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16</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Preguntas 6 y 7</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4.3 · P6–P7</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1:05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12:10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17</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La solución y su implementación</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4.3 · Etapa 4</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0:55</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13:05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18</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Verificación del componente</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4.4 · Etapa 4</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0:55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14:00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19</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Qué ya ocurrió y qué falta asegurar</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4.4 · Etapa 4</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0:55</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14:55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20</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Indicadores de la flota y costo evitado</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4.4 · Etapa 4</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1:05</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16:00</w:t>
            </w:r>
          </w:p>
        </w:tc>
      </w:tr>
      <w:tr>
        <w:tc>
          <w:tcPr>
            <w:tcW w:type="dxa" w:w="76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21</w:t>
            </w:r>
          </w:p>
        </w:tc>
        <w:tc>
          <w:tcPr>
            <w:tcW w:type="dxa" w:w="418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191919"/>
                <w:sz w:val="18"/>
                <w:szCs w:val="18"/>
              </w:rPr>
              <w:t xml:space="preserve">Conclusiones</w:t>
            </w:r>
          </w:p>
        </w:tc>
        <w:tc>
          <w:tcPr>
            <w:tcW w:type="dxa" w:w="2298"/>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r>
              <w:rPr>
                <w:rFonts w:ascii="Arial" w:cs="Arial" w:eastAsia="Arial" w:hAnsi="Arial"/>
                <w:color w:val="4A5568"/>
                <w:sz w:val="18"/>
                <w:szCs w:val="18"/>
              </w:rPr>
              <w:t xml:space="preserve">05</w:t>
            </w:r>
          </w:p>
        </w:tc>
        <w:tc>
          <w:tcPr>
            <w:tcW w:type="dxa" w:w="11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color w:val="191919"/>
                <w:sz w:val="18"/>
                <w:szCs w:val="18"/>
              </w:rPr>
              <w:t xml:space="preserve">1:35</w:t>
            </w:r>
          </w:p>
        </w:tc>
        <w:tc>
          <w:tcPr>
            <w:tcW w:type="dxa" w:w="1300"/>
            <w:tcBorders>
              <w:top w:val="single" w:color="CFD6DF" w:sz="4"/>
              <w:left w:val="single" w:color="CFD6DF" w:sz="4"/>
              <w:bottom w:val="single" w:color="CFD6DF" w:sz="4"/>
              <w:right w:val="single" w:color="CFD6DF" w:sz="4"/>
            </w:tcBorders>
            <w:shd w:fill="EEF2F7" w:color="auto" w:val="clear"/>
            <w:tcMar>
              <w:top w:type="dxa" w:w="60"/>
              <w:left w:type="dxa" w:w="100"/>
              <w:bottom w:type="dxa" w:w="60"/>
              <w:right w:type="dxa" w:w="100"/>
            </w:tcMar>
          </w:tcPr>
          <w:p>
            <w:pPr>
              <w:jc w:val="center"/>
            </w:pPr>
            <w:r>
              <w:rPr>
                <w:rFonts w:ascii="Arial" w:cs="Arial" w:eastAsia="Arial" w:hAnsi="Arial"/>
                <w:b/>
                <w:bCs/>
                <w:color w:val="191919"/>
                <w:sz w:val="18"/>
                <w:szCs w:val="18"/>
              </w:rPr>
              <w:t xml:space="preserve">17:35</w:t>
            </w:r>
          </w:p>
        </w:tc>
      </w:tr>
      <w:tr>
        <w:tc>
          <w:tcPr>
            <w:tcW w:type="dxa" w:w="76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22</w:t>
            </w:r>
          </w:p>
        </w:tc>
        <w:tc>
          <w:tcPr>
            <w:tcW w:type="dxa" w:w="4180"/>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191919"/>
                <w:sz w:val="18"/>
                <w:szCs w:val="18"/>
              </w:rPr>
              <w:t xml:space="preserve">Cierre</w:t>
            </w:r>
          </w:p>
        </w:tc>
        <w:tc>
          <w:tcPr>
            <w:tcW w:type="dxa" w:w="2298"/>
            <w:tcBorders>
              <w:top w:val="single" w:color="CFD6DF" w:sz="4"/>
              <w:left w:val="single" w:color="CFD6DF" w:sz="4"/>
              <w:bottom w:val="single" w:color="CFD6DF" w:sz="4"/>
              <w:right w:val="single" w:color="CFD6DF" w:sz="4"/>
            </w:tcBorders>
            <w:tcMar>
              <w:top w:type="dxa" w:w="60"/>
              <w:left w:type="dxa" w:w="100"/>
              <w:bottom w:type="dxa" w:w="60"/>
              <w:right w:type="dxa" w:w="100"/>
            </w:tcMar>
          </w:tcPr>
          <w:p>
            <w:r>
              <w:rPr>
                <w:rFonts w:ascii="Arial" w:cs="Arial" w:eastAsia="Arial" w:hAnsi="Arial"/>
                <w:color w:val="4A5568"/>
                <w:sz w:val="18"/>
                <w:szCs w:val="18"/>
              </w:rPr>
              <w:t xml:space="preserve">—</w:t>
            </w:r>
          </w:p>
        </w:tc>
        <w:tc>
          <w:tcPr>
            <w:tcW w:type="dxa" w:w="11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color w:val="191919"/>
                <w:sz w:val="18"/>
                <w:szCs w:val="18"/>
              </w:rPr>
              <w:t xml:space="preserve">0:10</w:t>
            </w:r>
          </w:p>
        </w:tc>
        <w:tc>
          <w:tcPr>
            <w:tcW w:type="dxa" w:w="1300"/>
            <w:tcBorders>
              <w:top w:val="single" w:color="CFD6DF" w:sz="4"/>
              <w:left w:val="single" w:color="CFD6DF" w:sz="4"/>
              <w:bottom w:val="single" w:color="CFD6DF" w:sz="4"/>
              <w:right w:val="single" w:color="CFD6DF" w:sz="4"/>
            </w:tcBorders>
            <w:tcMar>
              <w:top w:type="dxa" w:w="60"/>
              <w:left w:type="dxa" w:w="100"/>
              <w:bottom w:type="dxa" w:w="60"/>
              <w:right w:type="dxa" w:w="100"/>
            </w:tcMar>
          </w:tcPr>
          <w:p>
            <w:pPr>
              <w:jc w:val="center"/>
            </w:pPr>
            <w:r>
              <w:rPr>
                <w:rFonts w:ascii="Arial" w:cs="Arial" w:eastAsia="Arial" w:hAnsi="Arial"/>
                <w:b/>
                <w:bCs/>
                <w:color w:val="191919"/>
                <w:sz w:val="18"/>
                <w:szCs w:val="18"/>
              </w:rPr>
              <w:t xml:space="preserve">17:45</w:t>
            </w:r>
          </w:p>
        </w:tc>
      </w:tr>
    </w:tbl>
    <w:p>
      <w:pPr>
        <w:pStyle w:val="Heading2"/>
        <w:keepNext/>
        <w:pBdr>
          <w:bottom w:val="single" w:color="CFD6DF" w:sz="6" w:space="4"/>
        </w:pBdr>
        <w:spacing w:after="40" w:before="320"/>
      </w:pPr>
      <w:r>
        <w:rPr>
          <w:rFonts w:ascii="Arial" w:cs="Arial" w:eastAsia="Arial" w:hAnsi="Arial"/>
          <w:b/>
          <w:bCs/>
          <w:color w:val="042354"/>
          <w:sz w:val="24"/>
          <w:szCs w:val="24"/>
        </w:rPr>
        <w:t xml:space="preserve">Diap. 1 · Portada</w:t>
      </w:r>
    </w:p>
    <w:p>
      <w:pPr>
        <w:keepNext/>
        <w:spacing w:after="120" w:before="0" w:line="300"/>
      </w:pPr>
      <w:r>
        <w:rPr>
          <w:rFonts w:ascii="Arial" w:cs="Arial" w:eastAsia="Arial" w:hAnsi="Arial"/>
          <w:color w:val="7A8494"/>
          <w:sz w:val="18"/>
          <w:szCs w:val="18"/>
        </w:rPr>
        <w:t xml:space="preserve">0:20  ·  acumulado 0:20</w:t>
      </w:r>
    </w:p>
    <w:p>
      <w:pPr>
        <w:spacing w:after="140" w:before="0" w:line="320"/>
      </w:pPr>
      <w:r>
        <w:rPr>
          <w:rFonts w:ascii="Arial" w:cs="Arial" w:eastAsia="Arial" w:hAnsi="Arial"/>
          <w:color w:val="191919"/>
          <w:sz w:val="23"/>
          <w:szCs w:val="23"/>
        </w:rPr>
        <w:t xml:space="preserve">Buenos días, miembros del jurado. Mi nombre es Samir Cedillo y presento mi trabajo de suficiencia profesional: la recuperación de los indicadores de mantenimiento de la flota 980E-5 de acarreo minero, afectados por la falla del eje palier del sistema de propulsión.</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2 · Contenido</w:t>
      </w:r>
    </w:p>
    <w:p>
      <w:pPr>
        <w:keepNext/>
        <w:spacing w:after="120" w:before="0" w:line="300"/>
      </w:pPr>
      <w:r>
        <w:rPr>
          <w:rFonts w:ascii="Arial" w:cs="Arial" w:eastAsia="Arial" w:hAnsi="Arial"/>
          <w:color w:val="7A8494"/>
          <w:sz w:val="18"/>
          <w:szCs w:val="18"/>
        </w:rPr>
        <w:t xml:space="preserve">0:25  ·  acumulado 0:45</w:t>
      </w:r>
    </w:p>
    <w:p>
      <w:pPr>
        <w:spacing w:after="140" w:before="0" w:line="320"/>
      </w:pPr>
      <w:r>
        <w:rPr>
          <w:rFonts w:ascii="Arial" w:cs="Arial" w:eastAsia="Arial" w:hAnsi="Arial"/>
          <w:color w:val="191919"/>
          <w:sz w:val="23"/>
          <w:szCs w:val="23"/>
        </w:rPr>
        <w:t xml:space="preserve">La exposición sigue este orden: primero la problemática, luego los objetivos y la metodología. El desarrollo tiene cuatro bloques: la causa física, el análisis de causa raíz, la decisión de rediseño y, al final, la recuperación de los indicadores con el costo evitado. Cierro con las conclusiones, una por cada objetivo.</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3 · Problemática</w:t>
      </w:r>
    </w:p>
    <w:p>
      <w:pPr>
        <w:keepNext/>
        <w:spacing w:after="120" w:before="0" w:line="300"/>
      </w:pPr>
      <w:r>
        <w:rPr>
          <w:rFonts w:ascii="Arial" w:cs="Arial" w:eastAsia="Arial" w:hAnsi="Arial"/>
          <w:color w:val="7A8494"/>
          <w:sz w:val="18"/>
          <w:szCs w:val="18"/>
        </w:rPr>
        <w:t xml:space="preserve">1:30  ·  acumulado 2:15  ·  01 · Etapa 1</w:t>
      </w:r>
    </w:p>
    <w:p>
      <w:pPr>
        <w:spacing w:after="140" w:before="0" w:line="320"/>
      </w:pPr>
      <w:r>
        <w:rPr>
          <w:rFonts w:ascii="Arial" w:cs="Arial" w:eastAsia="Arial" w:hAnsi="Arial"/>
          <w:b/>
          <w:bCs/>
          <w:color w:val="042354"/>
          <w:sz w:val="23"/>
          <w:szCs w:val="23"/>
        </w:rPr>
        <w:t xml:space="preserve">Empiezo por la problemática, que corresponde a la etapa 1 de la metodología: el desempeño previo.</w:t>
      </w:r>
    </w:p>
    <w:p>
      <w:pPr>
        <w:spacing w:after="140" w:before="0" w:line="320"/>
      </w:pPr>
      <w:r>
        <w:rPr>
          <w:rFonts w:ascii="Arial" w:cs="Arial" w:eastAsia="Arial" w:hAnsi="Arial"/>
          <w:color w:val="191919"/>
          <w:sz w:val="23"/>
          <w:szCs w:val="23"/>
        </w:rPr>
        <w:t xml:space="preserve">La flota tiene diez camiones de 400 toneladas con propulsión eléctrica. Su mantenimiento integral está a cargo de una empresa contratista, y el contrato se mide con tres indicadores: disponibilidad física, con meta de 91 %; MTBF, con objetivo de 64,5 horas; y MTTR, con límite de 4 horas. Si no se cumplen, hay penalización.</w:t>
      </w:r>
    </w:p>
    <w:p>
      <w:pPr>
        <w:spacing w:after="140" w:before="0" w:line="320"/>
      </w:pPr>
      <w:r>
        <w:rPr>
          <w:rFonts w:ascii="Arial" w:cs="Arial" w:eastAsia="Arial" w:hAnsi="Arial"/>
          <w:color w:val="191919"/>
          <w:sz w:val="23"/>
          <w:szCs w:val="23"/>
        </w:rPr>
        <w:t xml:space="preserve">Entre 2022 y 2024 la flota no cumplió: la disponibilidad quedó entre 90,2 y 90,6 %, y el MTBF entre 57,6 y 60,5 horas. El MTTR sí se mantuvo dentro del límite.</w:t>
      </w:r>
    </w:p>
    <w:p>
      <w:pPr>
        <w:spacing w:after="140" w:before="0" w:line="320"/>
      </w:pPr>
      <w:r>
        <w:rPr>
          <w:rFonts w:ascii="Arial" w:cs="Arial" w:eastAsia="Arial" w:hAnsi="Arial"/>
          <w:color w:val="191919"/>
          <w:sz w:val="23"/>
          <w:szCs w:val="23"/>
        </w:rPr>
        <w:t xml:space="preserve">Dentro de esa brecha, la falla más crítica fue la fractura por fatiga del eje palier del motor de tracción: 13 eventos en 36 meses. Cada uno detuvo al camión 59,3 horas en promedio y costó 763 393 dólares en evaluación y reparación mayor del motor. En conjunto, la falla consumía 0,36 % de la disponibilidad de la flota.</w:t>
      </w:r>
    </w:p>
    <w:p>
      <w:pPr>
        <w:spacing w:after="140" w:before="0" w:line="320"/>
      </w:pPr>
      <w:r>
        <w:rPr>
          <w:rFonts w:ascii="Arial" w:cs="Arial" w:eastAsia="Arial" w:hAnsi="Arial"/>
          <w:color w:val="191919"/>
          <w:sz w:val="23"/>
          <w:szCs w:val="23"/>
        </w:rPr>
        <w:t xml:space="preserve">Y lo más importante: cada evento tuvo su análisis de falla y su informe metalográfico, pero la fractura siguió apareciendo, incluso en posiciones ya intervenidas.</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4 · Objetivos</w:t>
      </w:r>
    </w:p>
    <w:p>
      <w:pPr>
        <w:keepNext/>
        <w:spacing w:after="120" w:before="0" w:line="300"/>
      </w:pPr>
      <w:r>
        <w:rPr>
          <w:rFonts w:ascii="Arial" w:cs="Arial" w:eastAsia="Arial" w:hAnsi="Arial"/>
          <w:color w:val="7A8494"/>
          <w:sz w:val="18"/>
          <w:szCs w:val="18"/>
        </w:rPr>
        <w:t xml:space="preserve">0:50  ·  acumulado 3:05  ·  02</w:t>
      </w:r>
    </w:p>
    <w:p>
      <w:pPr>
        <w:spacing w:after="140" w:before="0" w:line="320"/>
      </w:pPr>
      <w:r>
        <w:rPr>
          <w:rFonts w:ascii="Arial" w:cs="Arial" w:eastAsia="Arial" w:hAnsi="Arial"/>
          <w:b/>
          <w:bCs/>
          <w:color w:val="042354"/>
          <w:sz w:val="23"/>
          <w:szCs w:val="23"/>
        </w:rPr>
        <w:t xml:space="preserve">Frente a este problema, mi compromiso se expresa en un objetivo general:</w:t>
      </w:r>
      <w:r>
        <w:rPr>
          <w:rFonts w:ascii="Arial" w:cs="Arial" w:eastAsia="Arial" w:hAnsi="Arial"/>
          <w:color w:val="191919"/>
          <w:sz w:val="23"/>
          <w:szCs w:val="23"/>
        </w:rPr>
        <w:t xml:space="preserve"> recuperar los indicadores de mantenimiento —MTBF, MTTR y disponibilidad— mediante la eliminación de la fractura del eje palier.</w:t>
      </w:r>
    </w:p>
    <w:p>
      <w:pPr>
        <w:spacing w:after="140" w:before="0" w:line="320"/>
      </w:pPr>
      <w:r>
        <w:rPr>
          <w:rFonts w:ascii="Arial" w:cs="Arial" w:eastAsia="Arial" w:hAnsi="Arial"/>
          <w:color w:val="191919"/>
          <w:sz w:val="23"/>
          <w:szCs w:val="23"/>
        </w:rPr>
        <w:t xml:space="preserve">Para lograrlo planteé cuatro objetivos específicos. Primero, identificar la falla recurrente y cuantificar su impacto en indicadores y costos. Segundo, determinar las causas latentes de la recurrencia con un análisis de causa raíz. Tercero, implementar el rediseño de la unión soldada, sustentando el plan de acción con la lógica de decisión del RCM. Y cuarto, evaluar la recuperación de los indicadores y el costo evitado. Las conclusiones responderán a estos cuatro objetivos, en este mismo orden.</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5 · Metodología</w:t>
      </w:r>
    </w:p>
    <w:p>
      <w:pPr>
        <w:keepNext/>
        <w:spacing w:after="120" w:before="0" w:line="300"/>
      </w:pPr>
      <w:r>
        <w:rPr>
          <w:rFonts w:ascii="Arial" w:cs="Arial" w:eastAsia="Arial" w:hAnsi="Arial"/>
          <w:color w:val="7A8494"/>
          <w:sz w:val="18"/>
          <w:szCs w:val="18"/>
        </w:rPr>
        <w:t xml:space="preserve">1:10  ·  acumulado 4:15  ·  03</w:t>
      </w:r>
    </w:p>
    <w:p>
      <w:pPr>
        <w:spacing w:after="140" w:before="0" w:line="320"/>
      </w:pPr>
      <w:r>
        <w:rPr>
          <w:rFonts w:ascii="Arial" w:cs="Arial" w:eastAsia="Arial" w:hAnsi="Arial"/>
          <w:color w:val="191919"/>
          <w:sz w:val="23"/>
          <w:szCs w:val="23"/>
        </w:rPr>
        <w:t xml:space="preserve">La metodología tiene cuatro etapas: desempeño previo, focalización, proceso RCM e implementación y verificación.</w:t>
      </w:r>
    </w:p>
    <w:p>
      <w:pPr>
        <w:spacing w:after="140" w:before="0" w:line="320"/>
      </w:pPr>
      <w:r>
        <w:rPr>
          <w:rFonts w:ascii="Arial" w:cs="Arial" w:eastAsia="Arial" w:hAnsi="Arial"/>
          <w:b/>
          <w:bCs/>
          <w:color w:val="042354"/>
          <w:sz w:val="23"/>
          <w:szCs w:val="23"/>
        </w:rPr>
        <w:t xml:space="preserve">Quiero precisar algo desde el inicio.</w:t>
      </w:r>
      <w:r>
        <w:rPr>
          <w:rFonts w:ascii="Arial" w:cs="Arial" w:eastAsia="Arial" w:hAnsi="Arial"/>
          <w:color w:val="191919"/>
          <w:sz w:val="23"/>
          <w:szCs w:val="23"/>
        </w:rPr>
        <w:t xml:space="preserve"> El RCM de la norma SAE JA1011, y el análisis de causa raíz dentro de él, no son el método en sí: son la estructura de referencia que usé para ordenar el trabajo. Son marcos pensados para anticipar fallas, y este caso es reactivo: la falla ya había ocurrido trece veces.</w:t>
      </w:r>
    </w:p>
    <w:p>
      <w:pPr>
        <w:spacing w:after="140" w:before="0" w:line="320"/>
      </w:pPr>
      <w:r>
        <w:rPr>
          <w:rFonts w:ascii="Arial" w:cs="Arial" w:eastAsia="Arial" w:hAnsi="Arial"/>
          <w:color w:val="191919"/>
          <w:sz w:val="23"/>
          <w:szCs w:val="23"/>
        </w:rPr>
        <w:t xml:space="preserve">En la etapa 3 recorro las siete preguntas de la norma, pero no todas pesan igual. Las preguntas 1, 2, 4 y 5 las menciono brevemente. El tiempo va a la pregunta 3, donde están la causa física y el análisis de causa raíz, y a las preguntas 6 y 7, donde se decide el rediseño. En cada cambio de bloque indicaré en qué etapa y en qué pregunta estoy.</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6 · Focalización</w:t>
      </w:r>
    </w:p>
    <w:p>
      <w:pPr>
        <w:keepNext/>
        <w:spacing w:after="120" w:before="0" w:line="300"/>
      </w:pPr>
      <w:r>
        <w:rPr>
          <w:rFonts w:ascii="Arial" w:cs="Arial" w:eastAsia="Arial" w:hAnsi="Arial"/>
          <w:color w:val="7A8494"/>
          <w:sz w:val="18"/>
          <w:szCs w:val="18"/>
        </w:rPr>
        <w:t xml:space="preserve">0:35  ·  acumulado 4:50  ·  04 · Etapa 2</w:t>
      </w:r>
    </w:p>
    <w:p>
      <w:pPr>
        <w:spacing w:after="140" w:before="0" w:line="320"/>
      </w:pPr>
      <w:r>
        <w:rPr>
          <w:rFonts w:ascii="Arial" w:cs="Arial" w:eastAsia="Arial" w:hAnsi="Arial"/>
          <w:b/>
          <w:bCs/>
          <w:color w:val="042354"/>
          <w:sz w:val="23"/>
          <w:szCs w:val="23"/>
        </w:rPr>
        <w:t xml:space="preserve">Paso a la etapa 2: la focalización.</w:t>
      </w:r>
      <w:r>
        <w:rPr>
          <w:rFonts w:ascii="Arial" w:cs="Arial" w:eastAsia="Arial" w:hAnsi="Arial"/>
          <w:color w:val="191919"/>
          <w:sz w:val="23"/>
          <w:szCs w:val="23"/>
        </w:rPr>
        <w:t xml:space="preserve"> En la matriz de criticidad, la fractura del eje palier obtiene frecuencia 5, por los 13 eventos, y consecuencia 4, por la parada, el costo y la disponibilidad perdida. Su detectabilidad es 5: la grieta nace dentro del motor cerrado y no se puede inspeccionar. Queda en criticidad alta, y a ese cuadrante le corresponde eliminar la causa raíz, no inspeccionar más.</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7 · Preguntas 1 y 2</w:t>
      </w:r>
    </w:p>
    <w:p>
      <w:pPr>
        <w:keepNext/>
        <w:spacing w:after="120" w:before="0" w:line="300"/>
      </w:pPr>
      <w:r>
        <w:rPr>
          <w:rFonts w:ascii="Arial" w:cs="Arial" w:eastAsia="Arial" w:hAnsi="Arial"/>
          <w:color w:val="7A8494"/>
          <w:sz w:val="18"/>
          <w:szCs w:val="18"/>
        </w:rPr>
        <w:t xml:space="preserve">0:30  ·  acumulado 5:20  ·  04 · Etapa 3 · P1–P2</w:t>
      </w:r>
    </w:p>
    <w:p>
      <w:pPr>
        <w:spacing w:after="140" w:before="0" w:line="320"/>
      </w:pPr>
      <w:r>
        <w:rPr>
          <w:rFonts w:ascii="Arial" w:cs="Arial" w:eastAsia="Arial" w:hAnsi="Arial"/>
          <w:b/>
          <w:bCs/>
          <w:color w:val="042354"/>
          <w:sz w:val="23"/>
          <w:szCs w:val="23"/>
        </w:rPr>
        <w:t xml:space="preserve">Entro a la etapa 3, el proceso RCM, con las preguntas 1 y 2, que son breves.</w:t>
      </w:r>
      <w:r>
        <w:rPr>
          <w:rFonts w:ascii="Arial" w:cs="Arial" w:eastAsia="Arial" w:hAnsi="Arial"/>
          <w:color w:val="191919"/>
          <w:sz w:val="23"/>
          <w:szCs w:val="23"/>
        </w:rPr>
        <w:t xml:space="preserve"> La función del eje es transmitir el par del motor a la rueda durante 20 000 horas entre reparaciones mayores. La falla funcional es evidente: el eje se fractura, deja de transmitir potencia y el camión no avanza. Paso directamente a la pregunta 3.</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8 · Causa física: evidencia de los AFA</w:t>
      </w:r>
    </w:p>
    <w:p>
      <w:pPr>
        <w:keepNext/>
        <w:spacing w:after="120" w:before="0" w:line="300"/>
      </w:pPr>
      <w:r>
        <w:rPr>
          <w:rFonts w:ascii="Arial" w:cs="Arial" w:eastAsia="Arial" w:hAnsi="Arial"/>
          <w:color w:val="7A8494"/>
          <w:sz w:val="18"/>
          <w:szCs w:val="18"/>
        </w:rPr>
        <w:t xml:space="preserve">0:50  ·  acumulado 6:10  ·  4.1 · P3 · ACR paso 1</w:t>
      </w:r>
    </w:p>
    <w:p>
      <w:pPr>
        <w:spacing w:after="140" w:before="0" w:line="320"/>
      </w:pPr>
      <w:r>
        <w:rPr>
          <w:rFonts w:ascii="Arial" w:cs="Arial" w:eastAsia="Arial" w:hAnsi="Arial"/>
          <w:b/>
          <w:bCs/>
          <w:color w:val="042354"/>
          <w:sz w:val="23"/>
          <w:szCs w:val="23"/>
        </w:rPr>
        <w:t xml:space="preserve">Etapa 3, pregunta 3: modos de falla. Aquí empieza el primer bloque del desarrollo, la causa física.</w:t>
      </w:r>
      <w:r>
        <w:rPr>
          <w:rFonts w:ascii="Arial" w:cs="Arial" w:eastAsia="Arial" w:hAnsi="Arial"/>
          <w:color w:val="191919"/>
          <w:sz w:val="23"/>
          <w:szCs w:val="23"/>
        </w:rPr>
        <w:t xml:space="preserve"> Empiezo por ella porque de ella salen todas las demás evaluaciones. Es el paso 1 del análisis de causa raíz: reunir la evidencia.</w:t>
      </w:r>
    </w:p>
    <w:p>
      <w:pPr>
        <w:spacing w:after="140" w:before="0" w:line="320"/>
      </w:pPr>
      <w:r>
        <w:rPr>
          <w:rFonts w:ascii="Arial" w:cs="Arial" w:eastAsia="Arial" w:hAnsi="Arial"/>
          <w:color w:val="191919"/>
          <w:sz w:val="23"/>
          <w:szCs w:val="23"/>
        </w:rPr>
        <w:t xml:space="preserve">Los análisis de falla de la contratista confirmaron fatiga, con origen en la raíz de la unión soldada. El laboratorio externo confirmó que la grieta nace en una discontinuidad de esa raíz y que el material cumple la norma. La data del equipo mostró que operaba dentro de sus parámetros. Cada análisis explicó bien el mecanismo, pero ninguno consolidó la recurrencia; ese vacío lo retomo más adelante.</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9 · Fractura y metalografía</w:t>
      </w:r>
    </w:p>
    <w:p>
      <w:pPr>
        <w:keepNext/>
        <w:spacing w:after="120" w:before="0" w:line="300"/>
      </w:pPr>
      <w:r>
        <w:rPr>
          <w:rFonts w:ascii="Arial" w:cs="Arial" w:eastAsia="Arial" w:hAnsi="Arial"/>
          <w:color w:val="7A8494"/>
          <w:sz w:val="18"/>
          <w:szCs w:val="18"/>
        </w:rPr>
        <w:t xml:space="preserve">0:40  ·  acumulado 6:50  ·  4.1 · P3 · ACR paso 2</w:t>
      </w:r>
    </w:p>
    <w:p>
      <w:pPr>
        <w:spacing w:after="140" w:before="0" w:line="320"/>
      </w:pPr>
      <w:r>
        <w:rPr>
          <w:rFonts w:ascii="Arial" w:cs="Arial" w:eastAsia="Arial" w:hAnsi="Arial"/>
          <w:b/>
          <w:bCs/>
          <w:color w:val="042354"/>
          <w:sz w:val="23"/>
          <w:szCs w:val="23"/>
        </w:rPr>
        <w:t xml:space="preserve">Paso 2: la verificación física.</w:t>
      </w:r>
      <w:r>
        <w:rPr>
          <w:rFonts w:ascii="Arial" w:cs="Arial" w:eastAsia="Arial" w:hAnsi="Arial"/>
          <w:color w:val="191919"/>
          <w:sz w:val="23"/>
          <w:szCs w:val="23"/>
        </w:rPr>
        <w:t xml:space="preserve"> En la superficie de fractura se distingue una zona oscura y lisa, de propagación estable, y una zona clara de rotura final, de apenas un 20 % de la sección. El origen está en el diámetro interior, con marcas de trinquete, y la macrografía muestra una discontinuidad tipo grieta en la raíz de la unión. La grieta nació en la raíz de la soldadura y el eje trabajó mucho tiempo con ella antes de romperse.</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10 · Resistencia de materiales</w:t>
      </w:r>
    </w:p>
    <w:p>
      <w:pPr>
        <w:keepNext/>
        <w:spacing w:after="120" w:before="0" w:line="300"/>
      </w:pPr>
      <w:r>
        <w:rPr>
          <w:rFonts w:ascii="Arial" w:cs="Arial" w:eastAsia="Arial" w:hAnsi="Arial"/>
          <w:color w:val="7A8494"/>
          <w:sz w:val="18"/>
          <w:szCs w:val="18"/>
        </w:rPr>
        <w:t xml:space="preserve">0:40  ·  acumulado 7:30  ·  4.1 · P3 · ACR paso 3</w:t>
      </w:r>
    </w:p>
    <w:p>
      <w:pPr>
        <w:spacing w:after="140" w:before="0" w:line="320"/>
      </w:pPr>
      <w:r>
        <w:rPr>
          <w:rFonts w:ascii="Arial" w:cs="Arial" w:eastAsia="Arial" w:hAnsi="Arial"/>
          <w:b/>
          <w:bCs/>
          <w:color w:val="042354"/>
          <w:sz w:val="23"/>
          <w:szCs w:val="23"/>
        </w:rPr>
        <w:t xml:space="preserve">Paso 3: la verificación cuantitativa.</w:t>
      </w:r>
      <w:r>
        <w:rPr>
          <w:rFonts w:ascii="Arial" w:cs="Arial" w:eastAsia="Arial" w:hAnsi="Arial"/>
          <w:color w:val="191919"/>
          <w:sz w:val="23"/>
          <w:szCs w:val="23"/>
        </w:rPr>
        <w:t xml:space="preserve"> Con el par transmitido de 17,81 kilonewton-metro, el esfuerzo cortante nominal en la sección crítica es de 35,7 megapascales y el rango de esfuerzo, de 53,6. El factor de seguridad a la vida planificada resulta 0,31. Un factor menor que uno significa que la unión, tal como estaba diseñada, no podía llegar a las 20 000 horas bajo el par nominal. Con esto cierro la causa física: fatiga que nace en la raíz de una soldadura de penetración parcial.</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11 · Hipótesis (Ishikawa)</w:t>
      </w:r>
    </w:p>
    <w:p>
      <w:pPr>
        <w:keepNext/>
        <w:spacing w:after="120" w:before="0" w:line="300"/>
      </w:pPr>
      <w:r>
        <w:rPr>
          <w:rFonts w:ascii="Arial" w:cs="Arial" w:eastAsia="Arial" w:hAnsi="Arial"/>
          <w:color w:val="7A8494"/>
          <w:sz w:val="18"/>
          <w:szCs w:val="18"/>
        </w:rPr>
        <w:t xml:space="preserve">0:40  ·  acumulado 8:10  ·  4.2 · P3 · ACR paso 4</w:t>
      </w:r>
    </w:p>
    <w:p>
      <w:pPr>
        <w:spacing w:after="140" w:before="0" w:line="320"/>
      </w:pPr>
      <w:r>
        <w:rPr>
          <w:rFonts w:ascii="Arial" w:cs="Arial" w:eastAsia="Arial" w:hAnsi="Arial"/>
          <w:b/>
          <w:bCs/>
          <w:color w:val="042354"/>
          <w:sz w:val="23"/>
          <w:szCs w:val="23"/>
        </w:rPr>
        <w:t xml:space="preserve">Paso al segundo bloque: el análisis de causa raíz. Seguimos en la etapa 3, pregunta 3; es el paso 4: las hipótesis.</w:t>
      </w:r>
      <w:r>
        <w:rPr>
          <w:rFonts w:ascii="Arial" w:cs="Arial" w:eastAsia="Arial" w:hAnsi="Arial"/>
          <w:color w:val="191919"/>
          <w:sz w:val="23"/>
          <w:szCs w:val="23"/>
        </w:rPr>
        <w:t xml:space="preserve"> A partir de la causa física construí el diagrama de Ishikawa con cinco ramas: montaje, fabricación, diseño, mantenimiento y operación. La regla fue una sola: una hipótesis se descarta solo si es incompatible con la evidencia. Quedaron confirmadas dos, ambas en diseño: la raíz sin fusión, como causa determinante, y la sección insuficiente del tubo, como causa contribuyente.</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12 · Descarte de la operación</w:t>
      </w:r>
    </w:p>
    <w:p>
      <w:pPr>
        <w:keepNext/>
        <w:spacing w:after="120" w:before="0" w:line="300"/>
      </w:pPr>
      <w:r>
        <w:rPr>
          <w:rFonts w:ascii="Arial" w:cs="Arial" w:eastAsia="Arial" w:hAnsi="Arial"/>
          <w:color w:val="7A8494"/>
          <w:sz w:val="18"/>
          <w:szCs w:val="18"/>
        </w:rPr>
        <w:t xml:space="preserve">0:35  ·  acumulado 8:45  ·  4.2 · P3 · ACR paso 5</w:t>
      </w:r>
    </w:p>
    <w:p>
      <w:pPr>
        <w:spacing w:after="140" w:before="0" w:line="320"/>
      </w:pPr>
      <w:r>
        <w:rPr>
          <w:rFonts w:ascii="Arial" w:cs="Arial" w:eastAsia="Arial" w:hAnsi="Arial"/>
          <w:b/>
          <w:bCs/>
          <w:color w:val="042354"/>
          <w:sz w:val="23"/>
          <w:szCs w:val="23"/>
        </w:rPr>
        <w:t xml:space="preserve">Paso 5: descarte de la operación, con la data del propio equipo.</w:t>
      </w:r>
      <w:r>
        <w:rPr>
          <w:rFonts w:ascii="Arial" w:cs="Arial" w:eastAsia="Arial" w:hAnsi="Arial"/>
          <w:color w:val="191919"/>
          <w:sz w:val="23"/>
          <w:szCs w:val="23"/>
        </w:rPr>
        <w:t xml:space="preserve"> La carga útil media fue de 366,7 toneladas, sin ciclos por encima del 120 %; no hubo exceso de velocidad, y el peso suspendido solo superó la referencia en una unidad. El argumento decisivo es la distribución: una causa operacional se concentraría en ciertas unidades, y la fractura apareció en toda la flota y en un rango amplio de horas.</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13 · Descarte de la fabricación</w:t>
      </w:r>
    </w:p>
    <w:p>
      <w:pPr>
        <w:keepNext/>
        <w:spacing w:after="120" w:before="0" w:line="300"/>
      </w:pPr>
      <w:r>
        <w:rPr>
          <w:rFonts w:ascii="Arial" w:cs="Arial" w:eastAsia="Arial" w:hAnsi="Arial"/>
          <w:color w:val="7A8494"/>
          <w:sz w:val="18"/>
          <w:szCs w:val="18"/>
        </w:rPr>
        <w:t xml:space="preserve">0:40  ·  acumulado 9:25  ·  4.2 · P3 · ACR paso 6</w:t>
      </w:r>
    </w:p>
    <w:p>
      <w:pPr>
        <w:spacing w:after="140" w:before="0" w:line="320"/>
      </w:pPr>
      <w:r>
        <w:rPr>
          <w:rFonts w:ascii="Arial" w:cs="Arial" w:eastAsia="Arial" w:hAnsi="Arial"/>
          <w:b/>
          <w:bCs/>
          <w:color w:val="042354"/>
          <w:sz w:val="23"/>
          <w:szCs w:val="23"/>
        </w:rPr>
        <w:t xml:space="preserve">Paso 6: descarte de la fabricación.</w:t>
      </w:r>
      <w:r>
        <w:rPr>
          <w:rFonts w:ascii="Arial" w:cs="Arial" w:eastAsia="Arial" w:hAnsi="Arial"/>
          <w:color w:val="191919"/>
          <w:sz w:val="23"/>
          <w:szCs w:val="23"/>
        </w:rPr>
        <w:t xml:space="preserve"> La composición, la dureza y la resistencia del eje son compatibles con la norma del material. Y hay una prueba más fuerte: en los motores reparados se instaló un eje nuevo, con la misma unión soldada, y la fractura volvió en el mismo lugar. Un defecto de pieza o de lote habría desaparecido con la pieza nueva. Queda el diseño, lo que coincide con el factor de seguridad de 0,31.</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14 · Causa latente</w:t>
      </w:r>
    </w:p>
    <w:p>
      <w:pPr>
        <w:keepNext/>
        <w:spacing w:after="120" w:before="0" w:line="300"/>
      </w:pPr>
      <w:r>
        <w:rPr>
          <w:rFonts w:ascii="Arial" w:cs="Arial" w:eastAsia="Arial" w:hAnsi="Arial"/>
          <w:color w:val="7A8494"/>
          <w:sz w:val="18"/>
          <w:szCs w:val="18"/>
        </w:rPr>
        <w:t xml:space="preserve">1:05  ·  acumulado 10:30  ·  4.2 · P3 · ACR paso 7</w:t>
      </w:r>
    </w:p>
    <w:p>
      <w:pPr>
        <w:spacing w:after="140" w:before="0" w:line="320"/>
      </w:pPr>
      <w:r>
        <w:rPr>
          <w:rFonts w:ascii="Arial" w:cs="Arial" w:eastAsia="Arial" w:hAnsi="Arial"/>
          <w:b/>
          <w:bCs/>
          <w:color w:val="042354"/>
          <w:sz w:val="23"/>
          <w:szCs w:val="23"/>
        </w:rPr>
        <w:t xml:space="preserve">Paso 7: del mecanismo físico a la causa latente.</w:t>
      </w:r>
      <w:r>
        <w:rPr>
          <w:rFonts w:ascii="Arial" w:cs="Arial" w:eastAsia="Arial" w:hAnsi="Arial"/>
          <w:color w:val="191919"/>
          <w:sz w:val="23"/>
          <w:szCs w:val="23"/>
        </w:rPr>
        <w:t xml:space="preserve"> La pregunta cambia: ya no es por qué se fracturó el eje, sino por qué la organización convivió tres años con una falla de criticidad máxima.</w:t>
      </w:r>
    </w:p>
    <w:p>
      <w:pPr>
        <w:spacing w:after="140" w:before="0" w:line="320"/>
      </w:pPr>
      <w:r>
        <w:rPr>
          <w:rFonts w:ascii="Arial" w:cs="Arial" w:eastAsia="Arial" w:hAnsi="Arial"/>
          <w:color w:val="191919"/>
          <w:sz w:val="23"/>
          <w:szCs w:val="23"/>
        </w:rPr>
        <w:t xml:space="preserve">Se fracturó porque la raíz sin fusión concentra el esfuerzo: es el nivel físico. Siguió en servicio porque el componente se recibe con su diseño y no se verifica frente al par real: nivel humano. No se detectó la recurrencia porque cada análisis se hacía por evento y el registro de paradas no codificaba la falla. Y las recomendaciones no se ejecutaron porque no había un proceso con responsable, plazo y cierre.</w:t>
      </w:r>
    </w:p>
    <w:p>
      <w:pPr>
        <w:spacing w:after="140" w:before="0" w:line="320"/>
      </w:pPr>
      <w:r>
        <w:rPr>
          <w:rFonts w:ascii="Arial" w:cs="Arial" w:eastAsia="Arial" w:hAnsi="Arial"/>
          <w:color w:val="191919"/>
          <w:sz w:val="23"/>
          <w:szCs w:val="23"/>
        </w:rPr>
        <w:t xml:space="preserve">La causa raíz latente es la ausencia de un mecanismo que convierta el hallazgo de un análisis de falla en un cambio de diseño.</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15 · Preguntas 4 y 5</w:t>
      </w:r>
    </w:p>
    <w:p>
      <w:pPr>
        <w:keepNext/>
        <w:spacing w:after="120" w:before="0" w:line="300"/>
      </w:pPr>
      <w:r>
        <w:rPr>
          <w:rFonts w:ascii="Arial" w:cs="Arial" w:eastAsia="Arial" w:hAnsi="Arial"/>
          <w:color w:val="7A8494"/>
          <w:sz w:val="18"/>
          <w:szCs w:val="18"/>
        </w:rPr>
        <w:t xml:space="preserve">0:35  ·  acumulado 11:05  ·  4.3 · P4–P5</w:t>
      </w:r>
    </w:p>
    <w:p>
      <w:pPr>
        <w:spacing w:after="140" w:before="0" w:line="320"/>
      </w:pPr>
      <w:r>
        <w:rPr>
          <w:rFonts w:ascii="Arial" w:cs="Arial" w:eastAsia="Arial" w:hAnsi="Arial"/>
          <w:b/>
          <w:bCs/>
          <w:color w:val="042354"/>
          <w:sz w:val="23"/>
          <w:szCs w:val="23"/>
        </w:rPr>
        <w:t xml:space="preserve">Entro al tercer bloque, la decisión de rediseño, con las preguntas 4 y 5, que menciono brevemente.</w:t>
      </w:r>
      <w:r>
        <w:rPr>
          <w:rFonts w:ascii="Arial" w:cs="Arial" w:eastAsia="Arial" w:hAnsi="Arial"/>
          <w:color w:val="191919"/>
          <w:sz w:val="23"/>
          <w:szCs w:val="23"/>
        </w:rPr>
        <w:t xml:space="preserve"> La falla llega sin aviso: 10 de los 13 eventos se detectaron en operación. Se pierden la tracción y el retardo dinámico en el descenso cargado, y el camión queda fuera 59,3 horas. Lo que importa es la clasificación: consecuencia operacional, con implicación de seguridad y efecto contractual. Esa clasificación decide la pregunta 7.</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16 · Preguntas 6 y 7</w:t>
      </w:r>
    </w:p>
    <w:p>
      <w:pPr>
        <w:keepNext/>
        <w:spacing w:after="120" w:before="0" w:line="300"/>
      </w:pPr>
      <w:r>
        <w:rPr>
          <w:rFonts w:ascii="Arial" w:cs="Arial" w:eastAsia="Arial" w:hAnsi="Arial"/>
          <w:color w:val="7A8494"/>
          <w:sz w:val="18"/>
          <w:szCs w:val="18"/>
        </w:rPr>
        <w:t xml:space="preserve">1:05  ·  acumulado 12:10  ·  4.3 · P6–P7</w:t>
      </w:r>
    </w:p>
    <w:p>
      <w:pPr>
        <w:spacing w:after="140" w:before="0" w:line="320"/>
      </w:pPr>
      <w:r>
        <w:rPr>
          <w:rFonts w:ascii="Arial" w:cs="Arial" w:eastAsia="Arial" w:hAnsi="Arial"/>
          <w:b/>
          <w:bCs/>
          <w:color w:val="042354"/>
          <w:sz w:val="23"/>
          <w:szCs w:val="23"/>
        </w:rPr>
        <w:t xml:space="preserve">Preguntas 6 y 7.</w:t>
      </w:r>
      <w:r>
        <w:rPr>
          <w:rFonts w:ascii="Arial" w:cs="Arial" w:eastAsia="Arial" w:hAnsi="Arial"/>
          <w:color w:val="191919"/>
          <w:sz w:val="23"/>
          <w:szCs w:val="23"/>
        </w:rPr>
        <w:t xml:space="preserve"> La norma adopta una tarea proactiva solo si es técnicamente factible y si cuesta menos que las consecuencias que evita.</w:t>
      </w:r>
    </w:p>
    <w:p>
      <w:pPr>
        <w:spacing w:after="140" w:before="0" w:line="320"/>
      </w:pPr>
      <w:r>
        <w:rPr>
          <w:rFonts w:ascii="Arial" w:cs="Arial" w:eastAsia="Arial" w:hAnsi="Arial"/>
          <w:color w:val="191919"/>
          <w:sz w:val="23"/>
          <w:szCs w:val="23"/>
        </w:rPr>
        <w:t xml:space="preserve">La tarea a condición no es factible: la grieta nace dentro del motor cerrado y no hay acceso de inspección. El reacondicionamiento cíclico tampoco: no elimina el punto débil de la soldadura. La sustitución cíclica sí es factible, cambiando el eje a las 9 547 horas, pero no es conveniente: costaría 4,3 millones de dólares al año frente a 3,31 millones de consecuencias evitadas, una relación de 1,30 a 1.</w:t>
      </w:r>
    </w:p>
    <w:p>
      <w:pPr>
        <w:spacing w:after="140" w:before="0" w:line="320"/>
      </w:pPr>
      <w:r>
        <w:rPr>
          <w:rFonts w:ascii="Arial" w:cs="Arial" w:eastAsia="Arial" w:hAnsi="Arial"/>
          <w:color w:val="191919"/>
          <w:sz w:val="23"/>
          <w:szCs w:val="23"/>
        </w:rPr>
        <w:t xml:space="preserve">Sin tarea proactiva aplicable y con una consecuencia operacional con implicación de seguridad, la norma prescribe la acción a falta de: el cambio de diseño. El rediseño no es una preferencia; es el resultado del proceso.</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17 · La solución y su implementación</w:t>
      </w:r>
    </w:p>
    <w:p>
      <w:pPr>
        <w:keepNext/>
        <w:spacing w:after="120" w:before="0" w:line="300"/>
      </w:pPr>
      <w:r>
        <w:rPr>
          <w:rFonts w:ascii="Arial" w:cs="Arial" w:eastAsia="Arial" w:hAnsi="Arial"/>
          <w:color w:val="7A8494"/>
          <w:sz w:val="18"/>
          <w:szCs w:val="18"/>
        </w:rPr>
        <w:t xml:space="preserve">0:55  ·  acumulado 13:05  ·  4.3 · Etapa 4</w:t>
      </w:r>
    </w:p>
    <w:p>
      <w:pPr>
        <w:spacing w:after="140" w:before="0" w:line="320"/>
      </w:pPr>
      <w:r>
        <w:rPr>
          <w:rFonts w:ascii="Arial" w:cs="Arial" w:eastAsia="Arial" w:hAnsi="Arial"/>
          <w:b/>
          <w:bCs/>
          <w:color w:val="042354"/>
          <w:sz w:val="23"/>
          <w:szCs w:val="23"/>
        </w:rPr>
        <w:t xml:space="preserve">Paso a la etapa 4: la implementación.</w:t>
      </w:r>
      <w:r>
        <w:rPr>
          <w:rFonts w:ascii="Arial" w:cs="Arial" w:eastAsia="Arial" w:hAnsi="Arial"/>
          <w:color w:val="191919"/>
          <w:sz w:val="23"/>
          <w:szCs w:val="23"/>
        </w:rPr>
        <w:t xml:space="preserve"> El rediseño cambia el tipo de junta, de penetración parcial a penetración completa, y aumenta la pared del tubo de 0,75 a 1,00 pulgada, sin cambiar el material. Se elimina el concentrador y el factor de seguridad pasa de 0,31 a 2,23.</w:t>
      </w:r>
    </w:p>
    <w:p>
      <w:pPr>
        <w:spacing w:after="140" w:before="0" w:line="320"/>
      </w:pPr>
      <w:r>
        <w:rPr>
          <w:rFonts w:ascii="Arial" w:cs="Arial" w:eastAsia="Arial" w:hAnsi="Arial"/>
          <w:color w:val="191919"/>
          <w:sz w:val="23"/>
          <w:szCs w:val="23"/>
        </w:rPr>
        <w:t xml:space="preserve">Se implementó como cambio controlado: primero los motores con más horas acumuladas; luego la sustitución del motor completo por uno de intercambio con el número de parte mejorado; y un registro del número de parte por posición, para no reponer nunca el obsoleto. El rediseño surgió de las recomendaciones de los propios análisis de falla, y esta operación fue la primera en implementarlo, en 2025.</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18 · Verificación del componente</w:t>
      </w:r>
    </w:p>
    <w:p>
      <w:pPr>
        <w:keepNext/>
        <w:spacing w:after="120" w:before="0" w:line="300"/>
      </w:pPr>
      <w:r>
        <w:rPr>
          <w:rFonts w:ascii="Arial" w:cs="Arial" w:eastAsia="Arial" w:hAnsi="Arial"/>
          <w:color w:val="7A8494"/>
          <w:sz w:val="18"/>
          <w:szCs w:val="18"/>
        </w:rPr>
        <w:t xml:space="preserve">0:55  ·  acumulado 14:00  ·  4.4 · Etapa 4</w:t>
      </w:r>
    </w:p>
    <w:p>
      <w:pPr>
        <w:spacing w:after="140" w:before="0" w:line="320"/>
      </w:pPr>
      <w:r>
        <w:rPr>
          <w:rFonts w:ascii="Arial" w:cs="Arial" w:eastAsia="Arial" w:hAnsi="Arial"/>
          <w:b/>
          <w:bCs/>
          <w:color w:val="042354"/>
          <w:sz w:val="23"/>
          <w:szCs w:val="23"/>
        </w:rPr>
        <w:t xml:space="preserve">Cuarto bloque: la recuperación de los indicadores. Etapa 4, verificación del componente.</w:t>
      </w:r>
      <w:r>
        <w:rPr>
          <w:rFonts w:ascii="Arial" w:cs="Arial" w:eastAsia="Arial" w:hAnsi="Arial"/>
          <w:color w:val="191919"/>
          <w:sz w:val="23"/>
          <w:szCs w:val="23"/>
        </w:rPr>
        <w:t xml:space="preserve"> Desde el último evento, el 14 de diciembre de 2024, la flota acumuló 96 000 horas con el eje rediseñado sin ninguna fractura. Con la tasa anterior se esperaban 6,3 eventos; la probabilidad de observar cero por azar es 0,0018. Por eso se rechaza, con 95 % de confianza, que la falla persista con su frecuencia anterior.</w:t>
      </w:r>
    </w:p>
    <w:p>
      <w:pPr>
        <w:spacing w:after="140" w:before="0" w:line="320"/>
      </w:pPr>
      <w:r>
        <w:rPr>
          <w:rFonts w:ascii="Arial" w:cs="Arial" w:eastAsia="Arial" w:hAnsi="Arial"/>
          <w:color w:val="191919"/>
          <w:sz w:val="23"/>
          <w:szCs w:val="23"/>
        </w:rPr>
        <w:t xml:space="preserve">El límite inferior del MTBF de la falla es de 32 046 horas, por encima del TBO de 20 000, y el MTTR del sistema de propulsión baja de 6,2 a 3,3 horas. Pero soy preciso: esto es lo observado, y la verificación sigue abierta.</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19 · Qué ya ocurrió y qué falta asegurar</w:t>
      </w:r>
    </w:p>
    <w:p>
      <w:pPr>
        <w:keepNext/>
        <w:spacing w:after="120" w:before="0" w:line="300"/>
      </w:pPr>
      <w:r>
        <w:rPr>
          <w:rFonts w:ascii="Arial" w:cs="Arial" w:eastAsia="Arial" w:hAnsi="Arial"/>
          <w:color w:val="7A8494"/>
          <w:sz w:val="18"/>
          <w:szCs w:val="18"/>
        </w:rPr>
        <w:t xml:space="preserve">0:55  ·  acumulado 14:55  ·  4.4 · Etapa 4</w:t>
      </w:r>
    </w:p>
    <w:p>
      <w:pPr>
        <w:spacing w:after="140" w:before="0" w:line="320"/>
      </w:pPr>
      <w:r>
        <w:rPr>
          <w:rFonts w:ascii="Arial" w:cs="Arial" w:eastAsia="Arial" w:hAnsi="Arial"/>
          <w:b/>
          <w:bCs/>
          <w:color w:val="042354"/>
          <w:sz w:val="23"/>
          <w:szCs w:val="23"/>
        </w:rPr>
        <w:t xml:space="preserve">Lo dejo explícito, para no dar nada por supuesto.</w:t>
      </w:r>
      <w:r>
        <w:rPr>
          <w:rFonts w:ascii="Arial" w:cs="Arial" w:eastAsia="Arial" w:hAnsi="Arial"/>
          <w:color w:val="191919"/>
          <w:sz w:val="23"/>
          <w:szCs w:val="23"/>
        </w:rPr>
        <w:t xml:space="preserve"> Lo que ya ocurrió está medido: cero fracturas en 96 000 horas y metas contractuales cumplidas en 2025.</w:t>
      </w:r>
    </w:p>
    <w:p>
      <w:pPr>
        <w:spacing w:after="140" w:before="0" w:line="320"/>
      </w:pPr>
      <w:r>
        <w:rPr>
          <w:rFonts w:ascii="Arial" w:cs="Arial" w:eastAsia="Arial" w:hAnsi="Arial"/>
          <w:color w:val="191919"/>
          <w:sz w:val="23"/>
          <w:szCs w:val="23"/>
        </w:rPr>
        <w:t xml:space="preserve">Lo que la intervención no garantiza por sí sola: instalar el eje nuevo no elimina la falla automáticamente; ningún motor intervenido supera todavía las 24 540 horas, la vida máxima registrada; y el factor de 2,23 es un cálculo que debe confirmar el campo.</w:t>
      </w:r>
    </w:p>
    <w:p>
      <w:pPr>
        <w:spacing w:after="140" w:before="0" w:line="320"/>
      </w:pPr>
      <w:r>
        <w:rPr>
          <w:rFonts w:ascii="Arial" w:cs="Arial" w:eastAsia="Arial" w:hAnsi="Arial"/>
          <w:color w:val="191919"/>
          <w:sz w:val="23"/>
          <w:szCs w:val="23"/>
        </w:rPr>
        <w:t xml:space="preserve">Se asegura con el seguimiento del horómetro de cada motor, el control del número de parte y las contramedidas del análisis de causa raíz. El proceso se cierra cuando todos los motores superen las 24 540 horas sin fractura y los indicadores se mantengan en meta.</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20 · Indicadores de la flota y costo evitado</w:t>
      </w:r>
    </w:p>
    <w:p>
      <w:pPr>
        <w:keepNext/>
        <w:spacing w:after="120" w:before="0" w:line="300"/>
      </w:pPr>
      <w:r>
        <w:rPr>
          <w:rFonts w:ascii="Arial" w:cs="Arial" w:eastAsia="Arial" w:hAnsi="Arial"/>
          <w:color w:val="7A8494"/>
          <w:sz w:val="18"/>
          <w:szCs w:val="18"/>
        </w:rPr>
        <w:t xml:space="preserve">1:05  ·  acumulado 16:00  ·  4.4 · Etapa 4</w:t>
      </w:r>
    </w:p>
    <w:p>
      <w:pPr>
        <w:spacing w:after="140" w:before="0" w:line="320"/>
      </w:pPr>
      <w:r>
        <w:rPr>
          <w:rFonts w:ascii="Arial" w:cs="Arial" w:eastAsia="Arial" w:hAnsi="Arial"/>
          <w:b/>
          <w:bCs/>
          <w:color w:val="042354"/>
          <w:sz w:val="23"/>
          <w:szCs w:val="23"/>
        </w:rPr>
        <w:t xml:space="preserve">Etapa 4: verificación de la flota y costo evitado. Es el resultado más fuerte.</w:t>
      </w:r>
      <w:r>
        <w:rPr>
          <w:rFonts w:ascii="Arial" w:cs="Arial" w:eastAsia="Arial" w:hAnsi="Arial"/>
          <w:color w:val="191919"/>
          <w:sz w:val="23"/>
          <w:szCs w:val="23"/>
        </w:rPr>
        <w:t xml:space="preserve"> La disponibilidad pasó de 90,6 % en 2024 a 93,6 % en 2025, frente a una meta de 91 %. El MTBF pasó de 60,5 a 108,4 horas, frente a un objetivo de 64,5. Por primera vez en el período se cumplen ambos compromisos. El MTTR se mantiene en 3,3 horas, dentro del límite: la acción elimina eventos, no acorta las reparaciones que quedan.</w:t>
      </w:r>
    </w:p>
    <w:p>
      <w:pPr>
        <w:spacing w:after="140" w:before="0" w:line="320"/>
      </w:pPr>
      <w:r>
        <w:rPr>
          <w:rFonts w:ascii="Arial" w:cs="Arial" w:eastAsia="Arial" w:hAnsi="Arial"/>
          <w:color w:val="191919"/>
          <w:sz w:val="23"/>
          <w:szCs w:val="23"/>
        </w:rPr>
        <w:t xml:space="preserve">Sobre la atribución, soy transparente: en el mismo período se intervino otra falla, la fisura de culatas del motor diésel. El aporte directo del eje palier es de 0,36 puntos de disponibilidad.</w:t>
      </w:r>
    </w:p>
    <w:p>
      <w:pPr>
        <w:spacing w:after="140" w:before="0" w:line="320"/>
      </w:pPr>
      <w:r>
        <w:rPr>
          <w:rFonts w:ascii="Arial" w:cs="Arial" w:eastAsia="Arial" w:hAnsi="Arial"/>
          <w:color w:val="191919"/>
          <w:sz w:val="23"/>
          <w:szCs w:val="23"/>
        </w:rPr>
        <w:t xml:space="preserve">El costo evitado es de 3,31 millones de dólares por año: 13 eventos en 36 meses, a 763 393 dólares cada uno.</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21 · Conclusiones</w:t>
      </w:r>
    </w:p>
    <w:p>
      <w:pPr>
        <w:keepNext/>
        <w:spacing w:after="120" w:before="0" w:line="300"/>
      </w:pPr>
      <w:r>
        <w:rPr>
          <w:rFonts w:ascii="Arial" w:cs="Arial" w:eastAsia="Arial" w:hAnsi="Arial"/>
          <w:color w:val="7A8494"/>
          <w:sz w:val="18"/>
          <w:szCs w:val="18"/>
        </w:rPr>
        <w:t xml:space="preserve">1:35  ·  acumulado 17:35  ·  05</w:t>
      </w:r>
    </w:p>
    <w:p>
      <w:pPr>
        <w:spacing w:after="140" w:before="0" w:line="320"/>
      </w:pPr>
      <w:r>
        <w:rPr>
          <w:rFonts w:ascii="Arial" w:cs="Arial" w:eastAsia="Arial" w:hAnsi="Arial"/>
          <w:b/>
          <w:bCs/>
          <w:color w:val="042354"/>
          <w:sz w:val="23"/>
          <w:szCs w:val="23"/>
        </w:rPr>
        <w:t xml:space="preserve">Paso a las conclusiones. Primero, la conclusión general:</w:t>
      </w:r>
      <w:r>
        <w:rPr>
          <w:rFonts w:ascii="Arial" w:cs="Arial" w:eastAsia="Arial" w:hAnsi="Arial"/>
          <w:color w:val="191919"/>
          <w:sz w:val="23"/>
          <w:szCs w:val="23"/>
        </w:rPr>
        <w:t xml:space="preserve"> se eliminó la fractura del eje palier y la flota recuperó sus indicadores contractuales. La disponibilidad pasó de 90,6 a 93,6 % y el MTBF de 60,5 a 108,4 horas; el MTTR se mantuvo en 3,3 horas, dentro del límite.</w:t>
      </w:r>
    </w:p>
    <w:p>
      <w:pPr>
        <w:spacing w:after="140" w:before="0" w:line="320"/>
      </w:pPr>
      <w:r>
        <w:rPr>
          <w:rFonts w:ascii="Arial" w:cs="Arial" w:eastAsia="Arial" w:hAnsi="Arial"/>
          <w:b/>
          <w:bCs/>
          <w:color w:val="042354"/>
          <w:sz w:val="23"/>
          <w:szCs w:val="23"/>
        </w:rPr>
        <w:t xml:space="preserve">Primer objetivo:</w:t>
      </w:r>
      <w:r>
        <w:rPr>
          <w:rFonts w:ascii="Arial" w:cs="Arial" w:eastAsia="Arial" w:hAnsi="Arial"/>
          <w:color w:val="191919"/>
          <w:sz w:val="23"/>
          <w:szCs w:val="23"/>
        </w:rPr>
        <w:t xml:space="preserve"> la falla fue de diseño, en la unión soldada del eje palier. Restó 0,36 % de disponibilidad y costó 3,31 millones de dólares por año en mantenimiento.</w:t>
      </w:r>
    </w:p>
    <w:p>
      <w:pPr>
        <w:spacing w:after="140" w:before="0" w:line="320"/>
      </w:pPr>
      <w:r>
        <w:rPr>
          <w:rFonts w:ascii="Arial" w:cs="Arial" w:eastAsia="Arial" w:hAnsi="Arial"/>
          <w:b/>
          <w:bCs/>
          <w:color w:val="042354"/>
          <w:sz w:val="23"/>
          <w:szCs w:val="23"/>
        </w:rPr>
        <w:t xml:space="preserve">Segundo objetivo:</w:t>
      </w:r>
      <w:r>
        <w:rPr>
          <w:rFonts w:ascii="Arial" w:cs="Arial" w:eastAsia="Arial" w:hAnsi="Arial"/>
          <w:color w:val="191919"/>
          <w:sz w:val="23"/>
          <w:szCs w:val="23"/>
        </w:rPr>
        <w:t xml:space="preserve"> se determinaron las causas latentes. No existía un mecanismo que convirtiera los hallazgos de los análisis de falla en un cambio de diseño, y se manifestó en tres causas: análisis por evento, registro de paradas sin codificación de la falla y recomendaciones sin responsable, plazo ni cierre.</w:t>
      </w:r>
    </w:p>
    <w:p>
      <w:pPr>
        <w:spacing w:after="140" w:before="0" w:line="320"/>
      </w:pPr>
      <w:r>
        <w:rPr>
          <w:rFonts w:ascii="Arial" w:cs="Arial" w:eastAsia="Arial" w:hAnsi="Arial"/>
          <w:b/>
          <w:bCs/>
          <w:color w:val="042354"/>
          <w:sz w:val="23"/>
          <w:szCs w:val="23"/>
        </w:rPr>
        <w:t xml:space="preserve">Tercer objetivo:</w:t>
      </w:r>
      <w:r>
        <w:rPr>
          <w:rFonts w:ascii="Arial" w:cs="Arial" w:eastAsia="Arial" w:hAnsi="Arial"/>
          <w:color w:val="191919"/>
          <w:sz w:val="23"/>
          <w:szCs w:val="23"/>
        </w:rPr>
        <w:t xml:space="preserve"> se cambió el tipo de junta a penetración completa y se eliminó el concentrador; el factor de seguridad pasó de 0,31 a 2,23. El plan se planteó como acción a falta de del RCM, se priorizó por horómetro y se implementó en 2025 con control del número de parte. En campo: cero fracturas en 96 000 horas.</w:t>
      </w:r>
    </w:p>
    <w:p>
      <w:pPr>
        <w:spacing w:after="140" w:before="0" w:line="320"/>
      </w:pPr>
      <w:r>
        <w:rPr>
          <w:rFonts w:ascii="Arial" w:cs="Arial" w:eastAsia="Arial" w:hAnsi="Arial"/>
          <w:b/>
          <w:bCs/>
          <w:color w:val="042354"/>
          <w:sz w:val="23"/>
          <w:szCs w:val="23"/>
        </w:rPr>
        <w:t xml:space="preserve">Cuarto objetivo:</w:t>
      </w:r>
      <w:r>
        <w:rPr>
          <w:rFonts w:ascii="Arial" w:cs="Arial" w:eastAsia="Arial" w:hAnsi="Arial"/>
          <w:color w:val="191919"/>
          <w:sz w:val="23"/>
          <w:szCs w:val="23"/>
        </w:rPr>
        <w:t xml:space="preserve"> el costo evitado es de 3,31 millones de dólares por año.</w:t>
      </w:r>
    </w:p>
    <w:p>
      <w:pPr>
        <w:pStyle w:val="Heading2"/>
        <w:keepNext/>
        <w:pBdr>
          <w:bottom w:val="single" w:color="CFD6DF" w:sz="6" w:space="4"/>
        </w:pBdr>
        <w:spacing w:after="40" w:before="320"/>
      </w:pPr>
      <w:r>
        <w:rPr>
          <w:rFonts w:ascii="Arial" w:cs="Arial" w:eastAsia="Arial" w:hAnsi="Arial"/>
          <w:b/>
          <w:bCs/>
          <w:color w:val="042354"/>
          <w:sz w:val="24"/>
          <w:szCs w:val="24"/>
        </w:rPr>
        <w:t xml:space="preserve">Diap. 22 · Cierre</w:t>
      </w:r>
    </w:p>
    <w:p>
      <w:pPr>
        <w:keepNext/>
        <w:spacing w:after="120" w:before="0" w:line="300"/>
      </w:pPr>
      <w:r>
        <w:rPr>
          <w:rFonts w:ascii="Arial" w:cs="Arial" w:eastAsia="Arial" w:hAnsi="Arial"/>
          <w:color w:val="7A8494"/>
          <w:sz w:val="18"/>
          <w:szCs w:val="18"/>
        </w:rPr>
        <w:t xml:space="preserve">0:10  ·  acumulado 17:45</w:t>
      </w:r>
    </w:p>
    <w:p>
      <w:pPr>
        <w:spacing w:after="140" w:before="0" w:line="320"/>
      </w:pPr>
      <w:r>
        <w:rPr>
          <w:rFonts w:ascii="Arial" w:cs="Arial" w:eastAsia="Arial" w:hAnsi="Arial"/>
          <w:color w:val="191919"/>
          <w:sz w:val="23"/>
          <w:szCs w:val="23"/>
        </w:rPr>
        <w:t xml:space="preserve">Muchas gracias. Quedo a disposición del jurado para sus preguntas y comentarios.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A84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Speech de sustentación · 18 min</dc:title>
  <dc:creator>Samir Aldair Cedillo Preciado</dc:creator>
  <cp:lastModifiedBy>Un-named</cp:lastModifiedBy>
  <cp:revision>1</cp:revision>
  <dcterms:created xsi:type="dcterms:W3CDTF">2026-09-29T18:26:03.067Z</dcterms:created>
  <dcterms:modified xsi:type="dcterms:W3CDTF">2026-09-29T18:26:03.067Z</dcterms:modified>
</cp:coreProperties>
</file>

<file path=docProps/custom.xml><?xml version="1.0" encoding="utf-8"?>
<Properties xmlns="http://schemas.openxmlformats.org/officeDocument/2006/custom-properties" xmlns:vt="http://schemas.openxmlformats.org/officeDocument/2006/docPropsVTypes"/>
</file>