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Memoria de cálculo FEA – Ampliación del tanque de combustible 980E-5</w:t>
      </w:r>
    </w:p>
    <w:p>
      <w:pPr/>
      <w:r>
        <w:t xml:space="preserve">Oct 15, 2026</w:t>
      </w:r>
      <w:r>
        <w:t xml:space="preserve"> · </w:t>
      </w:r>
      <w:r>
        <w:t xml:space="preserve">@Samir Aldair Cedillo Preciado</w:t>
      </w:r>
    </w:p>
    <w:p>
      <w:pPr/>
      <w:r>
        <w:t xml:space="preserve">Evaluación estructural (FEA de cáscaras, CalculiX) de las dos propuestas de Raúl Pérez para aumentar la capacidad del tanque de combustible del camión Komatsu 980E-5 en Toromocho, comparadas contra el tanque actual (línea base).</w:t>
      </w:r>
    </w:p>
    <w:p>
      <w:pPr>
        <w:pStyle w:val="Heading2"/>
      </w:pPr>
      <w:r>
        <w:t xml:space="preserve">2. Propuestas analizadas</w:t>
      </w:r>
    </w:p>
    <w:p>
      <w:pPr/>
      <w:r>
        <w:t xml:space="preserve">Raúl pidió crecer el tanque hacia abajo, como la propuesta de fábrica, y sumarle una de dos ampliaciones; la extensión hacia el neumático delantero queda descartada.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agrega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Caja frontal (pieza "verde", lado con chaflán)</w:t>
            </w:r>
          </w:p>
        </w:tc>
        <w:tc>
          <w:tcPr>
            <w:tcW w:w="3120" w:type="dxa"/>
          </w:tcPr>
          <w:p>
            <w:pPr/>
            <w:r>
              <w:t xml:space="preserve">Caja de ~300 mm hacia el neumático delantero</w:t>
            </w:r>
          </w:p>
        </w:tc>
        <w:tc>
          <w:tcPr>
            <w:tcW w:w="3120" w:type="dxa"/>
          </w:tcPr>
          <w:p>
            <w:pPr/>
            <w:r>
              <w:t xml:space="preserve">Descartada: con la dirección girada la luz cae de 700 a 80 mm a la altura del eje y de 750 a 175 mm en el fondo; además la suspensión delantera sube hasta 303 mm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P1</w:t>
            </w:r>
          </w:p>
        </w:tc>
        <w:tc>
          <w:tcPr>
            <w:tcW w:w="3120" w:type="dxa"/>
          </w:tcPr>
          <w:p>
            <w:pPr/>
            <w:r>
              <w:t xml:space="preserve">Extensión inferior +300 mm (misma planta) + caja posterior 1,400 × 300 × 1,000 mm sobre el lado plano (pieza "marrón", hacia neumáticos traseros)</w:t>
            </w:r>
          </w:p>
        </w:tc>
        <w:tc>
          <w:tcPr>
            <w:tcW w:w="3120" w:type="dxa"/>
          </w:tcPr>
          <w:p>
            <w:pPr/>
            <w:r>
              <w:t xml:space="preserve">Analizada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P2</w:t>
            </w:r>
          </w:p>
        </w:tc>
        <w:tc>
          <w:tcPr>
            <w:tcW w:w="3120" w:type="dxa"/>
          </w:tcPr>
          <w:p>
            <w:pPr/>
            <w:r>
              <w:t xml:space="preserve">Extensión inferior +300 mm + elevación del techo +150 mm con reubicación del jet sensor</w:t>
            </w:r>
          </w:p>
        </w:tc>
        <w:tc>
          <w:tcPr>
            <w:tcW w:w="3120" w:type="dxa"/>
          </w:tcPr>
          <w:p>
            <w:pPr/>
            <w:r>
              <w:t xml:space="preserve">Analizada</w:t>
            </w:r>
          </w:p>
        </w:tc>
      </w:tr>
    </w:tbl>
    <w:p>
      <w:pPr/>
      <w:r>
        <w:t xml:space="preserve">La propuesta de fábrica no tiene cotas en los insumos. Se asumió +300 mm para conservar ~1.0 m de despeje al suelo: el fondo actual queda a ~1.35 m según la foto lateral escalada con el neumático 59/80R63.</w:t>
      </w:r>
    </w:p>
    <w:p>
      <w:pPr/>
      <w:r>
        <w:t xml:space="preserve">"Unos cuantos centímetros" en el techo se tomó como +150 mm, el valor que ya figura en la hoja 555 del Excel TANQUE980E-5. La caja posterior replica las medidas de las propuestas previas: Marco 2017 (1,425–1,520 × 300 × 1,000 mm) y RENTA (1,405 × 329 × 1,163 mm).</w:t>
      </w:r>
    </w:p>
    <w:p>
      <w:pPr/>
      <w:r>
        <w:drawing>
          <wp:inline distT="0" distB="0" distL="0" distR="0">
            <wp:extent cx="5486400" cy="2191188"/>
            <wp:docPr id="1" name="image1" descr="Simulación de giro de llanta: la luz al neumático delantero baja a 80 mm (foto de campo KMMP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mulación de giro de llanta: la luz al neumático delantero baja a 80 mm (foto de campo KMMP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P1 tiene dos interferencias abiertas en el lado posterior: el cilindro de levante RH (lámina KMMP "Interferencias neumático posterior") y el brazo del manipulador, que en el video 04 pasa a un palmo de la cara posterior. Ambas se deben medir antes de fabricar.</w:t>
      </w:r>
    </w:p>
    <w:p>
      <w:pPr>
        <w:pStyle w:val="Heading2"/>
      </w:pPr>
      <w:r>
        <w:t xml:space="preserve">3. Datos de entrada y supuestos</w:t>
      </w:r>
    </w:p>
    <w:p>
      <w:pPr/>
      <w:r>
        <w:t xml:space="preserve">La geometría y la capacidad del tanque actual tienen fuente documental; los apoyos, los mamparos internos, el material y las cargas dinámicas son supuestos y son la principal incertidumbre del análisis.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Valor usado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Fuente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lo confirmaría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Planta del tanque</w:t>
            </w:r>
          </w:p>
        </w:tc>
        <w:tc>
          <w:tcPr>
            <w:tcW w:w="1872" w:type="dxa"/>
          </w:tcPr>
          <w:p>
            <w:pPr/>
            <w:r>
              <w:t xml:space="preserve">2,292 × 1,321 / 1,040 mm; tramo angosto 1,120 mm; chaflán 602 mm (retranqueo 281 mm)</w:t>
            </w:r>
          </w:p>
        </w:tc>
        <w:tc>
          <w:tcPr>
            <w:tcW w:w="1872" w:type="dxa"/>
          </w:tcPr>
          <w:p>
            <w:pPr/>
            <w:r>
              <w:t xml:space="preserve">Cotas medidas del modelo 3D Komatsu y planos de plancha (no se reproducen)</w:t>
            </w:r>
          </w:p>
        </w:tc>
        <w:tc>
          <w:tcPr>
            <w:tcW w:w="1872" w:type="dxa"/>
          </w:tcPr>
          <w:p>
            <w:pPr/>
            <w:r>
              <w:t xml:space="preserve">Medición en campo con wincha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Altura y capacidad</w:t>
            </w:r>
          </w:p>
        </w:tc>
        <w:tc>
          <w:tcPr>
            <w:tcW w:w="1872" w:type="dxa"/>
          </w:tcPr>
          <w:p>
            <w:pPr/>
            <w:r>
              <w:t xml:space="preserve">Altura interior 2,240 mm; 1,513 gal brutos; 1,434 gal a jet sensor; 1,416 gal útiles</w:t>
            </w:r>
          </w:p>
        </w:tc>
        <w:tc>
          <w:tcPr>
            <w:tcW w:w="1872" w:type="dxa"/>
          </w:tcPr>
          <w:p>
            <w:pPr/>
            <w:r>
              <w:t xml:space="preserve">Komatsu "1400 Gal Tank Vol Study Customer"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Altura exterior</w:t>
            </w:r>
          </w:p>
        </w:tc>
        <w:tc>
          <w:tcPr>
            <w:tcW w:w="1872" w:type="dxa"/>
          </w:tcPr>
          <w:p>
            <w:pPr/>
            <w:r>
              <w:t xml:space="preserve">2,292 mm, con faldón inferior de 36 mm (asumido)</w:t>
            </w:r>
          </w:p>
        </w:tc>
        <w:tc>
          <w:tcPr>
            <w:tcW w:w="1872" w:type="dxa"/>
          </w:tcPr>
          <w:p>
            <w:pPr/>
            <w:r>
              <w:t xml:space="preserve">Medida δZ en modelo 3D</w:t>
            </w:r>
          </w:p>
        </w:tc>
        <w:tc>
          <w:tcPr>
            <w:tcW w:w="1872" w:type="dxa"/>
          </w:tcPr>
          <w:p>
            <w:pPr/>
            <w:r>
              <w:t xml:space="preserve">Ver el detalle del fondo en campo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Espesor de plancha</w:t>
            </w:r>
          </w:p>
        </w:tc>
        <w:tc>
          <w:tcPr>
            <w:tcW w:w="1872" w:type="dxa"/>
          </w:tcPr>
          <w:p>
            <w:pPr/>
            <w:r>
              <w:t xml:space="preserve">8 mm en paredes, techo, fondo y mamparos</w:t>
            </w:r>
          </w:p>
        </w:tc>
        <w:tc>
          <w:tcPr>
            <w:tcW w:w="1872" w:type="dxa"/>
          </w:tcPr>
          <w:p>
            <w:pPr/>
            <w:r>
              <w:t xml:space="preserve">Planos de plancha (paredes); techo, fondo y mamparos asumidos</w:t>
            </w:r>
          </w:p>
        </w:tc>
        <w:tc>
          <w:tcPr>
            <w:tcW w:w="1872" w:type="dxa"/>
          </w:tcPr>
          <w:p>
            <w:pPr/>
            <w:r>
              <w:t xml:space="preserve">Medición UT de espesores actuales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Mamparos internos</w:t>
            </w:r>
          </w:p>
        </w:tc>
        <w:tc>
          <w:tcPr>
            <w:tcW w:w="1872" w:type="dxa"/>
          </w:tcPr>
          <w:p>
            <w:pPr/>
            <w:r>
              <w:t xml:space="preserve">1 longitudinal (y = 520 mm) + 2 transversales (x = 767 y 1,525 mm), agujeros Ø400</w:t>
            </w:r>
          </w:p>
        </w:tc>
        <w:tc>
          <w:tcPr>
            <w:tcW w:w="1872" w:type="dxa"/>
          </w:tcPr>
          <w:p>
            <w:pPr/>
            <w:r>
              <w:t xml:space="preserve">Asumido; cuadra con los ~19 gal de mamparos que declara Komatsu (~9 m² de plancha 8 mm)</w:t>
            </w:r>
          </w:p>
        </w:tc>
        <w:tc>
          <w:tcPr>
            <w:tcW w:w="1872" w:type="dxa"/>
          </w:tcPr>
          <w:p>
            <w:pPr/>
            <w:r>
              <w:t xml:space="preserve">Inspección interna o plano OEM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Material</w:t>
            </w:r>
          </w:p>
        </w:tc>
        <w:tc>
          <w:tcPr>
            <w:tcW w:w="1872" w:type="dxa"/>
          </w:tcPr>
          <w:p>
            <w:pPr/>
            <w:r>
              <w:t xml:space="preserve">ASTM A36 / JIS SS400: Sy = 245 MPa, Su = 400 MPa, E = 205 GPa, ν = 0.3</w:t>
            </w:r>
          </w:p>
        </w:tc>
        <w:tc>
          <w:tcPr>
            <w:tcW w:w="1872" w:type="dxa"/>
          </w:tcPr>
          <w:p>
            <w:pPr/>
            <w:r>
              <w:t xml:space="preserve">Asumido</w:t>
            </w:r>
          </w:p>
        </w:tc>
        <w:tc>
          <w:tcPr>
            <w:tcW w:w="1872" w:type="dxa"/>
          </w:tcPr>
          <w:p>
            <w:pPr/>
            <w:r>
              <w:t xml:space="preserve">Certificado OEM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Apoyos</w:t>
            </w:r>
          </w:p>
        </w:tc>
        <w:tc>
          <w:tcPr>
            <w:tcW w:w="1872" w:type="dxa"/>
          </w:tcPr>
          <w:p>
            <w:pPr/>
            <w:r>
              <w:t xml:space="preserve">2 orejas superiores con pasador (x 50–250, z 1,990–2,190 mm, caras posterior y frontal) + 2 apoyos inferiores contra bastidor (solo Ux, z 200–400 mm)</w:t>
            </w:r>
          </w:p>
        </w:tc>
        <w:tc>
          <w:tcPr>
            <w:tcW w:w="1872" w:type="dxa"/>
          </w:tcPr>
          <w:p>
            <w:pPr/>
            <w:r>
              <w:t xml:space="preserve">Fotos de orejas en la cara larga y soporte del 930E (Marco 2017)</w:t>
            </w:r>
          </w:p>
        </w:tc>
        <w:tc>
          <w:tcPr>
            <w:tcW w:w="1872" w:type="dxa"/>
          </w:tcPr>
          <w:p>
            <w:pPr/>
            <w:r>
              <w:t xml:space="preserve">Catálogo de partes del soporte 980E-5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Combustible</w:t>
            </w:r>
          </w:p>
        </w:tc>
        <w:tc>
          <w:tcPr>
            <w:tcW w:w="1872" w:type="dxa"/>
          </w:tcPr>
          <w:p>
            <w:pPr/>
            <w:r>
              <w:t xml:space="preserve">Diésel 850 kg/m³; tanque 100 % lleno para todas las cargas, venteo en el centro del techo</w:t>
            </w:r>
          </w:p>
        </w:tc>
        <w:tc>
          <w:tcPr>
            <w:tcW w:w="1872" w:type="dxa"/>
          </w:tcPr>
          <w:p>
            <w:pPr/>
            <w:r>
              <w:t xml:space="preserve">Asumido (conservador: +5 % sobre nivel de jet sensor)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Aceleraciones</w:t>
            </w:r>
          </w:p>
        </w:tc>
        <w:tc>
          <w:tcPr>
            <w:tcW w:w="1872" w:type="dxa"/>
          </w:tcPr>
          <w:p>
            <w:pPr/>
            <w:r>
              <w:t xml:space="preserve">1g; 1g + 0.5g longitudinal; 1g + 0.5g lateral; 2g + 0.5g + 0.3g; 3g vertical</w:t>
            </w:r>
          </w:p>
        </w:tc>
        <w:tc>
          <w:tcPr>
            <w:tcW w:w="1872" w:type="dxa"/>
          </w:tcPr>
          <w:p>
            <w:pPr/>
            <w:r>
              <w:t xml:space="preserve">Criterio conservador (las cisternas ADR/EN 13094 usan 2g long., 1g lat., 2g vert.)</w:t>
            </w:r>
          </w:p>
        </w:tc>
        <w:tc>
          <w:tcPr>
            <w:tcW w:w="1872" w:type="dxa"/>
          </w:tcPr>
          <w:p>
            <w:pPr/>
            <w:r>
              <w:t xml:space="preserve">Acelerómetro triaxial en el bastidor, un turno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Fatiga</w:t>
            </w:r>
          </w:p>
        </w:tc>
        <w:tc>
          <w:tcPr>
            <w:tcW w:w="1872" w:type="dxa"/>
          </w:tcPr>
          <w:p>
            <w:pPr/>
            <w:r>
              <w:t xml:space="preserve">±0.5g vertical (rango 1g), más de 10⁷ ciclos; IIW hot-spot FAT 90 → Δσ_L = 52.6 MPa</w:t>
            </w:r>
          </w:p>
        </w:tc>
        <w:tc>
          <w:tcPr>
            <w:tcW w:w="1872" w:type="dxa"/>
          </w:tcPr>
          <w:p>
            <w:pPr/>
            <w:r>
              <w:t xml:space="preserve">Asumido</w:t>
            </w:r>
          </w:p>
        </w:tc>
        <w:tc>
          <w:tcPr>
            <w:tcW w:w="1872" w:type="dxa"/>
          </w:tcPr>
          <w:p>
            <w:pPr/>
            <w:r>
              <w:t xml:space="preserve">Ídem punto 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Excitación del motor</w:t>
            </w:r>
          </w:p>
        </w:tc>
        <w:tc>
          <w:tcPr>
            <w:tcW w:w="1872" w:type="dxa"/>
          </w:tcPr>
          <w:p>
            <w:pPr/>
            <w:r>
              <w:t xml:space="preserve">16 cilindros, 4 tiempos, 1,800–1,900 rpm (1× = 30–32 Hz); ralentí ~750 rpm (12.5 Hz) asumido</w:t>
            </w:r>
          </w:p>
        </w:tc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Ficha Komatsu 980E-5SE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Modelo de motor y ralentí de la flota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Extensiones</w:t>
            </w:r>
          </w:p>
        </w:tc>
        <w:tc>
          <w:tcPr>
            <w:tcW w:w="1872" w:type="dxa"/>
          </w:tcPr>
          <w:p>
            <w:pPr/>
            <w:r>
              <w:t xml:space="preserve">Inferior +300 mm; techo +150 mm; caja 1,400 × 300 × 1,000 mm</w:t>
            </w:r>
          </w:p>
        </w:tc>
        <w:tc>
          <w:tcPr>
            <w:tcW w:w="1872" w:type="dxa"/>
          </w:tcPr>
          <w:p>
            <w:pPr/>
            <w:r>
              <w:t xml:space="preserve">Sección 2</w:t>
            </w:r>
          </w:p>
        </w:tc>
        <w:tc>
          <w:tcPr>
            <w:tcW w:w="1872" w:type="dxa"/>
          </w:tcPr>
          <w:p>
            <w:pPr/>
            <w:r>
              <w:t xml:space="preserve">Cotas de la propuesta de fábrica y luz techo–tolva</w:t>
            </w:r>
          </w:p>
        </w:tc>
      </w:tr>
    </w:tbl>
    <w:p>
      <w:pPr/>
      <w:r>
        <w:t xml:space="preserve">Criterios de aceptación adoptados: FS ≥ 1.5 a fluencia en los casos extremos (fuera de las zonas de apoyo idealizadas) y Δσ_hot-spot ≤ Δσ_L / 1.15 en soldaduras. Como el propio tanque OEM no cumple todo con estas cargas, la decisión se apoya también en la comparación contra la línea base.</w:t>
      </w:r>
    </w:p>
    <w:p>
      <w:pPr>
        <w:pStyle w:val="Heading2"/>
      </w:pPr>
      <w:r>
        <w:t xml:space="preserve">4. Geometría y modelos 3D</w:t>
      </w:r>
    </w:p>
    <w:p>
      <w:pPr/>
      <w:r>
        <w:t xml:space="preserve">P1 agrega 279 gal útiles (+19.7 %) y P2, 304 gal (+21.5 %); las versiones modificadas P1-M y P2-M (sección 10) agregan 275 y 300 gal. Todas suman entre 1.3 y 1.5 t al tanque lleno y bajan su centro de gravedad entre 75 y 125 mm.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B0 (actual)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P1-M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P2-M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Capacidad bruta (gal)</w:t>
            </w:r>
          </w:p>
        </w:tc>
        <w:tc>
          <w:tcPr>
            <w:tcW w:w="1560" w:type="dxa"/>
          </w:tcPr>
          <w:p>
            <w:pPr/>
            <w:r>
              <w:t xml:space="preserve">1,513</w:t>
            </w:r>
          </w:p>
        </w:tc>
        <w:tc>
          <w:tcPr>
            <w:tcW w:w="1560" w:type="dxa"/>
          </w:tcPr>
          <w:p>
            <w:pPr/>
            <w:r>
              <w:t xml:space="preserve">1,805</w:t>
            </w:r>
          </w:p>
        </w:tc>
        <w:tc>
          <w:tcPr>
            <w:tcW w:w="1560" w:type="dxa"/>
          </w:tcPr>
          <w:p>
            <w:pPr/>
            <w:r>
              <w:t xml:space="preserve">1,817</w:t>
            </w:r>
          </w:p>
        </w:tc>
        <w:tc>
          <w:tcPr>
            <w:tcW w:w="1560" w:type="dxa"/>
          </w:tcPr>
          <w:p>
            <w:pPr/>
            <w:r>
              <w:t xml:space="preserve">1,801</w:t>
            </w:r>
          </w:p>
        </w:tc>
        <w:tc>
          <w:tcPr>
            <w:tcW w:w="1560" w:type="dxa"/>
          </w:tcPr>
          <w:p>
            <w:pPr/>
            <w:r>
              <w:t xml:space="preserve">1,813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Capacidad a jet sensor (gal)</w:t>
            </w:r>
          </w:p>
        </w:tc>
        <w:tc>
          <w:tcPr>
            <w:tcW w:w="1560" w:type="dxa"/>
          </w:tcPr>
          <w:p>
            <w:pPr/>
            <w:r>
              <w:t xml:space="preserve">1,434</w:t>
            </w:r>
          </w:p>
        </w:tc>
        <w:tc>
          <w:tcPr>
            <w:tcW w:w="1560" w:type="dxa"/>
          </w:tcPr>
          <w:p>
            <w:pPr/>
            <w:r>
              <w:t xml:space="preserve">1,713</w:t>
            </w:r>
          </w:p>
        </w:tc>
        <w:tc>
          <w:tcPr>
            <w:tcW w:w="1560" w:type="dxa"/>
          </w:tcPr>
          <w:p>
            <w:pPr/>
            <w:r>
              <w:t xml:space="preserve">1,738</w:t>
            </w:r>
          </w:p>
        </w:tc>
        <w:tc>
          <w:tcPr>
            <w:tcW w:w="1560" w:type="dxa"/>
          </w:tcPr>
          <w:p>
            <w:pPr/>
            <w:r>
              <w:t xml:space="preserve">1,709</w:t>
            </w:r>
          </w:p>
        </w:tc>
        <w:tc>
          <w:tcPr>
            <w:tcW w:w="1560" w:type="dxa"/>
          </w:tcPr>
          <w:p>
            <w:pPr/>
            <w:r>
              <w:t xml:space="preserve">1,733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Capacidad útil (gal)</w:t>
            </w:r>
          </w:p>
        </w:tc>
        <w:tc>
          <w:tcPr>
            <w:tcW w:w="1560" w:type="dxa"/>
          </w:tcPr>
          <w:p>
            <w:pPr/>
            <w:r>
              <w:t xml:space="preserve">1,416</w:t>
            </w:r>
          </w:p>
        </w:tc>
        <w:tc>
          <w:tcPr>
            <w:tcW w:w="1560" w:type="dxa"/>
          </w:tcPr>
          <w:p>
            <w:pPr/>
            <w:r>
              <w:t xml:space="preserve">1,695</w:t>
            </w:r>
          </w:p>
        </w:tc>
        <w:tc>
          <w:tcPr>
            <w:tcW w:w="1560" w:type="dxa"/>
          </w:tcPr>
          <w:p>
            <w:pPr/>
            <w:r>
              <w:t xml:space="preserve">1,720</w:t>
            </w:r>
          </w:p>
        </w:tc>
        <w:tc>
          <w:tcPr>
            <w:tcW w:w="1560" w:type="dxa"/>
          </w:tcPr>
          <w:p>
            <w:pPr/>
            <w:r>
              <w:t xml:space="preserve">1,691</w:t>
            </w:r>
          </w:p>
        </w:tc>
        <w:tc>
          <w:tcPr>
            <w:tcW w:w="1560" w:type="dxa"/>
          </w:tcPr>
          <w:p>
            <w:pPr/>
            <w:r>
              <w:t xml:space="preserve">1,716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Incremento útil (gal)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+279</w:t>
            </w:r>
          </w:p>
        </w:tc>
        <w:tc>
          <w:tcPr>
            <w:tcW w:w="1560" w:type="dxa"/>
          </w:tcPr>
          <w:p>
            <w:pPr/>
            <w:r>
              <w:t xml:space="preserve">+304</w:t>
            </w:r>
          </w:p>
        </w:tc>
        <w:tc>
          <w:tcPr>
            <w:tcW w:w="1560" w:type="dxa"/>
          </w:tcPr>
          <w:p>
            <w:pPr/>
            <w:r>
              <w:t xml:space="preserve">+275</w:t>
            </w:r>
          </w:p>
        </w:tc>
        <w:tc>
          <w:tcPr>
            <w:tcW w:w="1560" w:type="dxa"/>
          </w:tcPr>
          <w:p>
            <w:pPr/>
            <w:r>
              <w:t xml:space="preserve">+300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Autonomía extra a 70 gal/h (h)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+4.0</w:t>
            </w:r>
          </w:p>
        </w:tc>
        <w:tc>
          <w:tcPr>
            <w:tcW w:w="1560" w:type="dxa"/>
          </w:tcPr>
          <w:p>
            <w:pPr/>
            <w:r>
              <w:t xml:space="preserve">+4.3</w:t>
            </w:r>
          </w:p>
        </w:tc>
        <w:tc>
          <w:tcPr>
            <w:tcW w:w="1560" w:type="dxa"/>
          </w:tcPr>
          <w:p>
            <w:pPr/>
            <w:r>
              <w:t xml:space="preserve">+3.9</w:t>
            </w:r>
          </w:p>
        </w:tc>
        <w:tc>
          <w:tcPr>
            <w:tcW w:w="1560" w:type="dxa"/>
          </w:tcPr>
          <w:p>
            <w:pPr/>
            <w:r>
              <w:t xml:space="preserve">+4.3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Masa de acero, modelo (kg)</w:t>
            </w:r>
          </w:p>
        </w:tc>
        <w:tc>
          <w:tcPr>
            <w:tcW w:w="1560" w:type="dxa"/>
          </w:tcPr>
          <w:p>
            <w:pPr/>
            <w:r>
              <w:t xml:space="preserve">1,904</w:t>
            </w:r>
          </w:p>
        </w:tc>
        <w:tc>
          <w:tcPr>
            <w:tcW w:w="1560" w:type="dxa"/>
          </w:tcPr>
          <w:p>
            <w:pPr/>
            <w:r>
              <w:t xml:space="preserve">2,274</w:t>
            </w:r>
          </w:p>
        </w:tc>
        <w:tc>
          <w:tcPr>
            <w:tcW w:w="1560" w:type="dxa"/>
          </w:tcPr>
          <w:p>
            <w:pPr/>
            <w:r>
              <w:t xml:space="preserve">2,223</w:t>
            </w:r>
          </w:p>
        </w:tc>
        <w:tc>
          <w:tcPr>
            <w:tcW w:w="1560" w:type="dxa"/>
          </w:tcPr>
          <w:p>
            <w:pPr/>
            <w:r>
              <w:t xml:space="preserve">2,437</w:t>
            </w:r>
          </w:p>
        </w:tc>
        <w:tc>
          <w:tcPr>
            <w:tcW w:w="1560" w:type="dxa"/>
          </w:tcPr>
          <w:p>
            <w:pPr/>
            <w:r>
              <w:t xml:space="preserve">2,386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Masa llena a jet sensor (kg)</w:t>
            </w:r>
          </w:p>
        </w:tc>
        <w:tc>
          <w:tcPr>
            <w:tcW w:w="1560" w:type="dxa"/>
          </w:tcPr>
          <w:p>
            <w:pPr/>
            <w:r>
              <w:t xml:space="preserve">6,544</w:t>
            </w:r>
          </w:p>
        </w:tc>
        <w:tc>
          <w:tcPr>
            <w:tcW w:w="1560" w:type="dxa"/>
          </w:tcPr>
          <w:p>
            <w:pPr/>
            <w:r>
              <w:t xml:space="preserve">7,817</w:t>
            </w:r>
          </w:p>
        </w:tc>
        <w:tc>
          <w:tcPr>
            <w:tcW w:w="1560" w:type="dxa"/>
          </w:tcPr>
          <w:p>
            <w:pPr/>
            <w:r>
              <w:t xml:space="preserve">7,848</w:t>
            </w:r>
          </w:p>
        </w:tc>
        <w:tc>
          <w:tcPr>
            <w:tcW w:w="1560" w:type="dxa"/>
          </w:tcPr>
          <w:p>
            <w:pPr/>
            <w:r>
              <w:t xml:space="preserve">7,966</w:t>
            </w:r>
          </w:p>
        </w:tc>
        <w:tc>
          <w:tcPr>
            <w:tcW w:w="1560" w:type="dxa"/>
          </w:tcPr>
          <w:p>
            <w:pPr/>
            <w:r>
              <w:t xml:space="preserve">7,997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CG x / y / z desde esquina interior-posterior-fondo original (mm)</w:t>
            </w:r>
          </w:p>
        </w:tc>
        <w:tc>
          <w:tcPr>
            <w:tcW w:w="1560" w:type="dxa"/>
          </w:tcPr>
          <w:p>
            <w:pPr/>
            <w:r>
              <w:t xml:space="preserve">1,088 / 578 / 1,075</w:t>
            </w:r>
          </w:p>
        </w:tc>
        <w:tc>
          <w:tcPr>
            <w:tcW w:w="1560" w:type="dxa"/>
          </w:tcPr>
          <w:p>
            <w:pPr/>
            <w:r>
              <w:t xml:space="preserve">1,086 / 539 / 969</w:t>
            </w:r>
          </w:p>
        </w:tc>
        <w:tc>
          <w:tcPr>
            <w:tcW w:w="1560" w:type="dxa"/>
          </w:tcPr>
          <w:p>
            <w:pPr/>
            <w:r>
              <w:t xml:space="preserve">1,088 / 578 / 1,000</w:t>
            </w:r>
          </w:p>
        </w:tc>
        <w:tc>
          <w:tcPr>
            <w:tcW w:w="1560" w:type="dxa"/>
          </w:tcPr>
          <w:p>
            <w:pPr/>
            <w:r>
              <w:t xml:space="preserve">1,086 / 540 / 950</w:t>
            </w:r>
          </w:p>
        </w:tc>
        <w:tc>
          <w:tcPr>
            <w:tcW w:w="1560" w:type="dxa"/>
          </w:tcPr>
          <w:p>
            <w:pPr/>
            <w:r>
              <w:t xml:space="preserve">1,088 / 578 / 980</w:t>
            </w:r>
          </w:p>
        </w:tc>
      </w:tr>
    </w:tbl>
    <w:p>
      <w:pPr/>
      <w:r>
        <w:t xml:space="preserve">Las capacidades siguen el método Komatsu (área de fondo 2.557 m² × altura); el volumen CAD da 0.6 % más por la planta reconstruida. La masa de acero modelada excluye accesorios, orejas y guardas (el tanque real pesa ~2,100 kg). Autonomía extra a 60 y 80 gal/h: P1 +4.7 / +3.5 h; P2 +5.1 / +3.8 h.</w:t>
      </w:r>
    </w:p>
    <w:p>
      <w:pPr/>
      <w:r>
        <w:drawing>
          <wp:inline distT="0" distB="0" distL="0" distR="0">
            <wp:extent cx="5486400" cy="1584198"/>
            <wp:docPr id="2" name="image2" descr="Modelos 3D: B0 (actual), P1 y P2. Naranja: plancha nue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odelos 3D: B0 (actual), P1 y P2. Naranja: plancha nuev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2375154"/>
            <wp:docPr id="3" name="image3" descr="Corte de P1 y P2: mamparos existentes (celeste) prolongados (amarillo) hasta el fondo nuev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orte de P1 y P2: mamparos existentes (celeste) prolongados (amarillo) hasta el fondo nuev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Extensión inferior (P1 y P2).</w:t>
      </w:r>
      <w:r>
        <w:t xml:space="preserve"> Se cortan las paredes a +30 mm sobre el fondo interior original y se retira el fondo. Se suelda a tope (CJP) una banda perimetral de 8 mm y 374 mm de alto, un fondo nuevo de 8 mm con faldón de 36 mm, y prolongaciones de los tres mamparos.</w:t>
      </w:r>
    </w:p>
    <w:p>
      <w:pPr/>
      <w:r>
        <w:rPr>
          <w:b/>
        </w:rPr>
        <w:t xml:space="preserve">Caja posterior (P1).</w:t>
      </w:r>
      <w:r>
        <w:t xml:space="preserve"> Plancha de 8 mm, 1,400 × 300 × 1,000 mm con chaflán a 45° en la base, mamparo interno central (Ø150), 4 ranuras de 60 × 600 mm y 2 venteos Ø50 cortados en la pared posterior. Arranca en x = 350 mm para no tapar la oreja de apoyo.</w:t>
      </w:r>
    </w:p>
    <w:p>
      <w:pPr/>
      <w:r>
        <w:rPr>
          <w:b/>
        </w:rPr>
        <w:t xml:space="preserve">Elevación de techo (P2).</w:t>
      </w:r>
      <w:r>
        <w:t xml:space="preserve"> Corte de paredes a 30 mm bajo el techo, banda de 8 mm × 188 mm, techo original (con accesorios y orejas de izaje) re-soldado 150 mm más arriba y mamparos prolongados.</w:t>
      </w:r>
    </w:p>
    <w:p>
      <w:pPr/>
      <w:r>
        <w:t xml:space="preserve">Impacto en el sistema de combustible: el sensor de nivel pasa de 2,272 mm a 2,572 mm (P1) o 2,722 mm (P2) de alcance y se recalibra la tabla de volumen en el IM; el tubo de succión baja 300 mm (26 mm sobre el fondo nuevo), el drenaje se reubica, y en P2 el jet sensor sube 150 mm.</w:t>
      </w:r>
    </w:p>
    <w:p>
      <w:pPr>
        <w:pStyle w:val="Heading2"/>
      </w:pPr>
      <w:r>
        <w:t xml:space="preserve">5. Modelo de elementos finitos</w:t>
      </w:r>
    </w:p>
    <w:p>
      <w:pPr/>
      <w:r>
        <w:t xml:space="preserve">Los tres diseños usan el mismo modelo de cáscaras en CalculiX 2.21, con iguales apoyos, cargas y tamaño de malla, así que las diferencias entre ellos vienen solo de la geometría.</w:t>
      </w:r>
    </w:p>
    <w:p>
      <w:pPr/>
      <w:r>
        <w:rPr>
          <w:b/>
        </w:rPr>
        <w:t xml:space="preserve">Idealización.</w:t>
      </w:r>
      <w:r>
        <w:t xml:space="preserve"> Todas las planchas son cáscaras en su superficie media (S8R, 8 nodos, t = 8 mm). Las soldaduras son uniones rígidas de nodos compartidos, sin modelar el cordón. Se omiten accesorios, orejas de izaje, peldaños y la goma inferior (~200 kg).</w:t>
      </w:r>
    </w:p>
    <w:p>
      <w:pPr/>
      <w:r>
        <w:rPr>
          <w:b/>
        </w:rPr>
        <w:t xml:space="preserve">Malla.</w:t>
      </w:r>
      <w:r>
        <w:t xml:space="preserve"> Elementos cuadriláteros de 50 mm con transición triangular: B0 tiene 14,960 elementos y 44,380 nodos; P1, 18,695 elementos; P2, 17,282.</w:t>
      </w:r>
    </w:p>
    <w:p>
      <w:pPr/>
      <w:r>
        <w:rPr>
          <w:b/>
        </w:rPr>
        <w:t xml:space="preserve">Apoyos.</w:t>
      </w:r>
      <w:r>
        <w:t xml:space="preserve"> Ver la figura. Las dos orejas superiores son pasadores con eje Y en las caras posterior y frontal, junto a la cara interior: parche rígido de 200 × 200 mm centrado en z = 1,890 mm (medido en la foto del modelo Komatsu), traslaciones fijas y giros libres. Los dos apoyos inferiores están en la cara interior contra el bastidor (200 × 200 mm, z = 200–400 mm) y solo restringen Ux. Las reacciones se leen en resortes de 10⁹ N/mm.</w:t>
      </w:r>
    </w:p>
    <w:p>
      <w:pPr/>
      <w:r>
        <w:drawing>
          <wp:inline distT="0" distB="0" distL="0" distR="0">
            <wp:extent cx="5486400" cy="4059936"/>
            <wp:docPr id="4" name="image4" descr="Idealización de apoyos: orejas superiores (rojo) y apoyos inferiores contra bastidor (azu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dealización de apoyos: orejas superiores (rojo) y apoyos inferiores contra bastidor (azul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Cargas.</w:t>
      </w:r>
      <w:r>
        <w:t xml:space="preserve"> El peso propio actúa sobre el acero. El combustible es presión hidrostática p = ρ · a · h sobre las caras mojadas, medida desde el venteo en el centro del techo y recalculada para aceleraciones en Z, Y y X. Los casos combinados se arman por superposición lineal.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Aceleraciones (tanque lleno)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Representa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LC1</w:t>
            </w:r>
          </w:p>
        </w:tc>
        <w:tc>
          <w:tcPr>
            <w:tcW w:w="3120" w:type="dxa"/>
          </w:tcPr>
          <w:p>
            <w:pPr/>
            <w:r>
              <w:t xml:space="preserve">1g vertical</w:t>
            </w:r>
          </w:p>
        </w:tc>
        <w:tc>
          <w:tcPr>
            <w:tcW w:w="3120" w:type="dxa"/>
          </w:tcPr>
          <w:p>
            <w:pPr/>
            <w:r>
              <w:t xml:space="preserve">Estático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LC2</w:t>
            </w:r>
          </w:p>
        </w:tc>
        <w:tc>
          <w:tcPr>
            <w:tcW w:w="3120" w:type="dxa"/>
          </w:tcPr>
          <w:p>
            <w:pPr/>
            <w:r>
              <w:t xml:space="preserve">1g vertical ± 0.5g longitudinal</w:t>
            </w:r>
          </w:p>
        </w:tc>
        <w:tc>
          <w:tcPr>
            <w:tcW w:w="3120" w:type="dxa"/>
          </w:tcPr>
          <w:p>
            <w:pPr/>
            <w:r>
              <w:t xml:space="preserve">Frenado o rampa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LC3</w:t>
            </w:r>
          </w:p>
        </w:tc>
        <w:tc>
          <w:tcPr>
            <w:tcW w:w="3120" w:type="dxa"/>
          </w:tcPr>
          <w:p>
            <w:pPr/>
            <w:r>
              <w:t xml:space="preserve">1g vertical ± 0.5g lateral</w:t>
            </w:r>
          </w:p>
        </w:tc>
        <w:tc>
          <w:tcPr>
            <w:tcW w:w="3120" w:type="dxa"/>
          </w:tcPr>
          <w:p>
            <w:pPr/>
            <w:r>
              <w:t xml:space="preserve">Curva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LC4</w:t>
            </w:r>
          </w:p>
        </w:tc>
        <w:tc>
          <w:tcPr>
            <w:tcW w:w="3120" w:type="dxa"/>
          </w:tcPr>
          <w:p>
            <w:pPr/>
            <w:r>
              <w:t xml:space="preserve">2g vertical ± 0.5g longitudinal ± 0.3g lateral</w:t>
            </w:r>
          </w:p>
        </w:tc>
        <w:tc>
          <w:tcPr>
            <w:tcW w:w="3120" w:type="dxa"/>
          </w:tcPr>
          <w:p>
            <w:pPr/>
            <w:r>
              <w:t xml:space="preserve">Combinado severo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LC5</w:t>
            </w:r>
          </w:p>
        </w:tc>
        <w:tc>
          <w:tcPr>
            <w:tcW w:w="3120" w:type="dxa"/>
          </w:tcPr>
          <w:p>
            <w:pPr/>
            <w:r>
              <w:t xml:space="preserve">3g vertical</w:t>
            </w:r>
          </w:p>
        </w:tc>
        <w:tc>
          <w:tcPr>
            <w:tcW w:w="3120" w:type="dxa"/>
          </w:tcPr>
          <w:p>
            <w:pPr/>
            <w:r>
              <w:t xml:space="preserve">Bache o impacto severo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Fatiga</w:t>
            </w:r>
          </w:p>
        </w:tc>
        <w:tc>
          <w:tcPr>
            <w:tcW w:w="3120" w:type="dxa"/>
          </w:tcPr>
          <w:p>
            <w:pPr/>
            <w:r>
              <w:t xml:space="preserve">±0.5g vertical (rango 1g), más de 10⁷ ciclos</w:t>
            </w:r>
          </w:p>
        </w:tc>
        <w:tc>
          <w:tcPr>
            <w:tcW w:w="3120" w:type="dxa"/>
          </w:tcPr>
          <w:p>
            <w:pPr/>
            <w:r>
              <w:t xml:space="preserve">Vibración de servicio</w:t>
            </w:r>
          </w:p>
        </w:tc>
      </w:tr>
    </w:tbl>
    <w:p>
      <w:pPr/>
      <w:r>
        <w:rPr>
          <w:b/>
        </w:rPr>
        <w:t xml:space="preserve">Evaluación.</w:t>
      </w:r>
      <w:r>
        <w:t xml:space="preserve"> Se toma el von Mises máximo entre las caras superior e inferior de la cáscara (membrana + flexión), lo que es conservador. Se excluyen 150 mm alrededor de los parches de apoyo, donde el parche rígido crea una concentración ficticia; esa zona depende del soporte real, que no está modelado.</w:t>
      </w:r>
    </w:p>
    <w:p>
      <w:pPr>
        <w:pStyle w:val="Heading2"/>
      </w:pPr>
      <w:r>
        <w:t xml:space="preserve">6. Resultados de resistencia</w:t>
      </w:r>
    </w:p>
    <w:p>
      <w:pPr/>
      <w:r>
        <w:t xml:space="preserve">Tal como se plantearon, P1 y P2 suben el esfuerzo máximo a 3g de 144 MPa a 190 y 200 MPa (FS 1.29 y 1.22, bajo el mínimo de 1.5). Conservando el fondo original como diafragma, P1-M y P2-M quedan en 156 y 160 MPa (FS 1.58 y 1.53).</w:t>
      </w:r>
    </w:p>
    <w:p>
      <w:pPr/>
      <w:r>
        <w:drawing>
          <wp:inline distT="0" distB="0" distL="0" distR="0">
            <wp:extent cx="5486400" cy="2939142"/>
            <wp:docPr id="5" name="image5" descr="FEA CalculiX, malla 50 mm · 5 diseños × 5 casos de carga · Sy = 245 M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EA CalculiX, malla 50 mm · 5 diseños × 5 casos de carga · Sy = 245 MP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FEA CalculiX, malla 50 mm · 5 diseños × 5 casos de carga · Sy = 245 MPa</w:t>
      </w:r>
    </w:p>
    <w:p>
      <w:pPr/>
      <w:r>
        <w:t xml:space="preserve">La causa es el retiro del fondo original. Ese fondo sujeta las paredes a la altura z = 0; sin él, los paneles de 758 mm entre mamparos trabajan en una sola dirección justo donde la presión es mayor. En la unión mamparo–pared a z = 300 mm el esfuerzo por g pasa de 57 MPa (B0) a 87 MPa (P1); en P2 se suman 150 mm de columna de combustible.</w:t>
      </w:r>
    </w:p>
    <w:p>
      <w:pPr/>
      <w:r>
        <w:t xml:space="preserve">El máximo global de cada diseño está siempre en las paredes originales, en la pared posterior junto al mamparo T1 y entre 300 y 550 mm de altura. En LC2, P2 y P2-M llegan a 122 MPa en la pared frontal cerca de la oreja, porque el techo más alto aumenta el empuje longitudinal sobre esa pared.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Componente, 3g (MPa)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B0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P1-M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P2-M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Fondo (nuevo en P y M)</w:t>
            </w:r>
          </w:p>
        </w:tc>
        <w:tc>
          <w:tcPr>
            <w:tcW w:w="1560" w:type="dxa"/>
          </w:tcPr>
          <w:p>
            <w:pPr/>
            <w:r>
              <w:t xml:space="preserve">130</w:t>
            </w:r>
          </w:p>
        </w:tc>
        <w:tc>
          <w:tcPr>
            <w:tcW w:w="1560" w:type="dxa"/>
          </w:tcPr>
          <w:p>
            <w:pPr/>
            <w:r>
              <w:t xml:space="preserve">125</w:t>
            </w:r>
          </w:p>
        </w:tc>
        <w:tc>
          <w:tcPr>
            <w:tcW w:w="1560" w:type="dxa"/>
          </w:tcPr>
          <w:p>
            <w:pPr/>
            <w:r>
              <w:t xml:space="preserve">132</w:t>
            </w:r>
          </w:p>
        </w:tc>
        <w:tc>
          <w:tcPr>
            <w:tcW w:w="1560" w:type="dxa"/>
          </w:tcPr>
          <w:p>
            <w:pPr/>
            <w:r>
              <w:t xml:space="preserve">72</w:t>
            </w:r>
          </w:p>
        </w:tc>
        <w:tc>
          <w:tcPr>
            <w:tcW w:w="1560" w:type="dxa"/>
          </w:tcPr>
          <w:p>
            <w:pPr/>
            <w:r>
              <w:t xml:space="preserve">76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Mamparos</w:t>
            </w:r>
          </w:p>
        </w:tc>
        <w:tc>
          <w:tcPr>
            <w:tcW w:w="1560" w:type="dxa"/>
          </w:tcPr>
          <w:p>
            <w:pPr/>
            <w:r>
              <w:t xml:space="preserve">119</w:t>
            </w:r>
          </w:p>
        </w:tc>
        <w:tc>
          <w:tcPr>
            <w:tcW w:w="1560" w:type="dxa"/>
          </w:tcPr>
          <w:p>
            <w:pPr/>
            <w:r>
              <w:t xml:space="preserve">151</w:t>
            </w:r>
          </w:p>
        </w:tc>
        <w:tc>
          <w:tcPr>
            <w:tcW w:w="1560" w:type="dxa"/>
          </w:tcPr>
          <w:p>
            <w:pPr/>
            <w:r>
              <w:t xml:space="preserve">160</w:t>
            </w:r>
          </w:p>
        </w:tc>
        <w:tc>
          <w:tcPr>
            <w:tcW w:w="1560" w:type="dxa"/>
          </w:tcPr>
          <w:p>
            <w:pPr/>
            <w:r>
              <w:t xml:space="preserve">124</w:t>
            </w:r>
          </w:p>
        </w:tc>
        <w:tc>
          <w:tcPr>
            <w:tcW w:w="1560" w:type="dxa"/>
          </w:tcPr>
          <w:p>
            <w:pPr/>
            <w:r>
              <w:t xml:space="preserve">132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Banda inferior nueva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150</w:t>
            </w:r>
          </w:p>
        </w:tc>
        <w:tc>
          <w:tcPr>
            <w:tcW w:w="1560" w:type="dxa"/>
          </w:tcPr>
          <w:p>
            <w:pPr/>
            <w:r>
              <w:t xml:space="preserve">158</w:t>
            </w:r>
          </w:p>
        </w:tc>
        <w:tc>
          <w:tcPr>
            <w:tcW w:w="1560" w:type="dxa"/>
          </w:tcPr>
          <w:p>
            <w:pPr/>
            <w:r>
              <w:t xml:space="preserve">89</w:t>
            </w:r>
          </w:p>
        </w:tc>
        <w:tc>
          <w:tcPr>
            <w:tcW w:w="1560" w:type="dxa"/>
          </w:tcPr>
          <w:p>
            <w:pPr/>
            <w:r>
              <w:t xml:space="preserve">95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Diafragma (fondo original)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98</w:t>
            </w:r>
          </w:p>
        </w:tc>
        <w:tc>
          <w:tcPr>
            <w:tcW w:w="156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Caja posterior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142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141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Banda superior nueva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55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57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Techo</w:t>
            </w:r>
          </w:p>
        </w:tc>
        <w:tc>
          <w:tcPr>
            <w:tcW w:w="1560" w:type="dxa"/>
          </w:tcPr>
          <w:p>
            <w:pPr/>
            <w:r>
              <w:t xml:space="preserve">45</w:t>
            </w:r>
          </w:p>
        </w:tc>
        <w:tc>
          <w:tcPr>
            <w:tcW w:w="1560" w:type="dxa"/>
          </w:tcPr>
          <w:p>
            <w:pPr/>
            <w:r>
              <w:t xml:space="preserve">49</w:t>
            </w:r>
          </w:p>
        </w:tc>
        <w:tc>
          <w:tcPr>
            <w:tcW w:w="1560" w:type="dxa"/>
          </w:tcPr>
          <w:p>
            <w:pPr/>
            <w:r>
              <w:t xml:space="preserve">50</w:t>
            </w:r>
          </w:p>
        </w:tc>
        <w:tc>
          <w:tcPr>
            <w:tcW w:w="1560" w:type="dxa"/>
          </w:tcPr>
          <w:p>
            <w:pPr/>
            <w:r>
              <w:t xml:space="preserve">47</w:t>
            </w:r>
          </w:p>
        </w:tc>
        <w:tc>
          <w:tcPr>
            <w:tcW w:w="1560" w:type="dxa"/>
          </w:tcPr>
          <w:p>
            <w:pPr/>
            <w:r>
              <w:t xml:space="preserve">45</w:t>
            </w:r>
          </w:p>
        </w:tc>
      </w:tr>
    </w:tbl>
    <w:p>
      <w:pPr/>
      <w:r>
        <w:t xml:space="preserve">El desplazamiento máximo a 1g es 2.1 mm en B0, 3.1 mm en P1 y P2, y 2.2–2.5 mm en P1-M y P2-M.</w:t>
      </w:r>
    </w:p>
    <w:p>
      <w:pPr/>
      <w:r>
        <w:drawing>
          <wp:inline distT="0" distB="0" distL="0" distR="0">
            <wp:extent cx="5486400" cy="1328928"/>
            <wp:docPr id="6" name="image6" descr="von Mises a 3g (LC5): tanque actual y propuestas tal como se plantearon. Escala 0–200 M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von Mises a 3g (LC5): tanque actual y propuestas tal como se plantearon. Escala 0–200 MP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328928"/>
            <wp:docPr id="7" name="image7" descr="von Mises a 3g (LC5): tanque actual y versiones modificadas P1-M y P2-M. Escala 0–200 M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von Mises a 3g (LC5): tanque actual y versiones modificadas P1-M y P2-M. Escala 0–200 MP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994306"/>
            <wp:docPr id="8" name="image8" descr="Interior de P1-M y P2-M a 3g: mamparos y fondo original como diafragm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Interior de P1-M y P2-M a 3g: mamparos y fondo original como diafragm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Zona de apoyos inferiores.</w:t>
      </w:r>
      <w:r>
        <w:t xml:space="preserve"> Entre 150 y 200 mm de los parches el modelo da 190 MPa en B0, 203 MPa en P1 y P2, y 260–267 MPa en P1-M y P2-M. Allí manda la idealización rígida del apoyo: incluso el tanque actual pasa la fluencia a 100–150 mm del parche. En las versiones M sube porque el diafragma queda 200 mm bajo el apoyo, así que el soporte inferior real debe modelarse antes de fabricar (sección 10).</w:t>
      </w:r>
    </w:p>
    <w:p>
      <w:pPr>
        <w:pStyle w:val="Heading2"/>
      </w:pPr>
      <w:r>
        <w:t xml:space="preserve">7. Soldaduras y fatiga</w:t>
      </w:r>
    </w:p>
    <w:p>
      <w:pPr/>
      <w:r>
        <w:t xml:space="preserve">P1 y P2 tal como se plantearon dejan su soldadura más cargada con 55 % y 46 % de la vida a fatiga del tanque actual; P1-M la iguala (101 %) y P2-M queda en 82 %.</w:t>
      </w:r>
    </w:p>
    <w:p>
      <w:pPr/>
      <w:r>
        <w:t xml:space="preserve">Se usa el rango de esfuerzo principal en cada unión para ±0.5g vertical (rango 1g), leído en la intersección de cáscaras, contra la curva IIW FAT 90 (soldadura de filete o esquina, m = 3):</w:t>
      </w:r>
    </w:p>
    <w:p>
      <w:pPr>
        <w:pStyle w:val="Code"/>
      </w:pPr>
      <w:bookmarkStart w:id="1" w:name="bongo_lang_latex_1"/>
      <w:bookmarkEnd w:id="1"/>
      <w:r>
        <w:t xml:space="preserve">\Delta\sigma_L = FAT\left(\frac{2\times10^6}{10^7}\right)^{1/3} = 90 \cdot 0.585 = 52.6\ \text{MPa};\qquad \frac{\Delta\sigma_L}{\gamma_{Mf}} = \frac{52.6}{1.15} = 45.8\ \text{MPa}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Unión soldada, rango por 1g (MPa)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B0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P1-M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P2-M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Pared–fondo (esquina inferior)</w:t>
            </w:r>
          </w:p>
        </w:tc>
        <w:tc>
          <w:tcPr>
            <w:tcW w:w="1560" w:type="dxa"/>
          </w:tcPr>
          <w:p>
            <w:pPr/>
            <w:r>
              <w:t xml:space="preserve">70.8</w:t>
            </w:r>
          </w:p>
        </w:tc>
        <w:tc>
          <w:tcPr>
            <w:tcW w:w="1560" w:type="dxa"/>
          </w:tcPr>
          <w:p>
            <w:pPr/>
            <w:r>
              <w:t xml:space="preserve">80.9</w:t>
            </w:r>
          </w:p>
        </w:tc>
        <w:tc>
          <w:tcPr>
            <w:tcW w:w="1560" w:type="dxa"/>
          </w:tcPr>
          <w:p>
            <w:pPr/>
            <w:r>
              <w:t xml:space="preserve">86.8</w:t>
            </w:r>
          </w:p>
        </w:tc>
        <w:tc>
          <w:tcPr>
            <w:tcW w:w="1560" w:type="dxa"/>
          </w:tcPr>
          <w:p>
            <w:pPr/>
            <w:r>
              <w:t xml:space="preserve">39.9</w:t>
            </w:r>
          </w:p>
        </w:tc>
        <w:tc>
          <w:tcPr>
            <w:tcW w:w="1560" w:type="dxa"/>
          </w:tcPr>
          <w:p>
            <w:pPr/>
            <w:r>
              <w:t xml:space="preserve">42.6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Mamparo–pared (filete)</w:t>
            </w:r>
          </w:p>
        </w:tc>
        <w:tc>
          <w:tcPr>
            <w:tcW w:w="1560" w:type="dxa"/>
          </w:tcPr>
          <w:p>
            <w:pPr/>
            <w:r>
              <w:t xml:space="preserve">68.5</w:t>
            </w:r>
          </w:p>
        </w:tc>
        <w:tc>
          <w:tcPr>
            <w:tcW w:w="1560" w:type="dxa"/>
          </w:tcPr>
          <w:p>
            <w:pPr/>
            <w:r>
              <w:t xml:space="preserve">86.5</w:t>
            </w:r>
          </w:p>
        </w:tc>
        <w:tc>
          <w:tcPr>
            <w:tcW w:w="1560" w:type="dxa"/>
          </w:tcPr>
          <w:p>
            <w:pPr/>
            <w:r>
              <w:t xml:space="preserve">91.7</w:t>
            </w:r>
          </w:p>
        </w:tc>
        <w:tc>
          <w:tcPr>
            <w:tcW w:w="1560" w:type="dxa"/>
          </w:tcPr>
          <w:p>
            <w:pPr/>
            <w:r>
              <w:t xml:space="preserve">70.5</w:t>
            </w:r>
          </w:p>
        </w:tc>
        <w:tc>
          <w:tcPr>
            <w:tcW w:w="1560" w:type="dxa"/>
          </w:tcPr>
          <w:p>
            <w:pPr/>
            <w:r>
              <w:t xml:space="preserve">75.5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Mamparo–fondo (filete)</w:t>
            </w:r>
          </w:p>
        </w:tc>
        <w:tc>
          <w:tcPr>
            <w:tcW w:w="1560" w:type="dxa"/>
          </w:tcPr>
          <w:p>
            <w:pPr/>
            <w:r>
              <w:t xml:space="preserve">51.4</w:t>
            </w:r>
          </w:p>
        </w:tc>
        <w:tc>
          <w:tcPr>
            <w:tcW w:w="1560" w:type="dxa"/>
          </w:tcPr>
          <w:p>
            <w:pPr/>
            <w:r>
              <w:t xml:space="preserve">53.6</w:t>
            </w:r>
          </w:p>
        </w:tc>
        <w:tc>
          <w:tcPr>
            <w:tcW w:w="1560" w:type="dxa"/>
          </w:tcPr>
          <w:p>
            <w:pPr/>
            <w:r>
              <w:t xml:space="preserve">56.7</w:t>
            </w:r>
          </w:p>
        </w:tc>
        <w:tc>
          <w:tcPr>
            <w:tcW w:w="1560" w:type="dxa"/>
          </w:tcPr>
          <w:p>
            <w:pPr/>
            <w:r>
              <w:t xml:space="preserve">38.7</w:t>
            </w:r>
          </w:p>
        </w:tc>
        <w:tc>
          <w:tcPr>
            <w:tcW w:w="1560" w:type="dxa"/>
          </w:tcPr>
          <w:p>
            <w:pPr/>
            <w:r>
              <w:t xml:space="preserve">40.9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Empalme CJP banda inferior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71.3 (z = +30)</w:t>
            </w:r>
          </w:p>
        </w:tc>
        <w:tc>
          <w:tcPr>
            <w:tcW w:w="1560" w:type="dxa"/>
          </w:tcPr>
          <w:p>
            <w:pPr/>
            <w:r>
              <w:t xml:space="preserve">75.4 (z = +30)</w:t>
            </w:r>
          </w:p>
        </w:tc>
        <w:tc>
          <w:tcPr>
            <w:tcW w:w="1560" w:type="dxa"/>
          </w:tcPr>
          <w:p>
            <w:pPr/>
            <w:r>
              <w:t xml:space="preserve">26.6 (z = −44)</w:t>
            </w:r>
          </w:p>
        </w:tc>
        <w:tc>
          <w:tcPr>
            <w:tcW w:w="1560" w:type="dxa"/>
          </w:tcPr>
          <w:p>
            <w:pPr/>
            <w:r>
              <w:t xml:space="preserve">27.6 (z = −44)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Diafragma–pared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55.2</w:t>
            </w:r>
          </w:p>
        </w:tc>
        <w:tc>
          <w:tcPr>
            <w:tcW w:w="1560" w:type="dxa"/>
          </w:tcPr>
          <w:p>
            <w:pPr/>
            <w:r>
              <w:t xml:space="preserve">56.6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Caja posterior–pared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63.6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63.2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Empalme CJP banda superior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13.4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13.1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Aceleración admisible, vida ilimitada (rango en g)</w:t>
            </w:r>
          </w:p>
        </w:tc>
        <w:tc>
          <w:tcPr>
            <w:tcW w:w="1560" w:type="dxa"/>
          </w:tcPr>
          <w:p>
            <w:pPr/>
            <w:r>
              <w:t xml:space="preserve">0.65</w:t>
            </w:r>
          </w:p>
        </w:tc>
        <w:tc>
          <w:tcPr>
            <w:tcW w:w="1560" w:type="dxa"/>
          </w:tcPr>
          <w:p>
            <w:pPr/>
            <w:r>
              <w:t xml:space="preserve">0.53</w:t>
            </w:r>
          </w:p>
        </w:tc>
        <w:tc>
          <w:tcPr>
            <w:tcW w:w="1560" w:type="dxa"/>
          </w:tcPr>
          <w:p>
            <w:pPr/>
            <w:r>
              <w:t xml:space="preserve">0.50</w:t>
            </w:r>
          </w:p>
        </w:tc>
        <w:tc>
          <w:tcPr>
            <w:tcW w:w="1560" w:type="dxa"/>
          </w:tcPr>
          <w:p>
            <w:pPr/>
            <w:r>
              <w:t xml:space="preserve">0.65</w:t>
            </w:r>
          </w:p>
        </w:tc>
        <w:tc>
          <w:tcPr>
            <w:tcW w:w="1560" w:type="dxa"/>
          </w:tcPr>
          <w:p>
            <w:pPr/>
            <w:r>
              <w:t xml:space="preserve">0.61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Vida relativa de la unión crítica vs. B0</w:t>
            </w:r>
          </w:p>
        </w:tc>
        <w:tc>
          <w:tcPr>
            <w:tcW w:w="1560" w:type="dxa"/>
          </w:tcPr>
          <w:p>
            <w:pPr/>
            <w:r>
              <w:t xml:space="preserve">1.00</w:t>
            </w:r>
          </w:p>
        </w:tc>
        <w:tc>
          <w:tcPr>
            <w:tcW w:w="1560" w:type="dxa"/>
          </w:tcPr>
          <w:p>
            <w:pPr/>
            <w:r>
              <w:t xml:space="preserve">0.55</w:t>
            </w:r>
          </w:p>
        </w:tc>
        <w:tc>
          <w:tcPr>
            <w:tcW w:w="1560" w:type="dxa"/>
          </w:tcPr>
          <w:p>
            <w:pPr/>
            <w:r>
              <w:t xml:space="preserve">0.46</w:t>
            </w:r>
          </w:p>
        </w:tc>
        <w:tc>
          <w:tcPr>
            <w:tcW w:w="1560" w:type="dxa"/>
          </w:tcPr>
          <w:p>
            <w:pPr/>
            <w:r>
              <w:t xml:space="preserve">1.01</w:t>
            </w:r>
          </w:p>
        </w:tc>
        <w:tc>
          <w:tcPr>
            <w:tcW w:w="1560" w:type="dxa"/>
          </w:tcPr>
          <w:p>
            <w:pPr/>
            <w:r>
              <w:t xml:space="preserve">0.82</w:t>
            </w:r>
          </w:p>
        </w:tc>
      </w:tr>
    </w:tbl>
    <w:p>
      <w:pPr/>
      <w:r>
        <w:t xml:space="preserve">La aceleración admisible es (Δσ_L / γ_Mf) dividido entre el rango por 1g de la unión más cargada; la vida relativa es (70.8 / Δσ_crítico)³. Con el espectro asumido (±0.5g) ningún diseño tiene vida ilimitada, ni siquiera el actual; por eso la comparación contra B0 es la métrica de decisión y el espectro real debe medirse (sección 11).</w:t>
      </w:r>
    </w:p>
    <w:p>
      <w:pPr/>
      <w:r>
        <w:t xml:space="preserve">En P1 y P2 el empalme CJP a +30 mm queda en la zona de máxima flexión de la pared (71–75 MPa por g), justo donde está la unión con los mamparos. En P1-M y P2-M el empalme baja al borde del faldón (z = −44 mm), donde el diafragma lo protege, y cae a 27 MPa. El fondo nuevo de 10 mm baja el rango en la esquina inferior de P2-M de 70.8 a 42.6 MPa (−40 %) frente al de 8 mm.</w:t>
      </w:r>
    </w:p>
    <w:p>
      <w:pPr/>
      <w:r>
        <w:drawing>
          <wp:inline distT="0" distB="0" distL="0" distR="0">
            <wp:extent cx="5486400" cy="1328928"/>
            <wp:docPr id="9" name="image9" descr="Rango de esfuerzo principal por 1g: B0, P2 y P2-M. Escala 0–80 M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Rango de esfuerzo principal por 1g: B0, P2 y P2-M. Escala 0–80 MP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Apoyos, vibración y chapoteo</w:t>
      </w:r>
    </w:p>
    <w:p>
      <w:pPr/>
      <w:r>
        <w:t xml:space="preserve">Todas las versiones ampliadas cargan los soportes del bastidor entre 13 % y 26 % más que el tanque actual; ninguna lleva un modo global al rango del motor en operación, pero P2 y P2-M bajan el primer modo de 6.5 a 5.5 Hz.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Reacción a 3g (kN)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B0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P1-M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P2-M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Oreja posterior</w:t>
            </w:r>
          </w:p>
        </w:tc>
        <w:tc>
          <w:tcPr>
            <w:tcW w:w="1560" w:type="dxa"/>
          </w:tcPr>
          <w:p>
            <w:pPr/>
            <w:r>
              <w:t xml:space="preserve">130</w:t>
            </w:r>
          </w:p>
        </w:tc>
        <w:tc>
          <w:tcPr>
            <w:tcW w:w="1560" w:type="dxa"/>
          </w:tcPr>
          <w:p>
            <w:pPr/>
            <w:r>
              <w:t xml:space="preserve">162 (+24 %)</w:t>
            </w:r>
          </w:p>
        </w:tc>
        <w:tc>
          <w:tcPr>
            <w:tcW w:w="1560" w:type="dxa"/>
          </w:tcPr>
          <w:p>
            <w:pPr/>
            <w:r>
              <w:t xml:space="preserve">155 (+19 %)</w:t>
            </w:r>
          </w:p>
        </w:tc>
        <w:tc>
          <w:tcPr>
            <w:tcW w:w="1560" w:type="dxa"/>
          </w:tcPr>
          <w:p>
            <w:pPr/>
            <w:r>
              <w:t xml:space="preserve">164 (+26 %)</w:t>
            </w:r>
          </w:p>
        </w:tc>
        <w:tc>
          <w:tcPr>
            <w:tcW w:w="1560" w:type="dxa"/>
          </w:tcPr>
          <w:p>
            <w:pPr/>
            <w:r>
              <w:t xml:space="preserve">157 (+21 %)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Oreja frontal</w:t>
            </w:r>
          </w:p>
        </w:tc>
        <w:tc>
          <w:tcPr>
            <w:tcW w:w="1560" w:type="dxa"/>
          </w:tcPr>
          <w:p>
            <w:pPr/>
            <w:r>
              <w:t xml:space="preserve">112</w:t>
            </w:r>
          </w:p>
        </w:tc>
        <w:tc>
          <w:tcPr>
            <w:tcW w:w="1560" w:type="dxa"/>
          </w:tcPr>
          <w:p>
            <w:pPr/>
            <w:r>
              <w:t xml:space="preserve">126 (+13 %)</w:t>
            </w:r>
          </w:p>
        </w:tc>
        <w:tc>
          <w:tcPr>
            <w:tcW w:w="1560" w:type="dxa"/>
          </w:tcPr>
          <w:p>
            <w:pPr/>
            <w:r>
              <w:t xml:space="preserve">133 (+19 %)</w:t>
            </w:r>
          </w:p>
        </w:tc>
        <w:tc>
          <w:tcPr>
            <w:tcW w:w="1560" w:type="dxa"/>
          </w:tcPr>
          <w:p>
            <w:pPr/>
            <w:r>
              <w:t xml:space="preserve">128 (+15 %)</w:t>
            </w:r>
          </w:p>
        </w:tc>
        <w:tc>
          <w:tcPr>
            <w:tcW w:w="1560" w:type="dxa"/>
          </w:tcPr>
          <w:p>
            <w:pPr/>
            <w:r>
              <w:t xml:space="preserve">135 (+21 %)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Apoyos inferiores (suma, eje X)</w:t>
            </w:r>
          </w:p>
        </w:tc>
        <w:tc>
          <w:tcPr>
            <w:tcW w:w="1560" w:type="dxa"/>
          </w:tcPr>
          <w:p>
            <w:pPr/>
            <w:r>
              <w:t xml:space="preserve">113</w:t>
            </w:r>
          </w:p>
        </w:tc>
        <w:tc>
          <w:tcPr>
            <w:tcW w:w="1560" w:type="dxa"/>
          </w:tcPr>
          <w:p>
            <w:pPr/>
            <w:r>
              <w:t xml:space="preserve">137 (+21 %)</w:t>
            </w:r>
          </w:p>
        </w:tc>
        <w:tc>
          <w:tcPr>
            <w:tcW w:w="1560" w:type="dxa"/>
          </w:tcPr>
          <w:p>
            <w:pPr/>
            <w:r>
              <w:t xml:space="preserve">136 (+21 %)</w:t>
            </w:r>
          </w:p>
        </w:tc>
        <w:tc>
          <w:tcPr>
            <w:tcW w:w="1560" w:type="dxa"/>
          </w:tcPr>
          <w:p>
            <w:pPr/>
            <w:r>
              <w:t xml:space="preserve">138 (+22 %)</w:t>
            </w:r>
          </w:p>
        </w:tc>
        <w:tc>
          <w:tcPr>
            <w:tcW w:w="1560" w:type="dxa"/>
          </w:tcPr>
          <w:p>
            <w:pPr/>
            <w:r>
              <w:t xml:space="preserve">138 (+22 %)</w:t>
            </w:r>
          </w:p>
        </w:tc>
      </w:tr>
    </w:tbl>
    <w:p>
      <w:pPr/>
      <w:r>
        <w:t xml:space="preserve">Los apoyos inferiores quedan en compresión contra el bastidor en todos los casos (mínimo 6.7 kN), así que la idealización de contacto bilateral es válida. P1 y P1-M cargan más la oreja posterior porque la caja corre el CG 38 mm hacia atrás.</w:t>
      </w:r>
    </w:p>
    <w:p>
      <w:pPr/>
      <w:r>
        <w:rPr>
          <w:b/>
        </w:rPr>
        <w:t xml:space="preserve">Modal.</w:t>
      </w:r>
      <w:r>
        <w:t xml:space="preserve"> El combustible se modeló como masa adherida a las paredes mojadas, con el tanque lleno al nivel del jet sensor.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Modo (Hz)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B0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P1-M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P2-M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Vaivén longitudinal (Y)</w:t>
            </w:r>
          </w:p>
        </w:tc>
        <w:tc>
          <w:tcPr>
            <w:tcW w:w="1560" w:type="dxa"/>
          </w:tcPr>
          <w:p>
            <w:pPr/>
            <w:r>
              <w:t xml:space="preserve">6.5</w:t>
            </w:r>
          </w:p>
        </w:tc>
        <w:tc>
          <w:tcPr>
            <w:tcW w:w="1560" w:type="dxa"/>
          </w:tcPr>
          <w:p>
            <w:pPr/>
            <w:r>
              <w:t xml:space="preserve">9.4</w:t>
            </w:r>
          </w:p>
        </w:tc>
        <w:tc>
          <w:tcPr>
            <w:tcW w:w="1560" w:type="dxa"/>
          </w:tcPr>
          <w:p>
            <w:pPr/>
            <w:r>
              <w:t xml:space="preserve">5.5</w:t>
            </w:r>
          </w:p>
        </w:tc>
        <w:tc>
          <w:tcPr>
            <w:tcW w:w="1560" w:type="dxa"/>
          </w:tcPr>
          <w:p>
            <w:pPr/>
            <w:r>
              <w:t xml:space="preserve">9.4</w:t>
            </w:r>
          </w:p>
        </w:tc>
        <w:tc>
          <w:tcPr>
            <w:tcW w:w="1560" w:type="dxa"/>
          </w:tcPr>
          <w:p>
            <w:pPr/>
            <w:r>
              <w:t xml:space="preserve">5.6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Balanceo sobre las orejas (X–Z)</w:t>
            </w:r>
          </w:p>
        </w:tc>
        <w:tc>
          <w:tcPr>
            <w:tcW w:w="1560" w:type="dxa"/>
          </w:tcPr>
          <w:p>
            <w:pPr/>
            <w:r>
              <w:t xml:space="preserve">12.2</w:t>
            </w:r>
          </w:p>
        </w:tc>
        <w:tc>
          <w:tcPr>
            <w:tcW w:w="1560" w:type="dxa"/>
          </w:tcPr>
          <w:p>
            <w:pPr/>
            <w:r>
              <w:t xml:space="preserve">9.6</w:t>
            </w:r>
          </w:p>
        </w:tc>
        <w:tc>
          <w:tcPr>
            <w:tcW w:w="1560" w:type="dxa"/>
          </w:tcPr>
          <w:p>
            <w:pPr/>
            <w:r>
              <w:t xml:space="preserve">9.6</w:t>
            </w:r>
          </w:p>
        </w:tc>
        <w:tc>
          <w:tcPr>
            <w:tcW w:w="1560" w:type="dxa"/>
          </w:tcPr>
          <w:p>
            <w:pPr/>
            <w:r>
              <w:t xml:space="preserve">10.5</w:t>
            </w:r>
          </w:p>
        </w:tc>
        <w:tc>
          <w:tcPr>
            <w:tcW w:w="1560" w:type="dxa"/>
          </w:tcPr>
          <w:p>
            <w:pPr/>
            <w:r>
              <w:t xml:space="preserve">10.5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Primer modo local de paneles</w:t>
            </w:r>
          </w:p>
        </w:tc>
        <w:tc>
          <w:tcPr>
            <w:tcW w:w="1560" w:type="dxa"/>
          </w:tcPr>
          <w:p>
            <w:pPr/>
            <w:r>
              <w:t xml:space="preserve">21.9</w:t>
            </w:r>
          </w:p>
        </w:tc>
        <w:tc>
          <w:tcPr>
            <w:tcW w:w="1560" w:type="dxa"/>
          </w:tcPr>
          <w:p>
            <w:pPr/>
            <w:r>
              <w:t xml:space="preserve">23.4</w:t>
            </w:r>
          </w:p>
        </w:tc>
        <w:tc>
          <w:tcPr>
            <w:tcW w:w="1560" w:type="dxa"/>
          </w:tcPr>
          <w:p>
            <w:pPr/>
            <w:r>
              <w:t xml:space="preserve">21.2</w:t>
            </w:r>
          </w:p>
        </w:tc>
        <w:tc>
          <w:tcPr>
            <w:tcW w:w="1560" w:type="dxa"/>
          </w:tcPr>
          <w:p>
            <w:pPr/>
            <w:r>
              <w:t xml:space="preserve">23.6</w:t>
            </w:r>
          </w:p>
        </w:tc>
        <w:tc>
          <w:tcPr>
            <w:tcW w:w="1560" w:type="dxa"/>
          </w:tcPr>
          <w:p>
            <w:pPr/>
            <w:r>
              <w:t xml:space="preserve">21.4</w:t>
            </w:r>
          </w:p>
        </w:tc>
      </w:tr>
    </w:tbl>
    <w:p>
      <w:pPr/>
      <w:r>
        <w:t xml:space="preserve">Las excitaciones principales son el motor 1× en operación (1,800–1,900 rpm, 30–32 Hz), su frecuencia de encendido (16 cilindros, 4 tiempos: 100 Hz o más) y el camino (0.5–15 Hz). Ningún diseño tiene modos globales entre 25 y 35 Hz. Los modos 1 y 2 caen dentro del rango del camino en todos, incluido el actual; el modo 1 depende sobre todo de la rigidez real de las orejas, que el modelo no conoce, así que debe medirse con una prueba de impacto.</w:t>
      </w:r>
    </w:p>
    <w:p>
      <w:pPr/>
      <w:r>
        <w:rPr>
          <w:b/>
        </w:rPr>
        <w:t xml:space="preserve">Chapoteo.</w:t>
      </w:r>
      <w:r>
        <w:t xml:space="preserve"> La primera frecuencia de oleaje en un compartimento rectangular de largo L y profundidad h es:</w:t>
      </w:r>
    </w:p>
    <w:p>
      <w:pPr>
        <w:pStyle w:val="Code"/>
      </w:pPr>
      <w:bookmarkStart w:id="2" w:name="bongo_lang_latex_2"/>
      <w:bookmarkEnd w:id="2"/>
      <w:r>
        <w:t xml:space="preserve">f = \frac{1}{2\pi}\sqrt{\frac{\pi g}{L}\tanh\frac{\pi h}{L}}</w:t>
      </w:r>
    </w:p>
    <w:p>
      <w:pPr/>
      <w:r>
        <w:t xml:space="preserve">Con los mamparos, los compartimentos miden 516–797 mm y f = 0.95–1.23 Hz; sin ellos sería 0.4–0.8 Hz. La ampliación no cambia L y el término tanh ya vale 1 para h &gt; L, así que las frecuencias de oleaje no cambian. La carga dinámica sobre un mamparo con 0.5g longitudinal es del orden de ρ·a·L = 850 × 4.9 × 0.8 = 3.3 kPa, menos del 20 % de la presión hidrostática en el fondo. Los mamparos prolongados mantienen la misma separación y llevan dos destajes R60 por panel en el borde inferior, para que el combustible de cada celda llegue a la succión (detalle no incluido en el FEA).</w:t>
      </w:r>
    </w:p>
    <w:p>
      <w:pPr>
        <w:pStyle w:val="Heading2"/>
      </w:pPr>
      <w:r>
        <w:t xml:space="preserve">9. Verificación con cálculo manual</w:t>
      </w:r>
    </w:p>
    <w:p>
      <w:pPr/>
      <w:r>
        <w:t xml:space="preserve">El modelo cierra el equilibrio con un error menor a 0.1 %, reparte la carga entre orejas igual que la estática y reproduce la flexión de placa de Roark con 5–12 % de diferencia.</w:t>
      </w:r>
    </w:p>
    <w:p>
      <w:pPr/>
      <w:r>
        <w:rPr>
          <w:b/>
        </w:rPr>
        <w:t xml:space="preserve">Equilibrio vertical (LC1, 1g).</w:t>
      </w:r>
      <w:r>
        <w:t xml:space="preserve"> El peso total es el acero modelado más la resultante de presión:</w:t>
      </w:r>
    </w:p>
    <w:p>
      <w:pPr>
        <w:pStyle w:val="Code"/>
      </w:pPr>
      <w:bookmarkStart w:id="3" w:name="bongo_lang_latex_3"/>
      <w:bookmarkEnd w:id="3"/>
      <w:r>
        <w:t xml:space="preserve">W = m_{acero}\,g + \rho_f\,g\,V_f = 18.78 + 48.75 = 67.53\ \text{kN}</w:t>
      </w:r>
    </w:p>
    <w:p>
      <w:pPr/>
      <w:r>
        <w:t xml:space="preserve">La reacción vertical del FEA es 67.47 kN (−0.09 %); en P1 y P2 el error es −0.07 %. La resultante horizontal de presión es menor a 0.5 N, como corresponde a un fluido en reposo.</w:t>
      </w:r>
    </w:p>
    <w:p>
      <w:pPr/>
      <w:r>
        <w:rPr>
          <w:b/>
        </w:rPr>
        <w:t xml:space="preserve">Reparto entre orejas.</w:t>
      </w:r>
      <w:r>
        <w:t xml:space="preserve"> Con el CG en y = 578 mm y las orejas en y = −56 y 1,377 mm:</w:t>
      </w:r>
    </w:p>
    <w:p>
      <w:pPr>
        <w:pStyle w:val="Code"/>
      </w:pPr>
      <w:bookmarkStart w:id="4" w:name="bongo_lang_latex_4"/>
      <w:bookmarkEnd w:id="4"/>
      <w:r>
        <w:t xml:space="preserve">R_{z,frontal} = W\,\frac{y_{CG} - y_{post}}{y_{front} - y_{post}} = 67.53 \cdot \frac{578 + 56}{1377 + 56} = 29.88\ \text{kN}</w:t>
      </w:r>
    </w:p>
    <w:p>
      <w:pPr/>
      <w:r>
        <w:t xml:space="preserve">El FEA da 29.88 kN (frontal) y 37.64 kN (posterior), iguales a la estática.</w:t>
      </w:r>
    </w:p>
    <w:p>
      <w:pPr/>
      <w:r>
        <w:rPr>
          <w:b/>
        </w:rPr>
        <w:t xml:space="preserve">Apoyos inferiores.</w:t>
      </w:r>
      <w:r>
        <w:t xml:space="preserve"> El momento del peso respecto del eje de las orejas lo toma el par de apoyos inferiores:</w:t>
      </w:r>
    </w:p>
    <w:p>
      <w:pPr>
        <w:pStyle w:val="Code"/>
      </w:pPr>
      <w:bookmarkStart w:id="5" w:name="bongo_lang_latex_5"/>
      <w:bookmarkEnd w:id="5"/>
      <w:r>
        <w:t xml:space="preserve">F_{x} = W\,\frac{x_{CG} - x_{oreja}}{z_{oreja} - z_{apoyo}} = 67.53 \cdot \frac{1088 - 150}{1890 - 300} = 39.8\ \text{kN}</w:t>
      </w:r>
    </w:p>
    <w:p>
      <w:pPr/>
      <w:r>
        <w:t xml:space="preserve">El FEA da 37.7 kN. La diferencia de 5 % sale de que la reacción se concentra en el borde inferior del parche (z ≈ 210 mm) por la rigidez de la esquina; con ese brazo la estática da 37.5 kN.</w:t>
      </w:r>
    </w:p>
    <w:p>
      <w:pPr/>
      <w:r>
        <w:rPr>
          <w:b/>
        </w:rPr>
        <w:t xml:space="preserve">Flexión de pared entre mamparos (Roark, placa empotrada, presión uniforme).</w:t>
      </w:r>
      <w:r>
        <w:t xml:space="preserve"> Para la pared posterior, b = 758 mm entre mamparos y a/b ≈ 3, así que β ≈ 0.50:</w:t>
      </w:r>
    </w:p>
    <w:p>
      <w:pPr>
        <w:pStyle w:val="Code"/>
      </w:pPr>
      <w:bookmarkStart w:id="6" w:name="bongo_lang_latex_6"/>
      <w:bookmarkEnd w:id="6"/>
      <w:r>
        <w:t xml:space="preserve">\sigma = \beta\,\frac{p\,b^2}{t^2} = 0.50 \cdot \frac{0.0145 \cdot 758^2}{8^2} = 65\ \text{MPa}\quad (z = 500\ \text{mm},\ 1g)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Cota en pared posterior (B0)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Presión 1g (kPa)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Roark (MPa)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FEA en unión con mamparo (MPa)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 = 500 mm</w:t>
            </w:r>
          </w:p>
        </w:tc>
        <w:tc>
          <w:tcPr>
            <w:tcW w:w="2340" w:type="dxa"/>
          </w:tcPr>
          <w:p>
            <w:pPr/>
            <w:r>
              <w:t xml:space="preserve">14.5</w:t>
            </w:r>
          </w:p>
        </w:tc>
        <w:tc>
          <w:tcPr>
            <w:tcW w:w="2340" w:type="dxa"/>
          </w:tcPr>
          <w:p>
            <w:pPr/>
            <w:r>
              <w:t xml:space="preserve">65</w:t>
            </w:r>
          </w:p>
        </w:tc>
        <w:tc>
          <w:tcPr>
            <w:tcW w:w="2340" w:type="dxa"/>
          </w:tcPr>
          <w:p>
            <w:pPr/>
            <w:r>
              <w:t xml:space="preserve">68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 = 1,000 mm</w:t>
            </w:r>
          </w:p>
        </w:tc>
        <w:tc>
          <w:tcPr>
            <w:tcW w:w="2340" w:type="dxa"/>
          </w:tcPr>
          <w:p>
            <w:pPr/>
            <w:r>
              <w:t xml:space="preserve">10.4</w:t>
            </w:r>
          </w:p>
        </w:tc>
        <w:tc>
          <w:tcPr>
            <w:tcW w:w="2340" w:type="dxa"/>
          </w:tcPr>
          <w:p>
            <w:pPr/>
            <w:r>
              <w:t xml:space="preserve">47</w:t>
            </w:r>
          </w:p>
        </w:tc>
        <w:tc>
          <w:tcPr>
            <w:tcW w:w="2340" w:type="dxa"/>
          </w:tcPr>
          <w:p>
            <w:pPr/>
            <w:r>
              <w:t xml:space="preserve">52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 = 1,700 mm</w:t>
            </w:r>
          </w:p>
        </w:tc>
        <w:tc>
          <w:tcPr>
            <w:tcW w:w="2340" w:type="dxa"/>
          </w:tcPr>
          <w:p>
            <w:pPr/>
            <w:r>
              <w:t xml:space="preserve">4.5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 = 300 mm</w:t>
            </w:r>
          </w:p>
        </w:tc>
        <w:tc>
          <w:tcPr>
            <w:tcW w:w="2340" w:type="dxa"/>
          </w:tcPr>
          <w:p>
            <w:pPr/>
            <w:r>
              <w:t xml:space="preserve">16.2</w:t>
            </w:r>
          </w:p>
        </w:tc>
        <w:tc>
          <w:tcPr>
            <w:tcW w:w="2340" w:type="dxa"/>
          </w:tcPr>
          <w:p>
            <w:pPr/>
            <w:r>
              <w:t xml:space="preserve">73</w:t>
            </w:r>
          </w:p>
        </w:tc>
        <w:tc>
          <w:tcPr>
            <w:tcW w:w="2340" w:type="dxa"/>
          </w:tcPr>
          <w:p>
            <w:pPr/>
            <w:r>
              <w:t xml:space="preserve">57–59</w:t>
            </w:r>
          </w:p>
        </w:tc>
      </w:tr>
    </w:tbl>
    <w:p>
      <w:pPr/>
      <w:r>
        <w:t xml:space="preserve">A z = 300 mm el FEA da menos que Roark porque el fondo restringe la pared y la placa trabaja en dos direcciones. Ese efecto desaparece al retirar el fondo original, que es justo lo que pasa en P1 y P2 (sección 6).</w:t>
      </w:r>
    </w:p>
    <w:p>
      <w:pPr/>
      <w:r>
        <w:rPr>
          <w:b/>
        </w:rPr>
        <w:t xml:space="preserve">Fondo.</w:t>
      </w:r>
      <w:r>
        <w:t xml:space="preserve"> Para la bahía de 797 × 760 mm a 18.7 kPa, Roark da 55 MPa (empotrada, borde) y 49 MPa (simplemente apoyada, centro). El FEA da 43 MPa, por debajo de ambos límites, como se espera de bordes con empotramiento parcial.</w:t>
      </w:r>
    </w:p>
    <w:p>
      <w:pPr>
        <w:pStyle w:val="Heading2"/>
      </w:pPr>
      <w:r>
        <w:t xml:space="preserve">11. Riesgos, limitaciones y puntos a validar en campo</w:t>
      </w:r>
    </w:p>
    <w:p>
      <w:pPr/>
      <w:r>
        <w:t xml:space="preserve">El FEA sirve para comparar diseños entre sí; los valores absolutos dependen de tres supuestos sin medir: la distribución de mamparos, el detalle de los soportes y las aceleraciones reales.</w:t>
      </w:r>
    </w:p>
    <w:p>
      <w:pPr/>
      <w:r>
        <w:rPr>
          <w:b/>
        </w:rPr>
        <w:t xml:space="preserve">Limitaciones del modelo</w:t>
      </w:r>
    </w:p>
    <w:p>
      <w:pPr>
        <w:pStyle w:val="ListParagraph"/>
        <w:numPr>
          <w:ilvl w:val="0"/>
          <w:numId w:val="2"/>
        </w:numPr>
      </w:pPr>
      <w:r>
        <w:t xml:space="preserve">Mamparos asumidos (1 longitudinal + 2 transversales). Su separación gobierna la flexión de las paredes: con otra distribución los esfuerzos cambian, aunque la comparación entre diseños se mantiene.</w:t>
      </w:r>
    </w:p>
    <w:p>
      <w:pPr>
        <w:pStyle w:val="ListParagraph"/>
        <w:numPr>
          <w:ilvl w:val="0"/>
          <w:numId w:val="2"/>
        </w:numPr>
      </w:pPr>
      <w:r>
        <w:t xml:space="preserve">Soportes idealizados como pasadores y parches rígidos. Entre 100 y 250 mm de los apoyos los esfuerzos no son concluyentes, y las frecuencias propias dependen del detalle real de las orejas.</w:t>
      </w:r>
    </w:p>
    <w:p>
      <w:pPr>
        <w:pStyle w:val="ListParagraph"/>
        <w:numPr>
          <w:ilvl w:val="0"/>
          <w:numId w:val="2"/>
        </w:numPr>
      </w:pPr>
      <w:r>
        <w:t xml:space="preserve">Cargas cuasiestáticas con factores g asumidos; el espectro de fatiga (±0.5g, más de 10⁷ ciclos) también es asumido. Con él, ni el tanque actual cumpliría la fatiga en valor absoluto, así que se usa la comparación relativa.</w:t>
      </w:r>
    </w:p>
    <w:p>
      <w:pPr>
        <w:pStyle w:val="ListParagraph"/>
        <w:numPr>
          <w:ilvl w:val="0"/>
          <w:numId w:val="2"/>
        </w:numPr>
      </w:pPr>
      <w:r>
        <w:t xml:space="preserve">Soldaduras no modeladas: el esfuerzo se lee en la intersección de cáscaras con malla de 50 mm (conservador frente al hot-spot IIW).</w:t>
      </w:r>
    </w:p>
    <w:p>
      <w:pPr>
        <w:pStyle w:val="ListParagraph"/>
        <w:numPr>
          <w:ilvl w:val="0"/>
          <w:numId w:val="2"/>
        </w:numPr>
      </w:pPr>
      <w:r>
        <w:t xml:space="preserve">Material asumido A36/SS400; si el OEM usa un acero de mayor resistencia, el margen real es mayor.</w:t>
      </w:r>
    </w:p>
    <w:p>
      <w:pPr>
        <w:pStyle w:val="ListParagraph"/>
        <w:numPr>
          <w:ilvl w:val="0"/>
          <w:numId w:val="2"/>
        </w:numPr>
      </w:pPr>
      <w:r>
        <w:t xml:space="preserve">Análisis lineal (desplazamientos máximos menores a 10 mm). Chapoteo solo por cálculo manual, sin CFD.</w:t>
      </w:r>
    </w:p>
    <w:p>
      <w:pPr>
        <w:pStyle w:val="ListParagraph"/>
        <w:numPr>
          <w:ilvl w:val="0"/>
          <w:numId w:val="2"/>
        </w:numPr>
      </w:pPr>
      <w:r>
        <w:t xml:space="preserve">No se consideró pérdida de espesor por corrosión o abrasión: el tanque trabaja cubierto de barro.</w:t>
      </w:r>
    </w:p>
    <w:p>
      <w:pPr/>
      <w:r>
        <w:rPr>
          <w:b/>
        </w:rPr>
        <w:t xml:space="preserve">Puntos a validar en campo</w:t>
      </w:r>
    </w:p>
    <w:p>
      <w:pPr>
        <w:pStyle w:val="ListParagraph"/>
        <w:numPr>
          <w:ilvl w:val="0"/>
          <w:numId w:val="3"/>
        </w:numPr>
      </w:pPr>
      <w:r>
        <w:t xml:space="preserve">☐ Obtener las cotas de la propuesta de fábrica (Komatsu) y compararlas con los +300 mm asumidos.</w:t>
      </w:r>
    </w:p>
    <w:p>
      <w:pPr>
        <w:pStyle w:val="ListParagraph"/>
        <w:numPr>
          <w:ilvl w:val="0"/>
          <w:numId w:val="3"/>
        </w:numPr>
      </w:pPr>
      <w:r>
        <w:t xml:space="preserve">☐ Manipulador FMA TH35: verificar que el brazo no toque la extensión inferior al cambiar neumáticos traseros (hoy pasa a un palmo, video 04). Es condición de rechazo.</w:t>
      </w:r>
    </w:p>
    <w:p>
      <w:pPr>
        <w:pStyle w:val="ListParagraph"/>
        <w:numPr>
          <w:ilvl w:val="0"/>
          <w:numId w:val="3"/>
        </w:numPr>
      </w:pPr>
      <w:r>
        <w:t xml:space="preserve">☐ P1: medir la luz entre el cilindro de levante RH y la caja posterior, con tolva arriba y abajo.</w:t>
      </w:r>
    </w:p>
    <w:p>
      <w:pPr>
        <w:pStyle w:val="ListParagraph"/>
        <w:numPr>
          <w:ilvl w:val="0"/>
          <w:numId w:val="3"/>
        </w:numPr>
      </w:pPr>
      <w:r>
        <w:t xml:space="preserve">☐ P2: medir la luz entre techo y tolva bajada, incluyendo accesorios y compresión de los pads de la tolva.</w:t>
      </w:r>
    </w:p>
    <w:p>
      <w:pPr>
        <w:pStyle w:val="ListParagraph"/>
        <w:numPr>
          <w:ilvl w:val="0"/>
          <w:numId w:val="3"/>
        </w:numPr>
      </w:pPr>
      <w:r>
        <w:t xml:space="preserve">☐ Despeje al suelo con +300 mm (estimado ~0.9 m) frente al punto más bajo del camión.</w:t>
      </w:r>
    </w:p>
    <w:p>
      <w:pPr>
        <w:pStyle w:val="ListParagraph"/>
        <w:numPr>
          <w:ilvl w:val="0"/>
          <w:numId w:val="3"/>
        </w:numPr>
      </w:pPr>
      <w:r>
        <w:t xml:space="preserve">☐ Medir espesores por UT e inspeccionar los mamparos internos (cámara por la boca de llenado o plano OEM 58B-04-00174).</w:t>
      </w:r>
    </w:p>
    <w:p>
      <w:pPr>
        <w:pStyle w:val="ListParagraph"/>
        <w:numPr>
          <w:ilvl w:val="0"/>
          <w:numId w:val="3"/>
        </w:numPr>
      </w:pPr>
      <w:r>
        <w:t xml:space="preserve">☐ Verificar orejas, pasadores, pernos y soportes del bastidor para reacciones 19–24 % mayores.</w:t>
      </w:r>
    </w:p>
    <w:p>
      <w:pPr>
        <w:pStyle w:val="ListParagraph"/>
        <w:numPr>
          <w:ilvl w:val="0"/>
          <w:numId w:val="3"/>
        </w:numPr>
      </w:pPr>
      <w:r>
        <w:t xml:space="preserve">☐ Instalar un acelerómetro triaxial en el bastidor junto al tanque durante un turno (rampa, carguío, botadero) para fijar factores g y espectro de fatiga.</w:t>
      </w:r>
    </w:p>
    <w:p>
      <w:pPr>
        <w:pStyle w:val="ListParagraph"/>
        <w:numPr>
          <w:ilvl w:val="0"/>
          <w:numId w:val="3"/>
        </w:numPr>
      </w:pPr>
      <w:r>
        <w:t xml:space="preserve">☐ Prueba de impacto (martillo) con el tanque instalado para medir sus frecuencias propias.</w:t>
      </w:r>
    </w:p>
    <w:p>
      <w:pPr>
        <w:pStyle w:val="ListParagraph"/>
        <w:numPr>
          <w:ilvl w:val="0"/>
          <w:numId w:val="3"/>
        </w:numPr>
      </w:pPr>
      <w:r>
        <w:t xml:space="preserve">☐ WPS/PQR según AWS D1.1 y soldadores calificados; END: VT 100 %, MT 100 % en empalmes y filetes de mamparos, UT en empalmes CJP; prueba de estanqueidad.</w:t>
      </w:r>
    </w:p>
    <w:p>
      <w:pPr>
        <w:pStyle w:val="ListParagraph"/>
        <w:numPr>
          <w:ilvl w:val="0"/>
          <w:numId w:val="3"/>
        </w:numPr>
      </w:pPr>
      <w:r>
        <w:t xml:space="preserve">☐ Trabajo en caliente solo con el tanque desgasificado y certificado.</w:t>
      </w:r>
    </w:p>
    <w:p>
      <w:pPr>
        <w:pStyle w:val="ListParagraph"/>
        <w:numPr>
          <w:ilvl w:val="0"/>
          <w:numId w:val="3"/>
        </w:numPr>
      </w:pPr>
      <w:r>
        <w:t xml:space="preserve">☐ Reprogramar la tabla de volumen del sensor de nivel en el IM y reubicar succión y drenaje.</w:t>
      </w:r>
    </w:p>
    <w:p>
      <w:pPr>
        <w:pStyle w:val="ListParagraph"/>
        <w:numPr>
          <w:ilvl w:val="0"/>
          <w:numId w:val="3"/>
        </w:numPr>
      </w:pPr>
      <w:r>
        <w:t xml:space="preserve">☐ Consultar a Komatsu por garantía y aprobación de la modificación estructural.</w:t>
      </w:r>
    </w:p>
    <w:p>
      <w:pPr>
        <w:pStyle w:val="Heading2"/>
      </w:pPr>
      <w:r>
        <w:t xml:space="preserve">12. Archivos entregados</w:t>
      </w:r>
    </w:p>
    <w:p>
      <w:pPr/>
      <w:r>
        <w:t xml:space="preserve">Los modelos 3D son STEP AP214: se abren en Fusion 360 con Archivo → Abrir → Abrir desde mi equipo, o cargándolos en el Data Panel, con una pieza por plancha y nombres de componente en español.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Tanque_980E5_B0.step</w:t>
            </w:r>
          </w:p>
        </w:tc>
        <w:tc>
          <w:tcPr>
            <w:tcW w:w="4680" w:type="dxa"/>
          </w:tcPr>
          <w:p>
            <w:pPr/>
            <w:r>
              <w:t xml:space="preserve">Tanque actual reconstruido (línea base)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Tanque_980E5_P1.step / _P2.step</w:t>
            </w:r>
          </w:p>
        </w:tc>
        <w:tc>
          <w:tcPr>
            <w:tcW w:w="4680" w:type="dxa"/>
          </w:tcPr>
          <w:p>
            <w:pPr/>
            <w:r>
              <w:t xml:space="preserve">Propuestas de Raúl tal como se plantearon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Tanque_980E5_P1M.step / _P2M.step</w:t>
            </w:r>
          </w:p>
        </w:tc>
        <w:tc>
          <w:tcPr>
            <w:tcW w:w="4680" w:type="dxa"/>
          </w:tcPr>
          <w:p>
            <w:pPr/>
            <w:r>
              <w:t xml:space="preserve">Versiones modificadas recomendadas (fondo original como diafragma + fondo nuevo 10 mm)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Planos_*_Tanque_980E5.pdf</w:t>
            </w:r>
          </w:p>
        </w:tc>
        <w:tc>
          <w:tcPr>
            <w:tcW w:w="4680" w:type="dxa"/>
          </w:tcPr>
          <w:p>
            <w:pPr/>
            <w:r>
              <w:t xml:space="preserve">Plano A3: disposición general acotada, cuadro de capacidades y notas; hoja 2 con lista de corte y detalles de soldadura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Planos_*_Tanque_980E5.dxf</w:t>
            </w:r>
          </w:p>
        </w:tc>
        <w:tc>
          <w:tcPr>
            <w:tcW w:w="4680" w:type="dxa"/>
          </w:tcPr>
          <w:p>
            <w:pPr/>
            <w:r>
              <w:t xml:space="preserve">Vistas en planta, posterior y lateral para AutoCAD (capas VISIBLE, OCULTO, NUEVO, MAMPARO, COTAS)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FEA_CalculiX/*.inp</w:t>
            </w:r>
          </w:p>
        </w:tc>
        <w:tc>
          <w:tcPr>
            <w:tcW w:w="4680" w:type="dxa"/>
          </w:tcPr>
          <w:p>
            <w:pPr/>
            <w:r>
              <w:t xml:space="preserve">Modelos de elementos finitos de cada diseño (estático de 3 pasos y modal), reproducibles en CalculiX o PrePoMax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Resultados_FEA.xlsx</w:t>
            </w:r>
          </w:p>
        </w:tc>
        <w:tc>
          <w:tcPr>
            <w:tcW w:w="4680" w:type="dxa"/>
          </w:tcPr>
          <w:p>
            <w:pPr/>
            <w:r>
              <w:t xml:space="preserve">Tablas de esfuerzos por caso de carga, uniones soldadas, reacciones y modos</w:t>
            </w:r>
          </w:p>
        </w:tc>
      </w:tr>
    </w:tbl>
    <w:p>
      <w:pPr/>
      <w:r>
        <w:t xml:space="preserve">Para repetir el análisis en Fusion 360 Simulation: estudio Static Stress, acero A36, gravedad, presión hidrostática del combustible (850 kg/m³, superficie libre en el techo) en las caras interiores, pasador en las dos orejas superiores y apoyo sin fricción en X en los apoyos inferiores. Los factores g de la sección 5 se aplican escalando la gravedad y la presión.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komatsu.com/-/media/spec-sheets/trucks/electricdrivetruck_980e-5se_specsheet_english_en-980e-5sespec01-0522-v1.ashx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Memoria de cálculo FEA – Ampliación del tanque de combustible 980E-5</dc:title>
  <dc:description>Claude Docs node/7c1c5b51-d65f@16 docx-w6</dc:description>
  <cp:revision>16</cp:revision>
</cp:coreProperties>
</file>