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200"/>
        <w:jc w:val="center"/>
      </w:pPr>
      <w:r>
        <w:rPr>
          <w:rFonts w:ascii="Arial" w:cs="Arial" w:eastAsia="Arial" w:hAnsi="Arial"/>
          <w:b/>
          <w:bCs/>
          <w:color w:val="1B2A4A"/>
          <w:sz w:val="52"/>
          <w:szCs w:val="52"/>
        </w:rPr>
        <w:t xml:space="preserve">CAHIER DES CHARGES</w:t>
      </w:r>
    </w:p>
    <w:p>
      <w:pPr>
        <w:pBdr>
          <w:bottom w:val="single" w:color="2E75B6" w:sz="6" w:space="1"/>
        </w:pBdr>
        <w:spacing w:after="80"/>
        <w:jc w:val="center"/>
      </w:pPr>
      <w:r>
        <w:rPr>
          <w:rFonts w:ascii="Arial" w:cs="Arial" w:eastAsia="Arial" w:hAnsi="Arial"/>
          <w:b/>
          <w:bCs/>
          <w:color w:val="2E75B6"/>
          <w:sz w:val="30"/>
          <w:szCs w:val="30"/>
        </w:rPr>
        <w:t xml:space="preserve">MODULE OPÉRATIONS &amp; ENGAGEMENTS (MOE)</w:t>
      </w:r>
    </w:p>
    <w:p>
      <w:pPr>
        <w:spacing w:after="60"/>
      </w:pPr>
    </w:p>
    <w:p>
      <w:pPr>
        <w:jc w:val="center"/>
      </w:pPr>
      <w:r>
        <w:rPr>
          <w:rFonts w:ascii="Arial" w:cs="Arial" w:eastAsia="Arial" w:hAnsi="Arial"/>
          <w:color w:val="666666"/>
          <w:sz w:val="24"/>
          <w:szCs w:val="24"/>
        </w:rPr>
        <w:t xml:space="preserve">GFI System v7.0 — Socle 40</w:t>
      </w:r>
    </w:p>
    <w:p>
      <w:pPr>
        <w:jc w:val="center"/>
      </w:pPr>
      <w:r>
        <w:rPr>
          <w:rFonts w:ascii="Arial" w:cs="Arial" w:eastAsia="Arial" w:hAnsi="Arial"/>
          <w:color w:val="666666"/>
          <w:sz w:val="22"/>
          <w:szCs w:val="22"/>
        </w:rPr>
        <w:t xml:space="preserve">Groupe Dendani — ALLO MAISON 5.0 / Promotion Immobilière</w:t>
      </w:r>
    </w:p>
    <w:p>
      <w:pPr>
        <w:spacing w:after="200"/>
        <w:jc w:val="center"/>
      </w:pPr>
      <w:r>
        <w:rPr>
          <w:rFonts w:ascii="Arial" w:cs="Arial" w:eastAsia="Arial" w:hAnsi="Arial"/>
          <w:color w:val="888888"/>
          <w:sz w:val="20"/>
          <w:szCs w:val="20"/>
        </w:rPr>
        <w:t xml:space="preserve">Version 3.0 — Mars 2026</w:t>
      </w:r>
    </w:p>
    <w:p>
      <w:pPr>
        <w:jc w:val="center"/>
      </w:pPr>
      <w:r>
        <w:rPr>
          <w:rFonts w:ascii="Arial" w:cs="Arial" w:eastAsia="Arial" w:hAnsi="Arial"/>
          <w:b/>
          <w:bCs/>
          <w:color w:val="C0392B"/>
          <w:sz w:val="20"/>
          <w:szCs w:val="20"/>
        </w:rPr>
        <w:t xml:space="preserve">Objectif : 0 question pour l'implémenteur</w:t>
      </w:r>
    </w:p>
    <w:p>
      <w:pPr>
        <w:spacing w:after="60"/>
      </w:pPr>
    </w:p>
    <w:p>
      <w:pPr>
        <w:spacing w:after="100"/>
        <w:jc w:val="center"/>
      </w:pPr>
      <w:r>
        <w:rPr>
          <w:rFonts w:ascii="Arial" w:cs="Arial" w:eastAsia="Arial" w:hAnsi="Arial"/>
          <w:b/>
          <w:bCs/>
          <w:color w:val="E67E22"/>
          <w:sz w:val="19"/>
          <w:szCs w:val="19"/>
        </w:rPr>
        <w:t xml:space="preserve">ÉVOLUTIONS V3 :</w:t>
      </w:r>
    </w:p>
    <w:p>
      <w:pPr>
        <w:jc w:val="center"/>
      </w:pPr>
      <w:r>
        <w:rPr>
          <w:rFonts w:ascii="Arial" w:cs="Arial" w:eastAsia="Arial" w:hAnsi="Arial"/>
          <w:color w:val="E67E22"/>
          <w:sz w:val="18"/>
          <w:szCs w:val="18"/>
        </w:rPr>
        <w:t xml:space="preserve">Budget agrégé multi-source (RH, Finance, Compta, Tréso, ADV, Stock, Flotte)</w:t>
      </w:r>
    </w:p>
    <w:p>
      <w:pPr>
        <w:jc w:val="center"/>
      </w:pPr>
      <w:r>
        <w:rPr>
          <w:rFonts w:ascii="Arial" w:cs="Arial" w:eastAsia="Arial" w:hAnsi="Arial"/>
          <w:color w:val="E67E22"/>
          <w:sz w:val="18"/>
          <w:szCs w:val="18"/>
        </w:rPr>
        <w:t xml:space="preserve">Planning Gantt obligatoire par engagement (prévu vs réel)</w:t>
      </w:r>
    </w:p>
    <w:p>
      <w:pPr>
        <w:jc w:val="center"/>
      </w:pPr>
      <w:r>
        <w:rPr>
          <w:rFonts w:ascii="Arial" w:cs="Arial" w:eastAsia="Arial" w:hAnsi="Arial"/>
          <w:color w:val="E67E22"/>
          <w:sz w:val="18"/>
          <w:szCs w:val="18"/>
        </w:rPr>
        <w:t xml:space="preserve">Contrat déversé sur planning — suivi physique et financier intégré</w:t>
      </w:r>
    </w:p>
    <w:p>
      <w:pPr>
        <w:spacing w:before="1500"/>
        <w:jc w:val="center"/>
      </w:pPr>
      <w:r>
        <w:rPr>
          <w:rFonts w:ascii="Arial" w:cs="Arial" w:eastAsia="Arial" w:hAnsi="Arial"/>
          <w:b/>
          <w:bCs/>
          <w:color w:val="C0392B"/>
          <w:sz w:val="18"/>
          <w:szCs w:val="18"/>
        </w:rPr>
        <w:t xml:space="preserve">CONFIDENTIEL — GROUPE DENDANI</w:t>
      </w:r>
    </w:p>
    <w:p>
      <w:r>
        <w:br w:type="page"/>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B2A4A"/>
          <w:sz w:val="32"/>
          <w:szCs w:val="32"/>
        </w:rPr>
        <w:t xml:space="preserve">ADDENDUM A — BUDGET AGRÉGÉ MULTI-SOURCE AUTOMATIQUE</w:t>
      </w:r>
    </w:p>
    <w:p>
      <w:pPr>
        <w:pStyle w:val="Heading2"/>
        <w:spacing w:before="300" w:after="150"/>
      </w:pPr>
      <w:r>
        <w:rPr>
          <w:rFonts w:ascii="Arial" w:cs="Arial" w:eastAsia="Arial" w:hAnsi="Arial"/>
          <w:b/>
          <w:bCs/>
          <w:color w:val="2E75B6"/>
          <w:sz w:val="26"/>
          <w:szCs w:val="26"/>
        </w:rPr>
        <w:t xml:space="preserve">A.1 Problème résolu</w:t>
      </w:r>
    </w:p>
    <w:p>
      <w:pPr>
        <w:spacing w:after="100"/>
        <w:jc w:val="both"/>
      </w:pPr>
      <w:r>
        <w:rPr>
          <w:rFonts w:ascii="Arial" w:cs="Arial" w:eastAsia="Arial" w:hAnsi="Arial"/>
          <w:b w:val="false"/>
          <w:bCs w:val="false"/>
          <w:i w:val="false"/>
          <w:iCs w:val="false"/>
          <w:color w:val="333333"/>
          <w:sz w:val="20"/>
          <w:szCs w:val="20"/>
        </w:rPr>
        <w:t xml:space="preserve">Dans la V2, le budget d'une opération se limitait au montant du contrat (montant_engage_ttc). Or, le coût réel d'un engagement dépasse largement le contrat : il inclut les charges salariales internes mobilisées, les frais de déplacement, les consommables, les coûts d'opportunité, les charges financières, et les coûts indirects. La V3 résout ce problème en agrégeant AUTOMATIQUEMENT les données de tous les modules GFI pour constituer un budget complet et réaliste.</w:t>
      </w:r>
    </w:p>
    <w:p>
      <w:pPr>
        <w:spacing w:after="60"/>
      </w:pPr>
    </w:p>
    <w:p>
      <w:pPr>
        <w:pBdr>
          <w:left w:val="single" w:color="C0392B" w:sz="12"/>
        </w:pBdr>
        <w:spacing w:before="100" w:after="100"/>
        <w:ind w:left="200"/>
      </w:pPr>
      <w:r>
        <w:rPr>
          <w:rFonts w:ascii="Arial" w:cs="Arial" w:eastAsia="Arial" w:hAnsi="Arial"/>
          <w:b/>
          <w:bCs/>
          <w:color w:val="C0392B"/>
          <w:sz w:val="19"/>
          <w:szCs w:val="19"/>
        </w:rPr>
        <w:t xml:space="preserve">PRINCIPE V3 : Le budget d'une opération n'est PAS le montant du contrat. C'est l'agrégation automatique de TOUTES les dépenses directes et indirectes, tirées de tous les modules du système, rattachées à cette opération. Le système va chercher les données — l'utilisateur ne saisit rien manuellement sauf le contrat.</w:t>
      </w:r>
    </w:p>
    <w:p>
      <w:pPr>
        <w:pStyle w:val="Heading2"/>
        <w:spacing w:before="300" w:after="150"/>
      </w:pPr>
      <w:r>
        <w:rPr>
          <w:rFonts w:ascii="Arial" w:cs="Arial" w:eastAsia="Arial" w:hAnsi="Arial"/>
          <w:b/>
          <w:bCs/>
          <w:color w:val="2E75B6"/>
          <w:sz w:val="26"/>
          <w:szCs w:val="26"/>
        </w:rPr>
        <w:t xml:space="preserve">A.2 Sources de données budgétaires</w:t>
      </w:r>
    </w:p>
    <w:p>
      <w:pPr>
        <w:spacing w:after="100"/>
        <w:jc w:val="both"/>
      </w:pPr>
      <w:r>
        <w:rPr>
          <w:rFonts w:ascii="Arial" w:cs="Arial" w:eastAsia="Arial" w:hAnsi="Arial"/>
          <w:b w:val="false"/>
          <w:bCs w:val="false"/>
          <w:i w:val="false"/>
          <w:iCs w:val="false"/>
          <w:color w:val="333333"/>
          <w:sz w:val="20"/>
          <w:szCs w:val="20"/>
        </w:rPr>
        <w:t xml:space="preserve">Le système agrège automatiquement les données depuis 11 sources distinctes. Chaque source est interrogée via API interne ou trigger de base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000"/>
        <w:gridCol w:w="1600"/>
        <w:gridCol w:w="2626"/>
      </w:tblGrid>
      <w:tr>
        <w:trPr>
          <w:tblHeader/>
        </w:trPr>
        <w:tc>
          <w:tcPr>
            <w:tcW w:type="dxa" w:w="6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w:t>
            </w:r>
          </w:p>
        </w:tc>
        <w:tc>
          <w:tcPr>
            <w:tcW w:type="dxa" w:w="2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Source / Module GFI</w:t>
            </w:r>
          </w:p>
        </w:tc>
        <w:tc>
          <w:tcPr>
            <w:tcW w:type="dxa" w:w="2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Données extraites</w:t>
            </w:r>
          </w:p>
        </w:tc>
        <w:tc>
          <w:tcPr>
            <w:tcW w:type="dxa" w:w="16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Fréquence MAJ</w:t>
            </w:r>
          </w:p>
        </w:tc>
        <w:tc>
          <w:tcPr>
            <w:tcW w:type="dxa" w:w="2626"/>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Méthode</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Contrat MOE (lui-même)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Montant engagé HT/TTC, RF2, pénalités, retenue garantie, avance forfaitaire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Temps réel</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Directe (même table)</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Module RH / Paie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Masse salariale imputable : heures × coût horaire chargé par employé affecté à l'opération. Inclut : salaire brut, charges patronales CNAS (26%), IRG, congés payés provisionnés, prime rendement.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Mensuelle (paie)</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API : GET /api/v1/rh/cout-imputable?operation_id={id}. Le module RH connaît l'affectation des employés aux projets/opérations.</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S3</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Module Finance / Comptabilité</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Écritures comptables rattachées : factures fournisseurs (classe 6), immobilisations (classe 2), charges à payer (classe 4), provisions.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Temps réel</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Trigger sur écriture comptable contenant le centre_cout_id de l'opération</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Module Trésorerie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Flux de trésorerie réels : paiements émis, encaissements reçus, frais bancaires, agios, différences de change.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Temps réel</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Trigger sur mouvement bancaire avec référence opération</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Module ADV</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Pour opérations ADV_VENTE : déblocages crédit reçus, paiements clients SPOT/fonds propres, montants notaire.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Temps réel</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API : GET /api/v1/adv/flux-financiers?dossier_id={id}</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S6</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Module Centre de Coût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Budget alloué au centre de coût, consommation cumulée, reste à engager, reste à payer.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Temps réel</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API : GET /api/v1/centre-cout/{id}/situation</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S7</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Module Stock / Achats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Consommation matières rattachée : bons de sortie, bons de commande, coûts matériaux prélevés pour l'opération.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Temps réel</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Trigger sur bon de sortie avec imputation opération</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S8</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Module Flotte / Véhicules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Coûts véhicules imputés : carburant, maintenance, amortissement au prorata des km affectés à l'opération.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Mensuelle</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API : GET /api/v1/flotte/cout-imputable?operation_id={id}</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S9</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Module IT / Licences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Coûts logiciels au prorata : licences Odoo, SCADA, MES, cloud, hébergement imputés par opération.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Mensuelle</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Clé de répartition paramétrable par opération/projet</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S10</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Module Assurances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Primes d'assurance rattachées : RC pro, décennale, tous risques chantier, au prorata de l'opération.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Annuelle + prorata</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Clé de répartition par projet/surface/montant</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S11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Charges indirectes (overhead)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Quote-part frais généraux : loyer bureau, télécom, gardiennage, nettoyage, électricité. Clé de répartition paramétrable.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Mensuelle</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Clé de répartition : % CA ou % surface ou % effectif</w:t>
            </w:r>
          </w:p>
        </w:tc>
      </w:tr>
    </w:tbl>
    <w:p>
      <w:pPr>
        <w:pStyle w:val="Heading2"/>
        <w:spacing w:before="300" w:after="150"/>
      </w:pPr>
      <w:r>
        <w:rPr>
          <w:rFonts w:ascii="Arial" w:cs="Arial" w:eastAsia="Arial" w:hAnsi="Arial"/>
          <w:b/>
          <w:bCs/>
          <w:color w:val="2E75B6"/>
          <w:sz w:val="26"/>
          <w:szCs w:val="26"/>
        </w:rPr>
        <w:t xml:space="preserve">A.3 Table : operation_budget_agrege</w:t>
      </w:r>
    </w:p>
    <w:p>
      <w:pPr>
        <w:spacing w:after="100"/>
        <w:jc w:val="both"/>
      </w:pPr>
      <w:r>
        <w:rPr>
          <w:rFonts w:ascii="Arial" w:cs="Arial" w:eastAsia="Arial" w:hAnsi="Arial"/>
          <w:b w:val="false"/>
          <w:bCs w:val="false"/>
          <w:i w:val="false"/>
          <w:iCs w:val="false"/>
          <w:color w:val="333333"/>
          <w:sz w:val="20"/>
          <w:szCs w:val="20"/>
        </w:rPr>
        <w:t xml:space="preserve">Table de synthèse budgétaire par source. Une ligne par source × opération. Mise à jour automatiquement par les triggers et CRON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226"/>
      </w:tblGrid>
      <w:tr>
        <w:trPr>
          <w:tblHeader/>
        </w:trPr>
        <w:tc>
          <w:tcPr>
            <w:tcW w:type="dxa" w:w="2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Champ</w:t>
            </w:r>
          </w:p>
        </w:tc>
        <w:tc>
          <w:tcPr>
            <w:tcW w:type="dxa" w:w="16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Type</w:t>
            </w:r>
          </w:p>
        </w:tc>
        <w:tc>
          <w:tcPr>
            <w:tcW w:type="dxa" w:w="1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Null?</w:t>
            </w:r>
          </w:p>
        </w:tc>
        <w:tc>
          <w:tcPr>
            <w:tcW w:type="dxa" w:w="4226"/>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budget_agrege_id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UUID PK</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operation_id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UUID FK</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operations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source_code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S1_CONTRAT | S2_RH_PAIE | S3_FINANCE_COMPTA | S4_TRESORERIE | S5_ADV | S6_CENTRE_COUT | S7_STOCK_ACHATS | S8_FLOTTE | S9_IT_LICENCES | S10_ASSURANCES | S11_OVERHEAD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source_label</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VARCHAR(100)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Libellé lisible. Ex: 'Masse salariale imputable'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montant_prevu</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NUMERIC(15,2)</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Budget prévu pour cette source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montant_reel</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NUMERIC(15,2)</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0. Mis à jour auto.</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ecart_pct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NUMERIC(5,2) GEN.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OUI</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GENERATED AS ((montant_reel - montant_prevu) / NULLIF(montant_prevu,0) * 100)</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methode_calcul</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DIRECT | API_PULL | TRIGGER | CLE_REPARTITION | CRON_MENSUEL</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cle_repartition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JSONB</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OUI</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Si méthode = CLE_REPARTITION : {type: 'pct_ca', valeur: 12.5} ou {type: 'pct_surface', valeur: 8.3}</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derniere_maj</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TIMESTAMPTZ</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Horodatage dernière mise à jour</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detail_lignes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JSONB</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OUI</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Détail ligne par ligne des éléments agrégés. Ex pour S2: [{employe: 'Ali K.', heures: 120, cout_h: 2500, total: 300000}, ...]</w:t>
            </w:r>
          </w:p>
        </w:tc>
      </w:tr>
    </w:tbl>
    <w:p>
      <w:pPr>
        <w:pStyle w:val="Heading2"/>
        <w:spacing w:before="300" w:after="150"/>
      </w:pPr>
      <w:r>
        <w:rPr>
          <w:rFonts w:ascii="Arial" w:cs="Arial" w:eastAsia="Arial" w:hAnsi="Arial"/>
          <w:b/>
          <w:bCs/>
          <w:color w:val="2E75B6"/>
          <w:sz w:val="26"/>
          <w:szCs w:val="26"/>
        </w:rPr>
        <w:t xml:space="preserve">A.4 Vue matérialisée : budget_complet_operation</w:t>
      </w:r>
    </w:p>
    <w:p>
      <w:pPr>
        <w:spacing w:after="100"/>
        <w:jc w:val="both"/>
      </w:pPr>
      <w:r>
        <w:rPr>
          <w:rFonts w:ascii="Arial" w:cs="Arial" w:eastAsia="Arial" w:hAnsi="Arial"/>
          <w:b w:val="false"/>
          <w:bCs w:val="false"/>
          <w:i w:val="false"/>
          <w:iCs w:val="false"/>
          <w:color w:val="333333"/>
          <w:sz w:val="20"/>
          <w:szCs w:val="20"/>
        </w:rPr>
        <w:t xml:space="preserve">Vue PostgreSQL matérialisée (MATERIALIZED VIEW) rafraîchie toutes les heures par CRON, donnant le budget complet en une seule requête :</w:t>
      </w:r>
    </w:p>
    <w:p>
      <w:pPr>
        <w:spacing w:after="100"/>
        <w:jc w:val="both"/>
      </w:pPr>
      <w:r>
        <w:rPr>
          <w:rFonts w:ascii="Arial" w:cs="Arial" w:eastAsia="Arial" w:hAnsi="Arial"/>
          <w:b w:val="false"/>
          <w:bCs w:val="false"/>
          <w:i w:val="false"/>
          <w:iCs w:val="false"/>
          <w:color w:val="555555"/>
          <w:sz w:val="17"/>
          <w:szCs w:val="17"/>
        </w:rPr>
        <w:t xml:space="preserve">CREATE MATERIALIZED VIEW budget_complet_operation AS SELECT o.operation_id, o.code_operation, o.intitule, o.montant_engage_ttc AS budget_contrat, COALESCE(SUM(ba.montant_prevu), 0) AS budget_total_prevu, COALESCE(SUM(ba.montant_reel), 0) AS budget_total_reel, COALESCE(SUM(ba.montant_reel), 0) - COALESCE(SUM(ba.montant_prevu), 0) AS ecart_absolu, CASE WHEN SUM(ba.montant_prevu) &gt; 0 THEN ROUND((SUM(ba.montant_reel) - SUM(ba.montant_prevu)) / SUM(ba.montant_prevu) * 100, 2) ELSE 0 END AS ecart_pct, jsonb_object_agg(ba.source_code, jsonb_build_object('prevu', ba.montant_prevu, 'reel', ba.montant_reel)) AS detail_par_source FROM operations o LEFT JOIN operation_budget_agrege ba ON o.operation_id = ba.operation_id GROUP BY o.operation_id, o.code_operation, o.intitule, o.montant_engage_ttc;</w:t>
      </w:r>
    </w:p>
    <w:p>
      <w:pPr>
        <w:pStyle w:val="Heading2"/>
        <w:spacing w:before="300" w:after="150"/>
      </w:pPr>
      <w:r>
        <w:rPr>
          <w:rFonts w:ascii="Arial" w:cs="Arial" w:eastAsia="Arial" w:hAnsi="Arial"/>
          <w:b/>
          <w:bCs/>
          <w:color w:val="2E75B6"/>
          <w:sz w:val="26"/>
          <w:szCs w:val="26"/>
        </w:rPr>
        <w:t xml:space="preserve">A.5 Exemple concret : budget complet d'un marché gros-œuvre</w:t>
      </w:r>
    </w:p>
    <w:p>
      <w:pPr>
        <w:spacing w:after="100"/>
        <w:jc w:val="both"/>
      </w:pPr>
      <w:r>
        <w:rPr>
          <w:rFonts w:ascii="Arial" w:cs="Arial" w:eastAsia="Arial" w:hAnsi="Arial"/>
          <w:b w:val="false"/>
          <w:bCs w:val="false"/>
          <w:i w:val="false"/>
          <w:iCs w:val="false"/>
          <w:color w:val="333333"/>
          <w:sz w:val="20"/>
          <w:szCs w:val="20"/>
        </w:rPr>
        <w:t xml:space="preserve">Marché gros-œuvre AURÉA (Chéraga) — Montant contrat : 85.000.000 DZD TTC. Voici ce que le système agrège automatiquement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000"/>
        <w:gridCol w:w="2000"/>
        <w:gridCol w:w="1926"/>
      </w:tblGrid>
      <w:tr>
        <w:trPr>
          <w:tblHeader/>
        </w:trPr>
        <w:tc>
          <w:tcPr>
            <w:tcW w:type="dxa" w:w="6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w:t>
            </w:r>
          </w:p>
        </w:tc>
        <w:tc>
          <w:tcPr>
            <w:tcW w:type="dxa" w:w="25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Source</w:t>
            </w:r>
          </w:p>
        </w:tc>
        <w:tc>
          <w:tcPr>
            <w:tcW w:type="dxa" w:w="2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Prévu</w:t>
            </w:r>
          </w:p>
        </w:tc>
        <w:tc>
          <w:tcPr>
            <w:tcW w:type="dxa" w:w="2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Réel (M+6)</w:t>
            </w:r>
          </w:p>
        </w:tc>
        <w:tc>
          <w:tcPr>
            <w:tcW w:type="dxa" w:w="1926"/>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Écart</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S1</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Contrat gros-œuvre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85.000.000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72.300.000</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-15% (en cours)</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S2</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RH : chef chantier + conducteur travaux (6 mois)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4.200.000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4.350.000</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+3.6%</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S3</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Comptabilité : factures sous-traitants rattachées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0 (incl. S1)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0</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S4</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Trésorerie : frais bancaires + agios sur paiements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850.000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920.000</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+8.2%</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S5</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ADV : n/a (pas une vente)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S6</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Centre de coût : consommation cumulée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(agrégation)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(agrégation)</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S7</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Stock : ciment + acier prélevé de stock propre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6.500.000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7.100.000</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+9.2%</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S8</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Flotte : camions + engins (carburant + amortissement)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3.200.000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3.450.000</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+7.8%</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S9</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IT : licence Odoo (prorata projet)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180.000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180.000</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0%</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S10</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Assurance tous risques chantier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1.700.000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1.700.000</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0%</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S11</w:t>
            </w:r>
          </w:p>
        </w:tc>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Overhead (loyer bureau 12.5%)</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2.400.000</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2.400.000</w:t>
            </w:r>
          </w:p>
        </w:tc>
        <w:tc>
          <w:tcPr>
            <w:tcW w:type="dxa" w:w="19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0%</w:t>
            </w:r>
          </w:p>
        </w:tc>
      </w:tr>
    </w:tbl>
    <w:p>
      <w:pPr>
        <w:spacing w:after="100"/>
        <w:jc w:val="both"/>
      </w:pPr>
      <w:r>
        <w:rPr>
          <w:rFonts w:ascii="Arial" w:cs="Arial" w:eastAsia="Arial" w:hAnsi="Arial"/>
          <w:b/>
          <w:bCs/>
          <w:color w:val="C0392B"/>
          <w:sz w:val="20"/>
          <w:szCs w:val="20"/>
        </w:rPr>
        <w:t xml:space="preserve">BUDGET TOTAL RÉALISTE : </w:t>
      </w:r>
      <w:r>
        <w:rPr>
          <w:rFonts w:ascii="Arial" w:cs="Arial" w:eastAsia="Arial" w:hAnsi="Arial"/>
          <w:color w:val="333333"/>
          <w:sz w:val="20"/>
          <w:szCs w:val="20"/>
        </w:rPr>
        <w:t xml:space="preserve">104.030.000 DZD prévu vs 92.400.000 DZD réel à M+6. Le coût réel de l'opération est 22% supérieur au montant du contrat seul (85M). Sans agrégation multi-source, le groupe verrait 85M alors que le coût réel est 104M.</w:t>
      </w:r>
    </w:p>
    <w:p>
      <w:pPr>
        <w:pStyle w:val="Heading2"/>
        <w:spacing w:before="300" w:after="150"/>
      </w:pPr>
      <w:r>
        <w:rPr>
          <w:rFonts w:ascii="Arial" w:cs="Arial" w:eastAsia="Arial" w:hAnsi="Arial"/>
          <w:b/>
          <w:bCs/>
          <w:color w:val="2E75B6"/>
          <w:sz w:val="26"/>
          <w:szCs w:val="26"/>
        </w:rPr>
        <w:t xml:space="preserve">A.6 Configuration des clés de répartition</w:t>
      </w:r>
    </w:p>
    <w:p>
      <w:pPr>
        <w:spacing w:after="100"/>
        <w:jc w:val="both"/>
      </w:pPr>
      <w:r>
        <w:rPr>
          <w:rFonts w:ascii="Arial" w:cs="Arial" w:eastAsia="Arial" w:hAnsi="Arial"/>
          <w:b w:val="false"/>
          <w:bCs w:val="false"/>
          <w:i w:val="false"/>
          <w:iCs w:val="false"/>
          <w:color w:val="333333"/>
          <w:sz w:val="20"/>
          <w:szCs w:val="20"/>
        </w:rPr>
        <w:t xml:space="preserve">Les sources S9, S10, S11 utilisent des clés de répartition pour imputer les coûts indirects. Ces clés sont paramétrables par le trésorier/DAF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Clé</w:t>
            </w:r>
          </w:p>
        </w:tc>
        <w:tc>
          <w:tcPr>
            <w:tcW w:type="dxa" w:w="2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Formule</w:t>
            </w:r>
          </w:p>
        </w:tc>
        <w:tc>
          <w:tcPr>
            <w:tcW w:type="dxa" w:w="2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Paramètre</w:t>
            </w:r>
          </w:p>
        </w:tc>
        <w:tc>
          <w:tcPr>
            <w:tcW w:type="dxa" w:w="2526"/>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Exemple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du CA projet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coût_total × (CA_projet / CA_groupe)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Automatique depuis ADV</w:t>
            </w:r>
          </w:p>
        </w:tc>
        <w:tc>
          <w:tcPr>
            <w:tcW w:type="dxa" w:w="2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Si projet = 15% CA → 15% des charges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surface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coût_total × (surface_projet / surface_totale)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Saisie manuelle</w:t>
            </w:r>
          </w:p>
        </w:tc>
        <w:tc>
          <w:tcPr>
            <w:tcW w:type="dxa" w:w="2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Si projet = 5000m² sur 50000m² → 10%</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effectif</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coût_total × (effectif_projet / effectif_total)</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Depuis module RH</w:t>
            </w:r>
          </w:p>
        </w:tc>
        <w:tc>
          <w:tcPr>
            <w:tcW w:type="dxa" w:w="2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Si 8 personnes / 60 → 13.3%</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Montant fixe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Montant défini manuellement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Saisie DAF</w:t>
            </w:r>
          </w:p>
        </w:tc>
        <w:tc>
          <w:tcPr>
            <w:tcW w:type="dxa" w:w="2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Prime assurance annuelle / 12 × nb mois opération</w:t>
            </w:r>
          </w:p>
        </w:tc>
      </w:tr>
    </w:tbl>
    <w:p>
      <w:pPr>
        <w:pStyle w:val="Heading2"/>
        <w:spacing w:before="300" w:after="150"/>
      </w:pPr>
      <w:r>
        <w:rPr>
          <w:rFonts w:ascii="Arial" w:cs="Arial" w:eastAsia="Arial" w:hAnsi="Arial"/>
          <w:b/>
          <w:bCs/>
          <w:color w:val="2E75B6"/>
          <w:sz w:val="26"/>
          <w:szCs w:val="26"/>
        </w:rPr>
        <w:t xml:space="preserve">A.7 Rafraîchissement et cohérence</w:t>
      </w:r>
    </w:p>
    <w:p>
      <w:pPr>
        <w:spacing w:after="100"/>
        <w:jc w:val="both"/>
      </w:pPr>
      <w:r>
        <w:rPr>
          <w:rFonts w:ascii="Arial" w:cs="Arial" w:eastAsia="Arial" w:hAnsi="Arial"/>
          <w:b w:val="false"/>
          <w:bCs w:val="false"/>
          <w:i w:val="false"/>
          <w:iCs w:val="false"/>
          <w:color w:val="333333"/>
          <w:sz w:val="20"/>
          <w:szCs w:val="20"/>
        </w:rPr>
        <w:t xml:space="preserve">Le système maintient la cohérence budgétaire via 3 mécanismes : (1) Triggers temps réel sur les tables finance, trésorerie, stock, paie — chaque INSERT/UPDATE met à jour le montant_reel de la source correspondante dans operation_budget_agrege. (2) CRON horaire pour les sources calculées (overhead, assurance, flotte, IT) — recalcule les clés de répartition et met à jour. (3) Vue matérialisée budget_complet_operation rafraîchie toutes les heures. Le dashboard MOE lit cette vue pour des performances optimales.</w:t>
      </w:r>
    </w:p>
    <w:p>
      <w:pPr>
        <w:pStyle w:val="Heading2"/>
        <w:spacing w:before="300" w:after="150"/>
      </w:pPr>
      <w:r>
        <w:rPr>
          <w:rFonts w:ascii="Arial" w:cs="Arial" w:eastAsia="Arial" w:hAnsi="Arial"/>
          <w:b/>
          <w:bCs/>
          <w:color w:val="2E75B6"/>
          <w:sz w:val="26"/>
          <w:szCs w:val="26"/>
        </w:rPr>
        <w:t xml:space="preserve">A.8 Alertes budgétaires multi-source</w:t>
      </w:r>
    </w:p>
    <w:p>
      <w:pPr>
        <w:spacing w:after="100"/>
        <w:jc w:val="both"/>
      </w:pPr>
      <w:r>
        <w:rPr>
          <w:rFonts w:ascii="Arial" w:cs="Arial" w:eastAsia="Arial" w:hAnsi="Arial"/>
          <w:b w:val="false"/>
          <w:bCs w:val="false"/>
          <w:i w:val="false"/>
          <w:iCs w:val="false"/>
          <w:color w:val="333333"/>
          <w:sz w:val="20"/>
          <w:szCs w:val="20"/>
        </w:rPr>
        <w:t xml:space="preserve">Le système génère des alertes spécifiques par source, pas seulement sur le total : si S2 (RH) dépasse de 20% le prévu, l'alerte indique 'Dépassement masse salariale imputable +20%' — ce qui est beaucoup plus actionnable que 'dépassement budget global +3%'. Le responsable sait exactement où intervenir.</w:t>
      </w:r>
    </w:p>
    <w:p>
      <w:r>
        <w:br w:type="page"/>
      </w:r>
    </w:p>
    <w:p>
      <w:pPr>
        <w:pStyle w:val="Heading1"/>
        <w:spacing w:before="400" w:after="200"/>
      </w:pPr>
      <w:r>
        <w:rPr>
          <w:rFonts w:ascii="Arial" w:cs="Arial" w:eastAsia="Arial" w:hAnsi="Arial"/>
          <w:b/>
          <w:bCs/>
          <w:color w:val="1B2A4A"/>
          <w:sz w:val="32"/>
          <w:szCs w:val="32"/>
        </w:rPr>
        <w:t xml:space="preserve">ADDENDUM B — PLANNING GANTT OBLIGATOIRE PAR ENGAGEMENT</w:t>
      </w:r>
    </w:p>
    <w:p>
      <w:pPr>
        <w:pStyle w:val="Heading2"/>
        <w:spacing w:before="300" w:after="150"/>
      </w:pPr>
      <w:r>
        <w:rPr>
          <w:rFonts w:ascii="Arial" w:cs="Arial" w:eastAsia="Arial" w:hAnsi="Arial"/>
          <w:b/>
          <w:bCs/>
          <w:color w:val="2E75B6"/>
          <w:sz w:val="26"/>
          <w:szCs w:val="26"/>
        </w:rPr>
        <w:t xml:space="preserve">B.1 Principe</w:t>
      </w:r>
    </w:p>
    <w:p>
      <w:pPr>
        <w:pBdr>
          <w:left w:val="single" w:color="C0392B" w:sz="12"/>
        </w:pBdr>
        <w:spacing w:before="100" w:after="100"/>
        <w:ind w:left="200"/>
      </w:pPr>
      <w:r>
        <w:rPr>
          <w:rFonts w:ascii="Arial" w:cs="Arial" w:eastAsia="Arial" w:hAnsi="Arial"/>
          <w:b/>
          <w:bCs/>
          <w:color w:val="C0392B"/>
          <w:sz w:val="19"/>
          <w:szCs w:val="19"/>
        </w:rPr>
        <w:t xml:space="preserve">RÈGLE V3 : Chaque engagement DOIT être accompagné d'un planning. Le contrat est 'déversé' sur le planning : chaque clause, chaque livrable, chaque paiement devient une tâche du planning avec date début/fin, durée, dépendances, et pourcentage d'avancement. Le système gère deux plannings parallèles : PRÉVU (contractuel, immutable après validation) et RÉEL (mis à jour par les preuves terrain).</w:t>
      </w:r>
    </w:p>
    <w:p>
      <w:pPr>
        <w:spacing w:after="60"/>
      </w:pPr>
    </w:p>
    <w:p>
      <w:pPr>
        <w:spacing w:after="100"/>
        <w:jc w:val="both"/>
      </w:pPr>
      <w:r>
        <w:rPr>
          <w:rFonts w:ascii="Arial" w:cs="Arial" w:eastAsia="Arial" w:hAnsi="Arial"/>
          <w:b w:val="false"/>
          <w:bCs w:val="false"/>
          <w:i w:val="false"/>
          <w:iCs w:val="false"/>
          <w:color w:val="333333"/>
          <w:sz w:val="20"/>
          <w:szCs w:val="20"/>
        </w:rPr>
        <w:t xml:space="preserve">Le planning n'est pas un simple accessoire — c'est le squelette de l'opération. Les jalons de la V2 deviennent des tâches du planning. Le budget mensuel (§V2) est calé sur le planning. Les pénalités sont calculées sur les écarts du planning. Le suivi physique (% avancement) est indissociable du suivi financier.</w:t>
      </w:r>
    </w:p>
    <w:p>
      <w:pPr>
        <w:pStyle w:val="Heading2"/>
        <w:spacing w:before="300" w:after="150"/>
      </w:pPr>
      <w:r>
        <w:rPr>
          <w:rFonts w:ascii="Arial" w:cs="Arial" w:eastAsia="Arial" w:hAnsi="Arial"/>
          <w:b/>
          <w:bCs/>
          <w:color w:val="2E75B6"/>
          <w:sz w:val="26"/>
          <w:szCs w:val="26"/>
        </w:rPr>
        <w:t xml:space="preserve">B.2 Table : operation_planning_taches</w:t>
      </w:r>
    </w:p>
    <w:p>
      <w:pPr>
        <w:spacing w:after="100"/>
        <w:jc w:val="both"/>
      </w:pPr>
      <w:r>
        <w:rPr>
          <w:rFonts w:ascii="Arial" w:cs="Arial" w:eastAsia="Arial" w:hAnsi="Arial"/>
          <w:b w:val="false"/>
          <w:bCs w:val="false"/>
          <w:i w:val="false"/>
          <w:iCs w:val="false"/>
          <w:color w:val="333333"/>
          <w:sz w:val="20"/>
          <w:szCs w:val="20"/>
        </w:rPr>
        <w:t xml:space="preserve">Chaque tâche du planning est liée à un jalon. Un jalon peut contenir plusieurs tâches (décomposition). Les tâches forment un arbre hiérarchique (WBS — Work Breakdown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226"/>
      </w:tblGrid>
      <w:tr>
        <w:trPr>
          <w:tblHeader/>
        </w:trPr>
        <w:tc>
          <w:tcPr>
            <w:tcW w:type="dxa" w:w="2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Champ</w:t>
            </w:r>
          </w:p>
        </w:tc>
        <w:tc>
          <w:tcPr>
            <w:tcW w:type="dxa" w:w="16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Type</w:t>
            </w:r>
          </w:p>
        </w:tc>
        <w:tc>
          <w:tcPr>
            <w:tcW w:type="dxa" w:w="1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Null?</w:t>
            </w:r>
          </w:p>
        </w:tc>
        <w:tc>
          <w:tcPr>
            <w:tcW w:type="dxa" w:w="4226"/>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tache_id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UUID PK</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operation_id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UUID FK</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operations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jalon_id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UUID FK</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OUI</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operation_jalons. NULL si tâche de regroupement (summary task).</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parent_tache_id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UUID FK</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OUI</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operation_planning_taches. NULL si tâche racine. Permet hiérarchie WBS.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code_wbs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VARCHAR(20)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Code WBS auto-généré. Ex: '1', '1.1', '1.1.2', '2', '2.1'</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intitule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VARCHAR(300)</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Nom de la tâche. Ex: 'Terrassement', 'Coulage fondations'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type_tache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SUMMARY | TACHE | JALON_PLANNING | LIVRABLE | PAIEMENT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date_debut_prevue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Début prévu (contractuel)</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date_fin_prevue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Fin prévue (contractuelle)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duree_prevue_jours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INTEGER GEN.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GENERATED AS (date_fin_prevue - date_debut_prevue)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date_debut_reelle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OUI</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Début réel constaté</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date_fin_reelle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OUI</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Fin réelle constatée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duree_reelle_jours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INTEGER GEN.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OUI</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GENERATED AS (date_fin_reelle - date_debut_reelle)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avancement_pct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NUMERIC(5,2)</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0. Pourcentage d'avancement physique [0-100]. Mis à jour via preuve ou saisie.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avancement_methode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MANUEL | PREUVE_PHOTO | SITUATION_TRAVAUX | IA_DETECTION | CAPTEUR_IOT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budget_tache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NUMERIC(15,2)</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OUI</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Budget alloué à cette tâche (sous-partie du jalon)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cout_reel_tache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NUMERIC(15,2)</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OUI</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0. Coût réel constaté.</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est_critique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BOOLEAN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FALSE. TRUE si la tâche est sur le chemin critique.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responsable_id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UUID FK</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OUI</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users. Responsable opérationnel de la tâche.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statut_tache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A_FAIRE | EN_COURS | TERMINEE | EN_RETARD | BLOQUEE | ANNULEE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notes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OUI</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Commentaires, observations terrain</w:t>
            </w:r>
          </w:p>
        </w:tc>
      </w:tr>
    </w:tbl>
    <w:p>
      <w:pPr>
        <w:pStyle w:val="Heading2"/>
        <w:spacing w:before="300" w:after="150"/>
      </w:pPr>
      <w:r>
        <w:rPr>
          <w:rFonts w:ascii="Arial" w:cs="Arial" w:eastAsia="Arial" w:hAnsi="Arial"/>
          <w:b/>
          <w:bCs/>
          <w:color w:val="2E75B6"/>
          <w:sz w:val="26"/>
          <w:szCs w:val="26"/>
        </w:rPr>
        <w:t xml:space="preserve">B.3 Table : operation_planning_dependances</w:t>
      </w:r>
    </w:p>
    <w:p>
      <w:pPr>
        <w:spacing w:after="100"/>
        <w:jc w:val="both"/>
      </w:pPr>
      <w:r>
        <w:rPr>
          <w:rFonts w:ascii="Arial" w:cs="Arial" w:eastAsia="Arial" w:hAnsi="Arial"/>
          <w:b w:val="false"/>
          <w:bCs w:val="false"/>
          <w:i w:val="false"/>
          <w:iCs w:val="false"/>
          <w:color w:val="333333"/>
          <w:sz w:val="20"/>
          <w:szCs w:val="20"/>
        </w:rPr>
        <w:t xml:space="preserve">Les dépendances entre tâches déterminent le chemin critique et les impacts de retard en cascade.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226"/>
      </w:tblGrid>
      <w:tr>
        <w:trPr>
          <w:tblHeader/>
        </w:trPr>
        <w:tc>
          <w:tcPr>
            <w:tcW w:type="dxa" w:w="2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Champ</w:t>
            </w:r>
          </w:p>
        </w:tc>
        <w:tc>
          <w:tcPr>
            <w:tcW w:type="dxa" w:w="16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Type</w:t>
            </w:r>
          </w:p>
        </w:tc>
        <w:tc>
          <w:tcPr>
            <w:tcW w:type="dxa" w:w="1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Null?</w:t>
            </w:r>
          </w:p>
        </w:tc>
        <w:tc>
          <w:tcPr>
            <w:tcW w:type="dxa" w:w="4226"/>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dependance_id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UUID PK</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tache_predecesseur_id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UUID FK</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operation_planning_taches (la tâche qui doit finir avant)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tache_successeur_id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UUID FK</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operation_planning_taches (la tâche qui attend)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type_dependance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FD (Fin-Début) | DD (Début-Début) | FF (Fin-Fin) | DF (Début-Fin)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decalage_jours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INTEGER</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DEFAULT 0. Lag (+) ou Lead (-). Ex: +3 = 3 jours d'attente après fin prédécesseur.</w:t>
            </w:r>
          </w:p>
        </w:tc>
      </w:tr>
    </w:tbl>
    <w:p>
      <w:pPr>
        <w:pStyle w:val="Heading2"/>
        <w:spacing w:before="300" w:after="150"/>
      </w:pPr>
      <w:r>
        <w:rPr>
          <w:rFonts w:ascii="Arial" w:cs="Arial" w:eastAsia="Arial" w:hAnsi="Arial"/>
          <w:b/>
          <w:bCs/>
          <w:color w:val="2E75B6"/>
          <w:sz w:val="26"/>
          <w:szCs w:val="26"/>
        </w:rPr>
        <w:t xml:space="preserve">B.4 Table : operation_planning_snapshots</w:t>
      </w:r>
    </w:p>
    <w:p>
      <w:pPr>
        <w:spacing w:after="100"/>
        <w:jc w:val="both"/>
      </w:pPr>
      <w:r>
        <w:rPr>
          <w:rFonts w:ascii="Arial" w:cs="Arial" w:eastAsia="Arial" w:hAnsi="Arial"/>
          <w:b w:val="false"/>
          <w:bCs w:val="false"/>
          <w:i w:val="false"/>
          <w:iCs w:val="false"/>
          <w:color w:val="333333"/>
          <w:sz w:val="20"/>
          <w:szCs w:val="20"/>
        </w:rPr>
        <w:t xml:space="preserve">Le système sauvegarde automatiquement des snapshots du planning à des moments clés pour permettre la comparaison historique (baseline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4226"/>
      </w:tblGrid>
      <w:tr>
        <w:trPr>
          <w:tblHeader/>
        </w:trPr>
        <w:tc>
          <w:tcPr>
            <w:tcW w:type="dxa" w:w="2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Champ</w:t>
            </w:r>
          </w:p>
        </w:tc>
        <w:tc>
          <w:tcPr>
            <w:tcW w:type="dxa" w:w="16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Type</w:t>
            </w:r>
          </w:p>
        </w:tc>
        <w:tc>
          <w:tcPr>
            <w:tcW w:type="dxa" w:w="1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Null?</w:t>
            </w:r>
          </w:p>
        </w:tc>
        <w:tc>
          <w:tcPr>
            <w:tcW w:type="dxa" w:w="4226"/>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Description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snapshot_id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UUID PK</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operation_id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UUID FK</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operations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type_snapshot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ENUM</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BASELINE_INITIALE | AVENANT | MENSUEL | MANUEL</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date_snapshot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TIMESTAMPTZ</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donnees_taches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JSONB</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Snapshot complet de toutes les tâches à cet instant (dates, avancement, budget)</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cree_par_id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UUID FK</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NON</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 users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commentaire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TEXT</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OUI</w:t>
            </w:r>
          </w:p>
        </w:tc>
        <w:tc>
          <w:tcPr>
            <w:tcW w:type="dxa" w:w="42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Motif du snapshot</w:t>
            </w:r>
          </w:p>
        </w:tc>
      </w:tr>
    </w:tbl>
    <w:p>
      <w:pPr>
        <w:pStyle w:val="Heading2"/>
        <w:spacing w:before="300" w:after="150"/>
      </w:pPr>
      <w:r>
        <w:rPr>
          <w:rFonts w:ascii="Arial" w:cs="Arial" w:eastAsia="Arial" w:hAnsi="Arial"/>
          <w:b/>
          <w:bCs/>
          <w:color w:val="2E75B6"/>
          <w:sz w:val="26"/>
          <w:szCs w:val="26"/>
        </w:rPr>
        <w:t xml:space="preserve">B.5 Déversement du contrat sur le planning</w:t>
      </w:r>
    </w:p>
    <w:p>
      <w:pPr>
        <w:spacing w:after="100"/>
        <w:jc w:val="both"/>
      </w:pPr>
      <w:r>
        <w:rPr>
          <w:rFonts w:ascii="Arial" w:cs="Arial" w:eastAsia="Arial" w:hAnsi="Arial"/>
          <w:b w:val="false"/>
          <w:bCs w:val="false"/>
          <w:i w:val="false"/>
          <w:iCs w:val="false"/>
          <w:color w:val="333333"/>
          <w:sz w:val="20"/>
          <w:szCs w:val="20"/>
        </w:rPr>
        <w:t xml:space="preserve">Quand l'opération passe à l'état VALIDE, le système exécute automatiquement le déversement du contrat sur le planning :</w:t>
      </w:r>
    </w:p>
    <w:p>
      <w:pPr>
        <w:spacing w:after="100"/>
        <w:jc w:val="both"/>
      </w:pPr>
      <w:r>
        <w:rPr>
          <w:rFonts w:ascii="Arial" w:cs="Arial" w:eastAsia="Arial" w:hAnsi="Arial"/>
          <w:b/>
          <w:bCs/>
          <w:color w:val="333333"/>
          <w:sz w:val="20"/>
          <w:szCs w:val="20"/>
        </w:rPr>
        <w:t xml:space="preserve">Étape 1 — </w:t>
      </w:r>
      <w:r>
        <w:rPr>
          <w:rFonts w:ascii="Arial" w:cs="Arial" w:eastAsia="Arial" w:hAnsi="Arial"/>
          <w:color w:val="333333"/>
          <w:sz w:val="20"/>
          <w:szCs w:val="20"/>
        </w:rPr>
        <w:t xml:space="preserve">Chaque jalon de l'opération devient une tâche de type JALON_PLANNING (ou LIVRABLE, PAIEMENT selon type_jalon). </w:t>
      </w:r>
    </w:p>
    <w:p>
      <w:pPr>
        <w:spacing w:after="100"/>
        <w:jc w:val="both"/>
      </w:pPr>
      <w:r>
        <w:rPr>
          <w:rFonts w:ascii="Arial" w:cs="Arial" w:eastAsia="Arial" w:hAnsi="Arial"/>
          <w:b/>
          <w:bCs/>
          <w:color w:val="333333"/>
          <w:sz w:val="20"/>
          <w:szCs w:val="20"/>
        </w:rPr>
        <w:t xml:space="preserve">Étape 2 — </w:t>
      </w:r>
      <w:r>
        <w:rPr>
          <w:rFonts w:ascii="Arial" w:cs="Arial" w:eastAsia="Arial" w:hAnsi="Arial"/>
          <w:color w:val="333333"/>
          <w:sz w:val="20"/>
          <w:szCs w:val="20"/>
        </w:rPr>
        <w:t xml:space="preserve">Le système propose un WBS par défaut selon la catégorie (template_planning). L'utilisateur peut modifier, ajouter des sous-tâches, définir des dépendances. </w:t>
      </w:r>
    </w:p>
    <w:p>
      <w:pPr>
        <w:spacing w:after="100"/>
        <w:jc w:val="both"/>
      </w:pPr>
      <w:r>
        <w:rPr>
          <w:rFonts w:ascii="Arial" w:cs="Arial" w:eastAsia="Arial" w:hAnsi="Arial"/>
          <w:b/>
          <w:bCs/>
          <w:color w:val="333333"/>
          <w:sz w:val="20"/>
          <w:szCs w:val="20"/>
        </w:rPr>
        <w:t xml:space="preserve">Étape 3 — </w:t>
      </w:r>
      <w:r>
        <w:rPr>
          <w:rFonts w:ascii="Arial" w:cs="Arial" w:eastAsia="Arial" w:hAnsi="Arial"/>
          <w:color w:val="333333"/>
          <w:sz w:val="20"/>
          <w:szCs w:val="20"/>
        </w:rPr>
        <w:t xml:space="preserve">Les dépendances par défaut sont de type FD (Fin-Début) séquentiel : tâche N doit finir avant que N+1 commence. L'utilisateur peut modifier. </w:t>
      </w:r>
    </w:p>
    <w:p>
      <w:pPr>
        <w:spacing w:after="100"/>
        <w:jc w:val="both"/>
      </w:pPr>
      <w:r>
        <w:rPr>
          <w:rFonts w:ascii="Arial" w:cs="Arial" w:eastAsia="Arial" w:hAnsi="Arial"/>
          <w:b/>
          <w:bCs/>
          <w:color w:val="333333"/>
          <w:sz w:val="20"/>
          <w:szCs w:val="20"/>
        </w:rPr>
        <w:t xml:space="preserve">Étape 4 — </w:t>
      </w:r>
      <w:r>
        <w:rPr>
          <w:rFonts w:ascii="Arial" w:cs="Arial" w:eastAsia="Arial" w:hAnsi="Arial"/>
          <w:color w:val="333333"/>
          <w:sz w:val="20"/>
          <w:szCs w:val="20"/>
        </w:rPr>
        <w:t xml:space="preserve">Le système calcule automatiquement le chemin critique (CPM — Critical Path Method) et marque les tâches critiques (est_critique = TRUE). </w:t>
      </w:r>
    </w:p>
    <w:p>
      <w:pPr>
        <w:spacing w:after="100"/>
        <w:jc w:val="both"/>
      </w:pPr>
      <w:r>
        <w:rPr>
          <w:rFonts w:ascii="Arial" w:cs="Arial" w:eastAsia="Arial" w:hAnsi="Arial"/>
          <w:b/>
          <w:bCs/>
          <w:color w:val="333333"/>
          <w:sz w:val="20"/>
          <w:szCs w:val="20"/>
        </w:rPr>
        <w:t xml:space="preserve">Étape 5 — </w:t>
      </w:r>
      <w:r>
        <w:rPr>
          <w:rFonts w:ascii="Arial" w:cs="Arial" w:eastAsia="Arial" w:hAnsi="Arial"/>
          <w:color w:val="333333"/>
          <w:sz w:val="20"/>
          <w:szCs w:val="20"/>
        </w:rPr>
        <w:t xml:space="preserve">Un snapshot BASELINE_INITIALE est créé automatiquement. C'est la référence contractuelle immuable. </w:t>
      </w:r>
    </w:p>
    <w:p>
      <w:pPr>
        <w:spacing w:after="100"/>
        <w:jc w:val="both"/>
      </w:pPr>
      <w:r>
        <w:rPr>
          <w:rFonts w:ascii="Arial" w:cs="Arial" w:eastAsia="Arial" w:hAnsi="Arial"/>
          <w:b/>
          <w:bCs/>
          <w:color w:val="333333"/>
          <w:sz w:val="20"/>
          <w:szCs w:val="20"/>
        </w:rPr>
        <w:t xml:space="preserve">Étape 6 — </w:t>
      </w:r>
      <w:r>
        <w:rPr>
          <w:rFonts w:ascii="Arial" w:cs="Arial" w:eastAsia="Arial" w:hAnsi="Arial"/>
          <w:color w:val="333333"/>
          <w:sz w:val="20"/>
          <w:szCs w:val="20"/>
        </w:rPr>
        <w:t xml:space="preserve">Le budget mensuel (V2) est recalculé en se basant sur le planning : chaque mois est budgété en fonction des tâches prévues ce mois, pondérées par leur budget_tache.</w:t>
      </w:r>
    </w:p>
    <w:p>
      <w:pPr>
        <w:pStyle w:val="Heading2"/>
        <w:spacing w:before="300" w:after="150"/>
      </w:pPr>
      <w:r>
        <w:rPr>
          <w:rFonts w:ascii="Arial" w:cs="Arial" w:eastAsia="Arial" w:hAnsi="Arial"/>
          <w:b/>
          <w:bCs/>
          <w:color w:val="2E75B6"/>
          <w:sz w:val="26"/>
          <w:szCs w:val="26"/>
        </w:rPr>
        <w:t xml:space="preserve">B.6 Suivi du planning réel</w:t>
      </w:r>
    </w:p>
    <w:p>
      <w:pPr>
        <w:spacing w:after="100"/>
        <w:jc w:val="both"/>
      </w:pPr>
      <w:r>
        <w:rPr>
          <w:rFonts w:ascii="Arial" w:cs="Arial" w:eastAsia="Arial" w:hAnsi="Arial"/>
          <w:b w:val="false"/>
          <w:bCs w:val="false"/>
          <w:i w:val="false"/>
          <w:iCs w:val="false"/>
          <w:color w:val="333333"/>
          <w:sz w:val="20"/>
          <w:szCs w:val="20"/>
        </w:rPr>
        <w:t xml:space="preserve">Le planning réel est mis à jour par 5 mécanismes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Mécanisme</w:t>
            </w:r>
          </w:p>
        </w:tc>
        <w:tc>
          <w:tcPr>
            <w:tcW w:type="dxa" w:w="6526"/>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Fonctionnement</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Saisie manuelle</w:t>
            </w:r>
          </w:p>
        </w:tc>
        <w:tc>
          <w:tcPr>
            <w:tcW w:type="dxa" w:w="6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L'utilisateur renseigne date_debut_reelle, date_fin_reelle, avancement_pct directement sur la tâche. Chaque saisie est tracée dans l'audit log.</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Preuve photo géolocalisée</w:t>
            </w:r>
          </w:p>
        </w:tc>
        <w:tc>
          <w:tcPr>
            <w:tcW w:type="dxa" w:w="6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L'upload d'une preuve photo sur un jalon met à jour automatiquement l'avancement de la tâche associée (avancement_methode = PREUVE_PHOTO). L'IA analyse la photo pour estimer le % d'avancement (ex : fondations visibles = 30%, structure complète = 70%).</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Situation de travaux</w:t>
            </w:r>
          </w:p>
        </w:tc>
        <w:tc>
          <w:tcPr>
            <w:tcW w:type="dxa" w:w="6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L'upload d'une situation de travaux (document normé BTP algérien) est parsée par OCR. Les quantités exécutées sont extraites et le % d'avancement est calculé : avancement = quantité_executee / quantité_totale × 100.</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IA détection avancement</w:t>
            </w:r>
          </w:p>
        </w:tc>
        <w:tc>
          <w:tcPr>
            <w:tcW w:type="dxa" w:w="6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Pour les opérations construction, l'IA compare les photos terrain successives pour détecter l'avancement physique (computer vision). Confiance minimum 70% sinon fallback sur saisie manuelle.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Capteur IoT (ALLO MAISON)</w:t>
            </w:r>
          </w:p>
        </w:tc>
        <w:tc>
          <w:tcPr>
            <w:tcW w:type="dxa" w:w="6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Pour les opérations industrielles, les capteurs IoT (SCADA/MES) remontent l'état des machines et le % de mise en service. Avancement auto via API IoT.</w:t>
            </w:r>
          </w:p>
        </w:tc>
      </w:tr>
    </w:tbl>
    <w:p>
      <w:pPr>
        <w:pStyle w:val="Heading2"/>
        <w:spacing w:before="300" w:after="150"/>
      </w:pPr>
      <w:r>
        <w:rPr>
          <w:rFonts w:ascii="Arial" w:cs="Arial" w:eastAsia="Arial" w:hAnsi="Arial"/>
          <w:b/>
          <w:bCs/>
          <w:color w:val="2E75B6"/>
          <w:sz w:val="26"/>
          <w:szCs w:val="26"/>
        </w:rPr>
        <w:t xml:space="preserve">B.7 Calcul du chemin critique (CPM)</w:t>
      </w:r>
    </w:p>
    <w:p>
      <w:pPr>
        <w:spacing w:after="100"/>
        <w:jc w:val="both"/>
      </w:pPr>
      <w:r>
        <w:rPr>
          <w:rFonts w:ascii="Arial" w:cs="Arial" w:eastAsia="Arial" w:hAnsi="Arial"/>
          <w:b w:val="false"/>
          <w:bCs w:val="false"/>
          <w:i w:val="false"/>
          <w:iCs w:val="false"/>
          <w:color w:val="333333"/>
          <w:sz w:val="20"/>
          <w:szCs w:val="20"/>
        </w:rPr>
        <w:t xml:space="preserve">Le système recalcule le chemin critique à chaque modification du planning (ajout/suppression tâche, changement date, mise à jour avancement). Algorithme : Forward Pass (Early Start/Early Finish) puis Backward Pass (Late Start/Late Finish). La marge totale = LS - ES. Les tâches avec marge = 0 sont sur le chemin critique. Un retard sur une tâche critique impacte DIRECTEMENT la date de fin de l'opération → alerte CRITIQUE immédiate.</w:t>
      </w:r>
    </w:p>
    <w:p>
      <w:pPr>
        <w:pStyle w:val="Heading2"/>
        <w:spacing w:before="300" w:after="150"/>
      </w:pPr>
      <w:r>
        <w:rPr>
          <w:rFonts w:ascii="Arial" w:cs="Arial" w:eastAsia="Arial" w:hAnsi="Arial"/>
          <w:b/>
          <w:bCs/>
          <w:color w:val="2E75B6"/>
          <w:sz w:val="26"/>
          <w:szCs w:val="26"/>
        </w:rPr>
        <w:t xml:space="preserve">B.8 Courbe en S (avancement physique vs financier)</w:t>
      </w:r>
    </w:p>
    <w:p>
      <w:pPr>
        <w:spacing w:after="100"/>
        <w:jc w:val="both"/>
      </w:pPr>
      <w:r>
        <w:rPr>
          <w:rFonts w:ascii="Arial" w:cs="Arial" w:eastAsia="Arial" w:hAnsi="Arial"/>
          <w:b w:val="false"/>
          <w:bCs w:val="false"/>
          <w:i w:val="false"/>
          <w:iCs w:val="false"/>
          <w:color w:val="333333"/>
          <w:sz w:val="20"/>
          <w:szCs w:val="20"/>
        </w:rPr>
        <w:t xml:space="preserve">Le système génère automatiquement la courbe en S comparant l'avancement physique (% des tâches terminées, pondéré par budget) et l'avancement financier (% du budget consommé). L'écart entre les deux courbes indique :</w:t>
      </w:r>
    </w:p>
    <w:p>
      <w:pPr>
        <w:spacing w:after="100"/>
        <w:jc w:val="both"/>
      </w:pPr>
      <w:r>
        <w:rPr>
          <w:rFonts w:ascii="Arial" w:cs="Arial" w:eastAsia="Arial" w:hAnsi="Arial"/>
          <w:b/>
          <w:bCs/>
          <w:color w:val="27AE60"/>
          <w:sz w:val="20"/>
          <w:szCs w:val="20"/>
        </w:rPr>
        <w:t xml:space="preserve">Avancement physique &gt; financier : </w:t>
      </w:r>
      <w:r>
        <w:rPr>
          <w:rFonts w:ascii="Arial" w:cs="Arial" w:eastAsia="Arial" w:hAnsi="Arial"/>
          <w:color w:val="333333"/>
          <w:sz w:val="20"/>
          <w:szCs w:val="20"/>
        </w:rPr>
        <w:t xml:space="preserve">Le prestataire avance plus vite que les paiements — situation saine. </w:t>
      </w:r>
    </w:p>
    <w:p>
      <w:pPr>
        <w:spacing w:after="100"/>
        <w:jc w:val="both"/>
      </w:pPr>
      <w:r>
        <w:rPr>
          <w:rFonts w:ascii="Arial" w:cs="Arial" w:eastAsia="Arial" w:hAnsi="Arial"/>
          <w:b/>
          <w:bCs/>
          <w:color w:val="C0392B"/>
          <w:sz w:val="20"/>
          <w:szCs w:val="20"/>
        </w:rPr>
        <w:t xml:space="preserve">Avancement physique &lt; financier : </w:t>
      </w:r>
      <w:r>
        <w:rPr>
          <w:rFonts w:ascii="Arial" w:cs="Arial" w:eastAsia="Arial" w:hAnsi="Arial"/>
          <w:color w:val="333333"/>
          <w:sz w:val="20"/>
          <w:szCs w:val="20"/>
        </w:rPr>
        <w:t xml:space="preserve">On paie plus vite que l'avancement réel — risque. Le système génère une alerte HAUTE.</w:t>
      </w:r>
    </w:p>
    <w:p>
      <w:pPr>
        <w:spacing w:after="100"/>
        <w:jc w:val="both"/>
      </w:pPr>
      <w:r>
        <w:rPr>
          <w:rFonts w:ascii="Arial" w:cs="Arial" w:eastAsia="Arial" w:hAnsi="Arial"/>
          <w:b/>
          <w:bCs/>
          <w:color w:val="2E75B6"/>
          <w:sz w:val="20"/>
          <w:szCs w:val="20"/>
        </w:rPr>
        <w:t xml:space="preserve">Avancement physique ≈ financier : </w:t>
      </w:r>
      <w:r>
        <w:rPr>
          <w:rFonts w:ascii="Arial" w:cs="Arial" w:eastAsia="Arial" w:hAnsi="Arial"/>
          <w:color w:val="333333"/>
          <w:sz w:val="20"/>
          <w:szCs w:val="20"/>
        </w:rPr>
        <w:t xml:space="preserve">Équilibre optimal.</w:t>
      </w:r>
    </w:p>
    <w:p>
      <w:pPr>
        <w:pStyle w:val="Heading2"/>
        <w:spacing w:before="300" w:after="150"/>
      </w:pPr>
      <w:r>
        <w:rPr>
          <w:rFonts w:ascii="Arial" w:cs="Arial" w:eastAsia="Arial" w:hAnsi="Arial"/>
          <w:b/>
          <w:bCs/>
          <w:color w:val="2E75B6"/>
          <w:sz w:val="26"/>
          <w:szCs w:val="26"/>
        </w:rPr>
        <w:t xml:space="preserve">B.9 Templates de planning par catégorie</w:t>
      </w:r>
    </w:p>
    <w:p>
      <w:pPr>
        <w:spacing w:after="100"/>
        <w:jc w:val="both"/>
      </w:pPr>
      <w:r>
        <w:rPr>
          <w:rFonts w:ascii="Arial" w:cs="Arial" w:eastAsia="Arial" w:hAnsi="Arial"/>
          <w:b w:val="false"/>
          <w:bCs w:val="false"/>
          <w:i w:val="false"/>
          <w:iCs w:val="false"/>
          <w:color w:val="333333"/>
          <w:sz w:val="20"/>
          <w:szCs w:val="20"/>
        </w:rPr>
        <w:t xml:space="preserve">Le système fournit des templates WBS pré-configurés par catégorie d'opération. L'utilisateur peut les personnaliser.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Catégorie</w:t>
            </w:r>
          </w:p>
        </w:tc>
        <w:tc>
          <w:tcPr>
            <w:tcW w:type="dxa" w:w="6526"/>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WBS type (tâches principales)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BET_ARCHITECTURE</w:t>
            </w:r>
          </w:p>
        </w:tc>
        <w:tc>
          <w:tcPr>
            <w:tcW w:type="dxa" w:w="6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1. Relevé terrain → 2. Études préliminaires (APS) → 3. Avant-projet détaillé (APD) → 4. Dossier permis de construire → 5. Plans d'exécution (EXE) → 6. Suivi chantier → 7. Réception</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GROS_OEUVRE</w:t>
            </w:r>
          </w:p>
        </w:tc>
        <w:tc>
          <w:tcPr>
            <w:tcW w:type="dxa" w:w="6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1. Installation chantier → 2. Terrassement → 3. Fondations → 4. Infrastructure → 5. Superstructure (par niveau) → 6. Étanchéité terrasse → 7. Réception gros-œuvre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MACHINE_OEM</w:t>
            </w:r>
          </w:p>
        </w:tc>
        <w:tc>
          <w:tcPr>
            <w:tcW w:type="dxa" w:w="6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1. Commande confirmée → 2. Fabrication usine → 3. Tests usine (FAT) → 4. Expédition → 5. Dédouanement → 6. Livraison site → 7. Installation → 8. Mise en service (SAT) → 9. Formation → 10. Réception définitive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SECOND_OEUVRE</w:t>
            </w:r>
          </w:p>
        </w:tc>
        <w:tc>
          <w:tcPr>
            <w:tcW w:type="dxa" w:w="6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1. Préparation lot → 2. Approvisionnement matériaux → 3. Exécution (par zone/étage) → 4. Finitions → 5. Nettoyage → 6. Réception lot</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RH_CDI</w:t>
            </w:r>
          </w:p>
        </w:tc>
        <w:tc>
          <w:tcPr>
            <w:tcW w:type="dxa" w:w="65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1. Publication offre → 2. Réception candidatures → 3. Entretiens → 4. Sélection → 5. Préparation contrat → 6. Signature → 7. Intégration → 8. Période essai</w:t>
            </w:r>
          </w:p>
        </w:tc>
      </w:tr>
    </w:tbl>
    <w:p>
      <w:r>
        <w:br w:type="page"/>
      </w:r>
    </w:p>
    <w:p>
      <w:pPr>
        <w:pStyle w:val="Heading2"/>
        <w:spacing w:before="300" w:after="150"/>
      </w:pPr>
      <w:r>
        <w:rPr>
          <w:rFonts w:ascii="Arial" w:cs="Arial" w:eastAsia="Arial" w:hAnsi="Arial"/>
          <w:b/>
          <w:bCs/>
          <w:color w:val="2E75B6"/>
          <w:sz w:val="26"/>
          <w:szCs w:val="26"/>
        </w:rPr>
        <w:t xml:space="preserve">B.10 API Endpoints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000"/>
        <w:gridCol w:w="2626"/>
      </w:tblGrid>
      <w:tr>
        <w:trPr>
          <w:tblHeader/>
        </w:trPr>
        <w:tc>
          <w:tcPr>
            <w:tcW w:type="dxa" w:w="1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Méth.</w:t>
            </w:r>
          </w:p>
        </w:tc>
        <w:tc>
          <w:tcPr>
            <w:tcW w:type="dxa" w:w="42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Endpoint</w:t>
            </w:r>
          </w:p>
        </w:tc>
        <w:tc>
          <w:tcPr>
            <w:tcW w:type="dxa" w:w="10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Auth</w:t>
            </w:r>
          </w:p>
        </w:tc>
        <w:tc>
          <w:tcPr>
            <w:tcW w:type="dxa" w:w="2626"/>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Description</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GET</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/api/v1/operations/{id}/planning</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RBAC</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Planning complet : tâches + dépendances + chemin critique + baseline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POST</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/api/v1/operations/{id}/planning/taches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N+1</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Ajouter tâche. Body : tous champs §B.2.</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PATCH</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/api/v1/planning/taches/{tache_id}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Resp.</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Modifier tâche (dates, avancement, notes). Audit log.</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POST</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/api/v1/operations/{id}/planning/dependances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N+1</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Ajouter dépendance entre tâches.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GET</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/api/v1/operations/{id}/planning/chemin-critique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RBAC</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Calcul CPM et retour des tâches critiques.</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GET</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/api/v1/operations/{id}/planning/courbe-s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RBAC</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Courbe en S : avancement physique vs financier.</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POST</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/api/v1/operations/{id}/planning/snapshots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N+1</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Créer snapshot manuel. Body : commentaire.</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GET</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/api/v1/operations/{id}/planning/snapshots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RBAC</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Liste des snapshots + comparaison baseline vs actuel.</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GET</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/api/v1/operations/{id}/planning/gantt</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RBAC</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Données formatées pour rendu Gantt (frontend). Inclut baseline overlay.</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GET</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/api/v1/operations/{id}/planning/ecarts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RBAC</w:t>
            </w:r>
          </w:p>
        </w:tc>
        <w:tc>
          <w:tcPr>
            <w:tcW w:type="dxa" w:w="26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Rapport écarts : tâche par tâche, prévu vs réel, retard, impact chemin critique.</w:t>
            </w:r>
          </w:p>
        </w:tc>
      </w:tr>
    </w:tbl>
    <w:p>
      <w:pPr>
        <w:pStyle w:val="Heading2"/>
        <w:spacing w:before="300" w:after="150"/>
      </w:pPr>
      <w:r>
        <w:rPr>
          <w:rFonts w:ascii="Arial" w:cs="Arial" w:eastAsia="Arial" w:hAnsi="Arial"/>
          <w:b/>
          <w:bCs/>
          <w:color w:val="2E75B6"/>
          <w:sz w:val="26"/>
          <w:szCs w:val="26"/>
        </w:rPr>
        <w:t xml:space="preserve">B.11 Écran UI — Gantt interactif</w:t>
      </w:r>
    </w:p>
    <w:p>
      <w:pPr>
        <w:spacing w:after="100"/>
        <w:jc w:val="both"/>
      </w:pPr>
      <w:r>
        <w:rPr>
          <w:rFonts w:ascii="Arial" w:cs="Arial" w:eastAsia="Arial" w:hAnsi="Arial"/>
          <w:b w:val="false"/>
          <w:bCs w:val="false"/>
          <w:i w:val="false"/>
          <w:iCs w:val="false"/>
          <w:color w:val="333333"/>
          <w:sz w:val="20"/>
          <w:szCs w:val="20"/>
        </w:rPr>
        <w:t xml:space="preserve">Le composant Gantt est le cœur visuel du module planning. Il affiche : (1) Arbre WBS à gauche (pliable/dépliable), (2) Barres Gantt à droite (prévu en bleu, réel en vert/rouge selon retard, baseline en gris pointillé), (3) Dépendances en flèches, (4) Chemin critique en rouge, (5) Indicateurs d'avancement (% sur chaque barre), (6) Zoom : jour / semaine / mois / trimestre, (7) Drag &amp; drop pour modifier dates, (8) Clic droit : ajouter tâche, dépendance, sous-tâche, (9) Overlay comparaison baseline, (10) Export PDF / PNG / MS Project (.mpp).</w:t>
      </w:r>
    </w:p>
    <w:p>
      <w:r>
        <w:br w:type="page"/>
      </w:r>
    </w:p>
    <w:p>
      <w:pPr>
        <w:pStyle w:val="Heading1"/>
        <w:spacing w:before="400" w:after="200"/>
      </w:pPr>
      <w:r>
        <w:rPr>
          <w:rFonts w:ascii="Arial" w:cs="Arial" w:eastAsia="Arial" w:hAnsi="Arial"/>
          <w:b/>
          <w:bCs/>
          <w:color w:val="1B2A4A"/>
          <w:sz w:val="32"/>
          <w:szCs w:val="32"/>
        </w:rPr>
        <w:t xml:space="preserve">ADDENDUM C — RÈGLES MÉTIER CONSOLIDÉES V3 (25 RÈGLES)</w:t>
      </w:r>
    </w:p>
    <w:p>
      <w:pPr>
        <w:spacing w:after="100"/>
        <w:jc w:val="both"/>
      </w:pPr>
      <w:r>
        <w:rPr>
          <w:rFonts w:ascii="Arial" w:cs="Arial" w:eastAsia="Arial" w:hAnsi="Arial"/>
          <w:b w:val="false"/>
          <w:bCs w:val="false"/>
          <w:i w:val="false"/>
          <w:iCs w:val="false"/>
          <w:color w:val="333333"/>
          <w:sz w:val="20"/>
          <w:szCs w:val="20"/>
        </w:rPr>
        <w:t xml:space="preserve">Cette section consolide les 20 règles de la V2 + les 5 nouvelles règles V3.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Réf.</w:t>
            </w:r>
          </w:p>
        </w:tc>
        <w:tc>
          <w:tcPr>
            <w:tcW w:type="dxa" w:w="8126"/>
            <w:tcBorders>
              <w:top w:val="single" w:color="BBBBBB" w:sz="1"/>
              <w:left w:val="single" w:color="BBBBBB" w:sz="1"/>
              <w:bottom w:val="single" w:color="BBBBBB" w:sz="1"/>
              <w:right w:val="single" w:color="BBBBBB" w:sz="1"/>
            </w:tcBorders>
            <w:shd w:fill="1B2A4A" w:val="clear"/>
            <w:tcMar>
              <w:top w:type="dxa" w:w="60"/>
              <w:left w:type="dxa" w:w="100"/>
              <w:bottom w:type="dxa" w:w="60"/>
              <w:right w:type="dxa" w:w="100"/>
            </w:tcMar>
          </w:tcPr>
          <w:p>
            <w:pPr>
              <w:jc w:val="center"/>
            </w:pPr>
            <w:r>
              <w:rPr>
                <w:rFonts w:ascii="Arial" w:cs="Arial" w:eastAsia="Arial" w:hAnsi="Arial"/>
                <w:b/>
                <w:bCs/>
                <w:color w:val="FFFFFF"/>
                <w:sz w:val="17"/>
                <w:szCs w:val="17"/>
              </w:rPr>
              <w:t xml:space="preserve">Règle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RM-01</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Aucun paiement Trésorerie sans opération MOE rattachée en statut ≥ VALIDE.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RM-02</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Pack obligatoire 100% complet pour soumettre.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RM-03</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Aucun jalon validé sans preuve(s).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RM-04</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Impression bloquée si statut ≠ VALIDE. Filigrane sinon.</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RM-05</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Visa trésorier OBLIGATOIRE. Exception : bypass CEO (tracé + alerte CRITIQUE).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RM-06</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Budget mensuel auto-généré à la validation. Mois vides majorés 25% et redistribués.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RM-07</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Budget mensuel verrouillé au 1er du mois suivant.</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RM-08</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Pénalités calculées automatiquement à chaque retard jalon.</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RM-09</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Exonération pénalité = CEO uniquement + motif + audit log.</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RM-10</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Contrat expiré → blocage opérations liées.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RM-11</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Document tiers expiré → blocage nouvelles opérations avec ce tiers.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RM-12</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Audit log INSERT ONLY.</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RM-13</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Tiers externe ne voit jamais RF2, score risque, alertes internes, audit log.</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RM-14</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Clôture nécessite : tous jalons VALIDE + paiements OK + pénalités traitées + aucun litige.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RM-15</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Archivage auto 12 mois post-clôture.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RM-16</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Chaque transition = audit log + notification push + email.</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RM-17</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code_operation auto-généré, immutable, unique.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RM-18</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Avenant = type AVENANT lié au parent. Hérite portail. Ré-ventilation auto.</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RM-19</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Libération retenue garantie = approbation CEO + conditions vérifiées.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RM-20</w:t>
            </w:r>
          </w:p>
        </w:tc>
        <w:tc>
          <w:tcPr>
            <w:tcW w:type="dxa" w:w="8126"/>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Écart mensuel &gt; 15% → rapport auto CEO + trésorier.</w:t>
            </w:r>
          </w:p>
        </w:tc>
      </w:tr>
      <w:tr>
        <w:tc>
          <w:tcPr>
            <w:tcW w:type="dxa" w:w="9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RM-21</w:t>
            </w:r>
          </w:p>
        </w:tc>
        <w:tc>
          <w:tcPr>
            <w:tcW w:type="dxa" w:w="8126"/>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V3 : Le budget d'une opération est l'agrégation de 11 sources (S1-S11), pas le montant du contrat seul. Le budget_total_prevu de la vue budget_complet_operation est la référence.</w:t>
            </w:r>
          </w:p>
        </w:tc>
      </w:tr>
      <w:tr>
        <w:tc>
          <w:tcPr>
            <w:tcW w:type="dxa" w:w="9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RM-22</w:t>
            </w:r>
          </w:p>
        </w:tc>
        <w:tc>
          <w:tcPr>
            <w:tcW w:type="dxa" w:w="8126"/>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V3 : Chaque opération DOIT avoir un planning (min 1 tâche) avant de passer à EN_COURS. Le bouton Démarrer est grisé si count(taches) = 0.</w:t>
            </w:r>
          </w:p>
        </w:tc>
      </w:tr>
      <w:tr>
        <w:tc>
          <w:tcPr>
            <w:tcW w:type="dxa" w:w="9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RM-23</w:t>
            </w:r>
          </w:p>
        </w:tc>
        <w:tc>
          <w:tcPr>
            <w:tcW w:type="dxa" w:w="8126"/>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V3 : Un snapshot BASELINE_INITIALE est créé automatiquement au passage à VALIDE. Cette baseline est immutable et sert de référence contractuelle pour tous les écarts.</w:t>
            </w:r>
          </w:p>
        </w:tc>
      </w:tr>
      <w:tr>
        <w:tc>
          <w:tcPr>
            <w:tcW w:type="dxa" w:w="9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RM-24</w:t>
            </w:r>
          </w:p>
        </w:tc>
        <w:tc>
          <w:tcPr>
            <w:tcW w:type="dxa" w:w="8126"/>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V3 : Le chemin critique est recalculé à chaque modification du planning. Un retard sur tâche critique = alerte CRITIQUE immédiate au CEO + N+1.</w:t>
            </w:r>
          </w:p>
        </w:tc>
      </w:tr>
      <w:tr>
        <w:tc>
          <w:tcPr>
            <w:tcW w:type="dxa" w:w="900"/>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RM-25</w:t>
            </w:r>
          </w:p>
        </w:tc>
        <w:tc>
          <w:tcPr>
            <w:tcW w:type="dxa" w:w="8126"/>
            <w:tcBorders>
              <w:top w:val="single" w:color="BBBBBB" w:sz="1"/>
              <w:left w:val="single" w:color="BBBBBB" w:sz="1"/>
              <w:bottom w:val="single" w:color="BBBBBB" w:sz="1"/>
              <w:right w:val="single" w:color="BBBBBB" w:sz="1"/>
            </w:tcBorders>
            <w:shd w:fill="FFF3CD" w:val="clear"/>
            <w:tcMar>
              <w:top w:type="dxa" w:w="60"/>
              <w:left w:type="dxa" w:w="100"/>
              <w:bottom w:type="dxa" w:w="60"/>
              <w:right w:type="dxa" w:w="100"/>
            </w:tcMar>
          </w:tcPr>
          <w:p>
            <w:pPr>
              <w:jc w:val="left"/>
            </w:pPr>
            <w:r>
              <w:rPr>
                <w:rFonts w:ascii="Arial" w:cs="Arial" w:eastAsia="Arial" w:hAnsi="Arial"/>
                <w:b w:val="false"/>
                <w:bCs w:val="false"/>
                <w:color w:val="333333"/>
                <w:sz w:val="17"/>
                <w:szCs w:val="17"/>
              </w:rPr>
              <w:t xml:space="preserve">V3 : Si avancement financier &gt; avancement physique de plus de 20 points (on paie plus qu'on n'avance), le système génère une alerte CRITIQUE 'Risque de surpaiement' au CEO + trésorier + N+1.</w:t>
            </w:r>
          </w:p>
        </w:tc>
      </w:tr>
    </w:tbl>
    <w:p>
      <w:pPr>
        <w:spacing w:after="60"/>
      </w:pPr>
    </w:p>
    <w:p>
      <w:pPr>
        <w:spacing w:before="400"/>
        <w:jc w:val="center"/>
      </w:pPr>
      <w:r>
        <w:rPr>
          <w:rFonts w:ascii="Arial" w:cs="Arial" w:eastAsia="Arial" w:hAnsi="Arial"/>
          <w:i/>
          <w:iCs/>
          <w:color w:val="888888"/>
          <w:sz w:val="20"/>
          <w:szCs w:val="20"/>
        </w:rPr>
        <w:t xml:space="preserve">— Fin du CDC MOE V3 — Addenda A (Budget agrégé) + B (Planning Gantt) + C (Règles V3) —</w:t>
      </w:r>
    </w:p>
    <w:p>
      <w:pPr>
        <w:jc w:val="center"/>
      </w:pPr>
      <w:r>
        <w:rPr>
          <w:rFonts w:ascii="Arial" w:cs="Arial" w:eastAsia="Arial" w:hAnsi="Arial"/>
          <w:color w:val="AAAAAA"/>
          <w:sz w:val="18"/>
          <w:szCs w:val="18"/>
        </w:rPr>
        <w:t xml:space="preserve">Ce document complète et s'ajoute au CDC MOE V2 (Socle 40). Les sections V2 non modifiées restent en vigueur.</w:t>
      </w:r>
    </w:p>
    <w:p>
      <w:pPr>
        <w:jc w:val="center"/>
      </w:pPr>
      <w:r>
        <w:rPr>
          <w:rFonts w:ascii="Arial" w:cs="Arial" w:eastAsia="Arial" w:hAnsi="Arial"/>
          <w:color w:val="AAAAAA"/>
          <w:sz w:val="18"/>
          <w:szCs w:val="18"/>
        </w:rPr>
        <w:t xml:space="preserve">GFI System v7.0 — Socle 40 — Version 3.0 — Mars 2026</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2026-03-17T01:57:52.095Z</dcterms:created>
  <dcterms:modified xsi:type="dcterms:W3CDTF">2026-03-17T01:57:52.096Z</dcterms:modified>
</cp:coreProperties>
</file>

<file path=docProps/custom.xml><?xml version="1.0" encoding="utf-8"?>
<Properties xmlns="http://schemas.openxmlformats.org/officeDocument/2006/custom-properties" xmlns:vt="http://schemas.openxmlformats.org/officeDocument/2006/docPropsVTypes"/>
</file>