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 w:before="0" w:line="276"/>
        <w:jc w:val="left"/>
      </w:pPr>
      <w:r>
        <w:rPr>
          <w:rFonts w:ascii="Inter" w:cs="Inter" w:eastAsia="Inter" w:hAnsi="Inter"/>
          <w:b/>
          <w:bCs/>
          <w:color w:val="2E35FF"/>
          <w:sz w:val="20"/>
          <w:szCs w:val="20"/>
        </w:rPr>
        <w:t xml:space="preserve">BRIEF PRODUKTOWY</w:t>
      </w:r>
    </w:p>
    <w:p>
      <w:pPr>
        <w:spacing w:after="120" w:before="0" w:line="276"/>
        <w:jc w:val="left"/>
      </w:pPr>
      <w:r>
        <w:rPr>
          <w:rFonts w:ascii="Inter" w:cs="Inter" w:eastAsia="Inter" w:hAnsi="Inter"/>
          <w:b/>
          <w:bCs/>
          <w:color w:val="1A1A2E"/>
          <w:sz w:val="44"/>
          <w:szCs w:val="44"/>
        </w:rPr>
        <w:t xml:space="preserve">Co-Pilot AI: Asystent Decyzji Klinicznej</w:t>
      </w:r>
    </w:p>
    <w:p>
      <w:pPr>
        <w:spacing w:after="200" w:before="0" w:line="276"/>
        <w:jc w:val="left"/>
      </w:pPr>
      <w:r>
        <w:rPr>
          <w:rFonts w:ascii="Inter" w:cs="Inter" w:eastAsia="Inter" w:hAnsi="Inter"/>
          <w:color w:val="6B7280"/>
          <w:sz w:val="28"/>
          <w:szCs w:val="28"/>
        </w:rPr>
        <w:t xml:space="preserve">Specyfikacja do makiety klikalnej</w:t>
      </w:r>
    </w:p>
    <w:p>
      <w:pPr>
        <w:pBdr>
          <w:top w:val="single" w:color="2E35FF" w:sz="6" w:space="1"/>
        </w:pBdr>
        <w:spacing w:after="300"/>
      </w:pPr>
    </w:p>
    <w:p>
      <w:pPr>
        <w:spacing w:after="80" w:before="0" w:line="276"/>
        <w:jc w:val="left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Remedium.md | Marzec 2026</w:t>
      </w:r>
    </w:p>
    <w:p>
      <w:pPr>
        <w:spacing w:after="80" w:before="0" w:line="276"/>
        <w:jc w:val="left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Odbiorca: Zespół Product + Design</w:t>
      </w:r>
    </w:p>
    <w:p>
      <w:pPr>
        <w:spacing w:after="80" w:before="0" w:line="276"/>
        <w:jc w:val="left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Autor: Sebastian Sencyk, VP Growth &amp; Product</w:t>
      </w:r>
    </w:p>
    <w:p>
      <w:pPr>
        <w:spacing w:after="300" w:before="0" w:line="276"/>
        <w:jc w:val="left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Klasyfikacja: Wewnętrzny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35FF" w:val="clear"/>
          </w:tcPr>
          <w:p/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shd w:fill="F0F1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CEL DOKUMENTU</w:t>
            </w:r>
          </w:p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Ten brief opisuje zakres makiety klikalnej Co-Pilota AI — jednoekranowego asystenta decyzji klinicznej. Makieta ma pozwolić przetestować koncept z lekarzami i zebrać feedback przed rozpoczęciem developmentu. Nie jest to PRD ani specyfikacja techniczna.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1. Kontekst: jak lekarz podejmuje decyzję kliniczne dzisiaj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Dane z PostHog (marzec 2026) pokazują, że narzędzia kliniczne to codzienny workflow lekarzy na Remedium. Peak użycia: 9:00-15:00, w dni robocze — czyli w trakcie przyjmowania pacjentów, pod presją czasu.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UU/mies.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PV/user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TO ZNACZY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Wyszukiwarka leków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2,036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33.4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Obsesyjne użycie — kilka razy dziennie, przy każdym pacjencie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Kalkulatory medyczne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8,654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5.0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Największy zasięg. #1 = SCORE2 (ryzyko sercowo-naczyniowe)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ICD-10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4,709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4.8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Kodowanie diagnozy — mechaniczne, ale konieczne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Szybkie pytania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892</w:t>
            </w:r>
          </w:p>
        </w:tc>
        <w:tc>
          <w:tcPr>
            <w:tcW w:type="dxa" w:w="1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2.3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Lekarz szuka odpowiedzi — początek intencji Co-Pilota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Dzisiejsza ścieżka decyzyjna lekarza (5 kroków, 5 narzędzi)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Przykład: internista, pacjent 67 lat, cukrzyca typu 2, nadciśnienie, duszności. Dzisiejsza ścieżka w Remedium: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26"/>
        <w:gridCol w:w="1500"/>
        <w:gridCol w:w="1500"/>
      </w:tblGrid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ROBI LEKARZ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Ocena ryzyka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Otwiera kalkulator SCORE2, wpisuje parametry, dostaje wynik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Kalkulatory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~90 sek.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Wybór leku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Szuka dawki w wyszukiwarce leków, otwiera ChPL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Leki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~120 sek.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Sprawdzenie interakcji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Dodaje leki pacjenta, sprawdza konflikty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Interakcje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~60 sek.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Kod ICD-10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Szuka kodu diagnostycznego do systemu gabinetowego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ICD-10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~45 sek.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Synteza w głowie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Sam łączy wyniki: SCORE2 + lek + brak interakcji + ICD-10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— (sam lekarz)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~60 sek.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SUMA</w:t>
            </w:r>
          </w:p>
        </w:tc>
        <w:tc>
          <w:tcPr>
            <w:tcW w:type="dxa" w:w="3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5 narzędzi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~6 min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35FF" w:val="clear"/>
          </w:tcPr>
          <w:p/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shd w:fill="F0F1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PROBLEM DO ROZWIĄZANIA</w:t>
            </w:r>
          </w:p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Pięć osobnych narzędzi, pięć interfejsów, pięć wyszukiwań. Cała synteza jest na lekarzu. Przy 30 pacjentach dziennie, to ~3 godziny dziennie spędzone na szukaniu i łączeniu informacji. Co-Pilot zamienia 5 kroków w 1.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2. Wizja: Co-Pilot jako jednoekranowa odpowiedź kliniczna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Obietnica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Lekarz opisuje sytuację kliniczną jednym zdaniem. Co-Pilot odpowiada </w:t>
      </w: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jednym ekranem</w:t>
      </w:r>
      <w:r>
        <w:rPr>
          <w:rFonts w:ascii="Inter" w:cs="Inter" w:eastAsia="Inter" w:hAnsi="Inter"/>
          <w:color w:val="1A1A2E"/>
          <w:sz w:val="22"/>
          <w:szCs w:val="22"/>
        </w:rPr>
        <w:t xml:space="preserve"> — syntezą, która łączy to, co dziś wymaga 5 osobnych narzędzi.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Formuła wartości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DZISIAJ (5 narzędzi, ~6 min)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CO-PILOT (1 ekran, &lt;30 sek)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Lekarz sam szuka dawki, sam sprawdza interakcje, sam koduje ICD-10, sam łączy wszystko w głowie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Lekarz wpisuje kontekst. Co-Pilot zwraca syntezę: ryzyko + lek + dawka + brak interakcji + kod ICD-10 + źródła</w:t>
            </w:r>
          </w:p>
        </w:tc>
      </w:tr>
    </w:tbl>
    <w:p>
      <w:pPr>
        <w:spacing w:after="120"/>
      </w:pPr>
    </w:p>
    <w:p>
      <w:pPr>
        <w:spacing w:after="160" w:before="0" w:line="276"/>
        <w:jc w:val="left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Kluczowa metryka: Time-to-Answer</w:t>
      </w:r>
      <w:r>
        <w:rPr>
          <w:rFonts w:ascii="Inter" w:cs="Inter" w:eastAsia="Inter" w:hAnsi="Inter"/>
          <w:color w:val="1A1A2E"/>
          <w:sz w:val="22"/>
          <w:szCs w:val="22"/>
        </w:rPr>
        <w:t xml:space="preserve"> — czas od zadania pytania do uzyskania użytecznej odpowiedzi. Target: &lt; 5 sekund.</w:t>
      </w:r>
    </w:p>
    <w:p>
      <w:pPr>
        <w:spacing w:after="100"/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3. Scenariusze do makiety (3 ścieżki)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Makieta powinna prezentować trzy scenariusze użycia — każdy odpowiada innemu momentowi w pracy lekarza. Razem pokrywają &gt;80% intencji w narzędziach klinicznych.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Scenariusz A: Decyzja terapeutyczna (najczęstszy)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Odpowiada na: „Co przepisać temu pacjentowi?” — najczęstszy powod użycia wyszukiwarki leków (33.4 PV/user/mies.)</w:t>
      </w:r>
    </w:p>
    <w:p>
      <w:pPr>
        <w:pStyle w:val="Heading3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Input lekarza (prompt)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i/>
                <w:iCs/>
                <w:color w:val="1A1A2E"/>
                <w:sz w:val="22"/>
                <w:szCs w:val="22"/>
              </w:rPr>
              <w:t xml:space="preserve">"Pacjent 67 lat, cukrzyca typu 2, nadciśnienie, eGFR 45, duszności przy wysiłku. Przyjmuje metforminę 1000mg 2x i ramipril 5mg. Co rozważyć?"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Output Co-Pilota (ekran odpowiedzi)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Makieta powinna pokazać jeden spójny ekran z następującymi sekcjami: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SEKCJA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DANE Z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Ocena ryzyka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SCORE2: 14.2% (wysokie ryzyko). Wskaźnik wyliczony na podstawie podanych parametrów. Wizualna skala ryzyka (zielony→czerwony).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Kalkulator SCORE2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Sugestia leku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Rozważ: Empagliflozyna (Jardiance) 10mg 1x/dzień. Wytyczne ESC 2025: zalecana w HFrEF z eGFR &gt;20. Dawka: bez konieczności dostosowania przy eGFR 45.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Baza leków + wytyczne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10B981"/>
                <w:sz w:val="20"/>
                <w:szCs w:val="20"/>
              </w:rPr>
              <w:t xml:space="preserve">Interakcje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✅ Brak istotnych interakcji z: metformina 1000mg, ramipril 5mg. Uwaga: monitorować eGFR co 3 miesiące.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Moduł interakcji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Kod ICD-10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Sugerowane: I50.0 (niewydolność serca zastoinowa) lub I50.9 (nieokreślona). Przycisk: „Kopiuj kod”.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Baza ICD-10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6B7280"/>
                <w:sz w:val="20"/>
                <w:szCs w:val="20"/>
              </w:rPr>
              <w:t xml:space="preserve">Źródła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ESC Guidelines 2025, ChPL Jardiance, Kalkulator SCORE2. Klikalne linki do pełnych dokumentów.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Wewnętrzne źródła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Scenariusz B: Weryfikacja dawki (szybki lookup)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Odpowiada na: „Jaka dawka tego leku przy tych parametrach?” — najkrótszy flow, &lt;10 sek.</w:t>
      </w:r>
    </w:p>
    <w:p>
      <w:pPr>
        <w:pStyle w:val="Heading3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i/>
                <w:iCs/>
                <w:color w:val="1A1A2E"/>
                <w:sz w:val="22"/>
                <w:szCs w:val="22"/>
              </w:rPr>
              <w:t xml:space="preserve">"dawka amoksycyliny dziecko 23kg zapalenie ucha"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Dawka: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Amoksycylina 750mg co 12h (lub 500mg co 8h). Waga 23kg × 40-50mg/kg/dobę = 920-1150mg/dobę.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Postać: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Zawiesina 250mg/5ml — 7.5ml co 12h. Czas leczenia: 10 dni.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ICD-10: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H66.9 (zapalenie ucha środkowego, nieokreślone). Przycisk: „Kopiuj.”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Źródło: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Kalkulator dawki amoksycyliny Remedium + wytyczne AAP 2024.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Design note: ten scenariusz powinien działać również na mobile (app). Lekarz na dyżurze sprawdza dawkę na telefonie.</w:t>
      </w:r>
    </w:p>
    <w:p>
      <w:pPr>
        <w:spacing w:after="200"/>
      </w:pP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Scenariusz C: Diagnoza różnicowa (złożony)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22"/>
          <w:szCs w:val="22"/>
        </w:rPr>
        <w:t xml:space="preserve">Odpowiada na: „Co to może być?” — lekarz ma objawy, ale nie ma pewnej diagnozy.</w:t>
      </w:r>
    </w:p>
    <w:p>
      <w:pPr>
        <w:pStyle w:val="Heading3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i/>
                <w:iCs/>
                <w:color w:val="1A1A2E"/>
                <w:sz w:val="22"/>
                <w:szCs w:val="22"/>
              </w:rPr>
              <w:t xml:space="preserve">"Kobieta 45 lat, bóle stawów rąk (symetryczne, małe stawy), sztywność poranna &gt;1h, zmęczenie, OB 48. Co w kierunku?"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SEKCJA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Top 3 diagnozy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1. RZS (reumatoidalne zapalenie stawów) — wysoko prawdopodobne. 2. Toczeń (SLE) — do wykluczenia. 3. Wirusowe zapalenie stawów — mniej prawdopodobne. Każda z link do rozszerzenia.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Lista z ranking prawdopodobieństwa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Sugerowane badania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RF, anty-CCP, ANA, morfologia z rozmazem, CRP. Priorytet: anty-CCP (najwyższa swoistość dla RZS).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Checklisty z możliwością zaznaczania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Kryteria klas.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Kryteria ACR/EULAR 2010 dla RZS: pacjentka spełnia 4/7 (stawy, symetria, sztywność, OB). Wymagane: RF lub anty-CCP do potwierdzenia.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Wizualna checklist ze statusem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ICD-10</w:t>
            </w:r>
          </w:p>
        </w:tc>
        <w:tc>
          <w:tcPr>
            <w:tcW w:type="dxa" w:w="4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M06.9 (RZS, nieokreślone) — tymczasowy. Po potwierdzeniu: M05.x (RZS seropozytywne). Przycisk: „Kopiuj.”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Kopiowanie jednym kliknięciem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4. Architektura ekranu Co-Pilota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4.1 Punkt wejścia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Co-Pilot powinien być dostępny z dwóch miejsc: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Pulpit (strona główna):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Centralny input field — widoczny natychmiast po zalogowaniu. Placeholder: „O czym chcesz się dowiedzieć?” lub „Wpisz pytanie kliniczne...”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Globalny skrót: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Floating button / klawiatura (Ctrl+K lub ⌘+K) dostępny z każdego miejsca w apce. Wzorzec: Spotlight (macOS), Command palette (VS Code, Notion).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Design note: NIE budujemy osobnej zakładki „Co-Pilot.” To nie jest osobny produkt. To jest warstwa, która przenika całą platformę.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4.2 Pole inputu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Typ: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Textarea, wieloliniowy, z autoresize. Lekarz pisze naturalnym językiem, nie wypełnia formularza.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Szybkie prompty: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Pod polem inputu: 3-4 chipsy z najczęstszymi intencjami. Np.: „Dawka leku”, „Interakcje”, „Diagnoza różnicowa”, „ICD-10”. Kliknięcie otwiera pre-fill z szablonem.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Kontekst specjalizacji: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Jeśli lekarz ma ustawioną specjalizację (np. kardiolog), Co-Pilot domyślnie kontekstualizuje odpowiedzi. Badge pod polem: „Odpowiadam w kontekście: kardiologia” — klikalny, można zmienić.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Historia: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Ostatnie 5-10 pytań dostępne pod inputem (collapsed). Lekarz wraca do wczorajszego pytania jednym kliknięciem.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4.3 Ekran odpowiedzi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Odpowiedź to NIE chat. To strukturyzowana karta z sekcjami — jak wynik badania, nie jak rozmowa. Każda sekcja jest collapsible.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SEKCJA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INTERAKCJA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Synteza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2-3 zdania: odpowiedź na pytanie lekarza. Najważniejsze na górze.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Zawsze widoczna, nie collapsowalna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Dane / wyliczenia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Wynik kalkulatora, dawka, tabela porównawcza leków — dynamicznie, zależnie od intencji.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Klikalne wartości → rozwinięcie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10B981"/>
                <w:sz w:val="20"/>
                <w:szCs w:val="20"/>
              </w:rPr>
              <w:t xml:space="preserve">Interakcje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Zielone/czerwone statusy interakcji leków. Jeśli brak leków w pytaniu — sekcja ukryta.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Alert badge jeśli interakcja!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ICD-10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Sugerowane kody z nazwą. Jeden przycisk: „Kopiuj do schowka.”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1-click copy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6B7280"/>
                <w:sz w:val="20"/>
                <w:szCs w:val="20"/>
              </w:rPr>
              <w:t xml:space="preserve">Źródła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Klikalne linki do: ChPL, wytycze, kalkulatora, artykułu. Każde twierdzenie ma numer przypisu.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Rozwijalne. Domyślnie 1 linia.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color w:val="6B7280"/>
                <w:sz w:val="20"/>
                <w:szCs w:val="20"/>
              </w:rPr>
              <w:t xml:space="preserve">Follow-up</w:t>
            </w:r>
          </w:p>
        </w:tc>
        <w:tc>
          <w:tcPr>
            <w:tcW w:type="dxa" w:w="38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2-3 sugerowane kolejne pytania: „Co jeśli eGFR &lt; 30?”, „Zamienniki empagliflozyny?”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Chipsy — kliknięcie = nowe zapytanie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2E35FF" w:val="clear"/>
          </w:tcPr>
          <w:p/>
        </w:tc>
        <w:tc>
          <w:tcPr>
            <w:tcW w:type="dxa" w:w="8906"/>
            <w:tcBorders>
              <w:top w:val="none"/>
              <w:left w:val="none"/>
              <w:bottom w:val="none"/>
              <w:right w:val="none"/>
            </w:tcBorders>
            <w:shd w:fill="F0F1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2E35FF"/>
                <w:sz w:val="20"/>
                <w:szCs w:val="20"/>
              </w:rPr>
              <w:t xml:space="preserve">ZASADA NADRZĘDNA UI</w:t>
            </w:r>
          </w:p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Każdy element odpowiedzi musi przejść test: „Czy to oszczędza lekarzowi czas?” Jeśli sekcja wymaga więcej niż 3 sekundy na zrozumienie — jest za złożona. Lekarz nie ma czasu czytać — skanuje. Struktura: bold wniosek + szczegóły na żądanie (collapse).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5. Stany specjalne do zaprojektowania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3200"/>
      </w:tblGrid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STAN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KIEDY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 POKAZAĆ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Pusty ekran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Lekarz otwiera Co-Pilota pierwszy raz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3 przykładowe pytania + chipsy intencji + krótki opis „Co mogę dla Ciebie zrobić”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Ładowanie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Co-Pilot generuje odpowiedź (2-5 sek)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Skeleton ekranu odpowiedzi + komunikat „Analizuję Twoje pytanie...”. NIE spinner.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Brak pewności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AI nie ma wystarczających danych lub pytanie jest dwuznaczne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Odpowiedź z wyraźnym disclaimerem + pytanie doprecyzowujące: „Czy chodziło o...?”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Poza zakresem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Pytanie niekliniczne lub niebezpieczne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„Przepraszam, to pytanie wykracza poza mój zakres. Mogę pomóc z...” + sugestie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Interakcja krytyczna!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Wykryta poważna interakcja leków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Czerwony alert na górze odpowiedzi. Wyraźny, nie do przeoczenia. Z wyjaśnieniem i alternatywą.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Disclaimer</w:t>
            </w:r>
          </w:p>
        </w:tc>
        <w:tc>
          <w:tcPr>
            <w:tcW w:type="dxa" w:w="34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Zawsze, pod każdą odpowiedzią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Subtelny, ale obecny: „To narzędzie wspiera, nie zastępuje decyzji lekarza. Weryfikuj źródła.”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6. Wytyczne wizualne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#2E35FF (Remedium brand blue)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Font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Inter. Body: 14px. Synteza: 16px semi-bold. Labels: 12px.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Input: 12px. Cards: 8px. Buttons: 8px.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Borders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#E4E4E7 (1px). Sekcje odpowiedzi oddzielone border-bottom, nie card-in-card.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Interakcje — OK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#10B981 (green). Badge: „Brak interakcji” z ikoną check.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Interakcje — ALERT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#EF4444 (red). Alert bar na górze. Bold text + ikona warning.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React + Tailwind + shadcn/ui (spójne z resztą platformy)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Responsywność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Desktop: pełny layout. Mobile (app): jedna kolumna, sekcje stacked. Input field zawsze na górze.</w:t>
            </w:r>
          </w:p>
        </w:tc>
      </w:tr>
      <w:tr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Wzorce UX</w:t>
            </w:r>
          </w:p>
        </w:tc>
        <w:tc>
          <w:tcPr>
            <w:tcW w:type="dxa" w:w="6226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Spotlight / Command Palette (macOS, Notion, Raycast). NIE chatbot. NIE sidebar.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7. Poza zakresem makiety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Poniższe elementy są świadomie wyłączone z pierwszej makiety. Zostaną dodane w kolejnych iteracjach: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Backend / AI engine —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makieta jest klikalna z mockowanymi odpowiedziami, nie podłączona do modelu.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Personalizacja per specjalizacja —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v1 ma jeden kontekst. Personalizacja (kardiolog vs pediatra) w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Proaktywne sugestie —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„Zauważyłem że często sprawdzasz X, oto mikrokurs” — osobny brief.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Integracja z systemem gabinetowym —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eksport do mMedica/Drwidgets — wymaga osobnego researchu.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Widget/boczny panel —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Co-Pilot dostępny z poziomu strony leku lub kalkulatora — faza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Premium tier —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ograniczenia darmowej vs płatnej wersji — decyzja po walidacji konceptu.</w:t>
      </w:r>
    </w:p>
    <w:p>
      <w:pPr>
        <w:spacing w:after="200"/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8. Plan walidacji makiety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Cel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Sprawdzić, czy lekarze rozumieją koncept, czy odpowiedzi są użyteczne, i czy Co-Pilot rozwiązałby realny problem w ich codziennej pracy.</w:t>
      </w:r>
    </w:p>
    <w:p>
      <w:pPr>
        <w:pStyle w:val="Heading2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Metoda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5-8 wywiadów z lekarzami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(mix: internista, kardiolog, POZ, rezydent). Każdy 30 min.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Scenariusz testowy: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lekarz dostaje „pacjenta” (case study). Próbuje użyć makiety do rozwiązania.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Pytania kluczowe: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(a) Czy zaufalibyś tej odpowiedzi? (b) Czy użyliby tego w gabinecie? (c) Czego brakuje? (d) Co przeszkadza?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Metryka sukcesu: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≥5/8 lekarzy mówi „użyłbym tego codziennie” — zielone światło na development.</w:t>
      </w:r>
    </w:p>
    <w:p>
      <w:pPr>
        <w:spacing w:after="200"/>
      </w:pPr>
    </w:p>
    <w:p>
      <w:pPr>
        <w:pStyle w:val="Heading1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9. Załącznik: dane wspierające (PostHog, marzec 2026)</w:t>
      </w: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Poniższe dane zostały użyte do uzasadnienia priorytetów briefu.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2E3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Peak użycia narzędzi klinicznych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9:00-15:00, pon-pt (~3,000 lekarzy/godzinę)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Weekend vs tydzień (narzędzia kliniczne)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Pon-Pt: ~4,300/dzień | Sob-Nd: ~1,970/dzień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Web vs App — kalkulatory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Web: 7,648 (83%) | App: 1,576 (17%)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Web vs App — leki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Web: 1,357 (59%) | App: 924 (41%)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#1 kalkulator (5 dni)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SCORE2 (ryzyko sercowo-naczyniowe): 2,256 PV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#1 sub-page w lekach (5 dni)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Wyszukiwarka + Interakcje: 1,628 PV łącznie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Activation Rate nowych lekarzy (7d)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0F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55-70% (ronie — wyższa jakość kohort)</w:t>
            </w:r>
          </w:p>
        </w:tc>
      </w:tr>
      <w:tr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#1 feature nowych lekarzy</w:t>
            </w:r>
          </w:p>
        </w:tc>
        <w:tc>
          <w:tcPr>
            <w:tcW w:type="dxa" w:w="4513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Artykuły (top-of-funnel), potem kalkulatory (#1 narzędzie)</w:t>
            </w:r>
          </w:p>
        </w:tc>
      </w:tr>
    </w:tbl>
    <w:p>
      <w:pPr>
        <w:spacing w:after="200"/>
      </w:pPr>
    </w:p>
    <w:p>
      <w:pPr>
        <w:pBdr>
          <w:top w:val="single" w:color="2E35FF" w:sz="6" w:space="1"/>
        </w:pBdr>
        <w:spacing w:after="200"/>
      </w:pPr>
    </w:p>
    <w:p>
      <w:pPr>
        <w:spacing w:after="160" w:before="0" w:line="276"/>
        <w:jc w:val="left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Brief przygotowany na podstawie analizy danych PostHog (marzec 2026), dokumentu strategicznego „Remedium 2.0 — założenia strategiczne” oraz analizy workflow lekarzy. Design tokens zgodne z obecnym design systemem Remedium.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Strona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Inter" w:cs="Inter" w:eastAsia="Inter" w:hAnsi="Inter"/>
        <w:color w:val="6B7280"/>
        <w:sz w:val="16"/>
        <w:szCs w:val="16"/>
      </w:rPr>
      <w:t xml:space="preserve">Brief: Co-Pilot AI</w:t>
    </w:r>
    <w:r>
      <w:rPr>
        <w:rFonts w:ascii="Inter" w:cs="Inter" w:eastAsia="Inter" w:hAnsi="Inter"/>
        <w:color w:val="6B7280"/>
        <w:sz w:val="16"/>
        <w:szCs w:val="16"/>
      </w:rPr>
      <w:t xml:space="preserve">	Remedium.md | Marzec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2E35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2026-03-29T17:06:00.773Z</dcterms:created>
  <dcterms:modified xsi:type="dcterms:W3CDTF">2026-03-29T17:06:00.773Z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