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pacing w:val="300"/>
          <w:sz w:val="24"/>
          <w:szCs w:val="24"/>
        </w:rPr>
        <w:t xml:space="preserve">REMEDIUM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Analiza kampanii konferencyjnej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Diabetologia 2025 vs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5A5A6"/>
          <w:sz w:val="24"/>
          <w:szCs w:val="24"/>
        </w:rPr>
        <w:t xml:space="preserve">Weryfikacja tezy o optymalizacji kampanii</w:t>
      </w:r>
    </w:p>
    <w:p>
      <w:pPr>
        <w:pBdr>
          <w:bottom w:val="single" w:color="1A5276" w:sz="6" w:space="1"/>
        </w:pBdr>
        <w:jc w:val="center"/>
      </w:pP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Data analizy: 20 marca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Przygotowano dla: Zespoal Growth, Brandmed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Zrodla danych: PostHog, Meta Ads, BigMarker, Shortlinki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Podsumowanie wykonawcze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6"/>
                <w:szCs w:val="26"/>
              </w:rPr>
              <w:t xml:space="preserve">WERDYKT: Teza o lepszej optymalizacji kampanii jest mylna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Utrzymanie frekwencji przy nizszym budzecie nie wynika z lepszej optymalizacji kampanii reklamowej, lecz z organicznego wzrostu platformy Remedium (+5 100 lekarzy, +13%), ktory zmniejszyl zaleznosc od platnych kanalow akwizycji. 73% uczestnikow konferencji to power/active userzy, ktorzy zarejestrowaliby sie bez reklam.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40"/>
                <w:szCs w:val="40"/>
              </w:rPr>
              <w:t xml:space="preserve">-75%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Spadek klikow shortlink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40"/>
                <w:szCs w:val="40"/>
              </w:rPr>
              <w:t xml:space="preserve">-18%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Spadek rejestracji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+13%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Wzrost bazy lekarzy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73%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Power/Active userzy</w:t>
            </w:r>
          </w:p>
        </w:tc>
      </w:tr>
    </w:tbl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Teza postawiona przez zespol brzmi: wydalismy 1 000 PLN mniej (1 500 vs 2 500 PLN), a frekwencja pozostala niemal identyczna (563 vs 564 osoby). Wniosek: lepiej optymalizujemy kampanie. Ponizszy raport, oparty na czterech niezaleznych zrodlach danych, weryfikuje te teze.</w:t>
      </w:r>
    </w:p>
    <w:p>
      <w:pPr>
        <w:pStyle w:val="Heading1"/>
      </w:pPr>
      <w:r>
        <w:t xml:space="preserve">1. Shortlinki – zasieg kampanii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Shortlinki sa najdokladniejszym miernikiem rzeczywistych klikniec z poszczegolnych kanalow, poniewaz omijaja atrybucje Meta i rejestruja bezposrednie klikniecia.</w:t>
      </w:r>
    </w:p>
    <w:p>
      <w:pPr>
        <w:spacing w:after="100"/>
      </w:pPr>
    </w:p>
    <w:p>
      <w:pPr>
        <w:pStyle w:val="Heading2"/>
      </w:pPr>
      <w:r>
        <w:t xml:space="preserve">Porownianie rok do roku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Liczba shortlinkow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66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61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-8%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Laczne klikniecia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16 035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4 000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-75%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fr- (platne reklamy FB)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12 544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-100%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f- (posty organiczne FB)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886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nowy kanal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w- (wydarzenia FB)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2 344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2 076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-11%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n- (newsletter)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548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384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-30%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Kluczowy wniosek: W 2025 kampania fr- (platne reklamy FB) wygenerowala 12 544 klikniecia – 78% calego ruchu. W 2026 ten kanal w ogole nie istnieje. Spadek 75% klikow nie przelozyl sie na proporcjonalny spadek rejestracji (tylko -18%), co oznacza, ze inna sila kompensuje utracony ruch.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Meta Ads – dane kampanii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Kampania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Konwersje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v1 (statyczna)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369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741,63 PLN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2,01 PLN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v1-video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181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458,37 PLN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2,53 PLN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RAZEM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550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1 200 PLN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2,18 PLN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Meta raportuje 550 konwersji przy modelu atrybucji 7-dniowe klikniecie + 1-dniowy view-through. Model view-through zawyza wyniki – czesc tych konwersji to uzytkownicy, ktorzy i tak by sie zarejestrowali. Shortlinki (bezposrednie klikniecia) daja dokladniejszy obraz.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Rejestracje BigMarker – profil uczestnikow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Konferencja z 19 marca 2026 zanotowala 1 492 rejestracje. Wszystkie przeszly przez public_api (integracje z Remedium), z zerowym trackingiem UTM w BigMarkerze. Oznacza to, ze kazdy uczestnik musial przejsc przez platforme Remedium.</w:t>
      </w:r>
    </w:p>
    <w:p>
      <w:pPr>
        <w:spacing w:after="100"/>
      </w:pPr>
    </w:p>
    <w:p>
      <w:pPr>
        <w:pStyle w:val="Heading2"/>
      </w:pPr>
      <w:r>
        <w:t xml:space="preserve">Demografia (PostHog, N=1 491)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/ Status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Udzial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Lekarze – bez specjalizacji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~210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~38%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Lekarze – specjalisci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~134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~24%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Lekarze – rezydenci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~115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~21%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Lekarze – stazysci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~78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~14%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Farmaceuci, backoffice, inni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~16</w:t>
            </w:r>
          </w:p>
        </w:tc>
        <w:tc>
          <w:tcPr>
            <w:tcW w:type="dxa" w:w="27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94% uczestnikow to lekarze. Tylko 11 osob ma specjalizacje z diabetologii – konferencja przyciaga szeroki przekroj lekarzy, nie tylko diabetologow. Dominuje medycyna wewnetrzna i medycyna rodzinna.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Zaangazowanie na platformie – kim sa uczestnicy?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Analiza PostHog 500 losowo wybranych uczestnikow konferencji (10 batchy po 50 emaili – limit HogQL IN clause).</w:t>
      </w:r>
    </w:p>
    <w:p>
      <w:pPr>
        <w:spacing w:after="100"/>
      </w:pPr>
    </w:p>
    <w:p>
      <w:pPr>
        <w:pStyle w:val="Heading2"/>
      </w:pPr>
      <w:r>
        <w:t xml:space="preserve">Segmentacja aktywnosci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400"/>
        <w:gridCol w:w="1626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Liczba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Udzial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Sr. odslon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Wniosek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Power Users (200+)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44,1%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500+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Lojalni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Active Users (51–200)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29,0%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~120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Regulani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 Users (11–50)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20,4%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~30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Okazjonalni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20"/>
                <w:szCs w:val="20"/>
              </w:rPr>
              <w:t xml:space="preserve">Low Users (1–10)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6,5%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5A5A6"/>
                <w:sz w:val="20"/>
                <w:szCs w:val="20"/>
              </w:rPr>
              <w:t xml:space="preserve">Nowi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Dormant (0)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–</w:t>
            </w:r>
          </w:p>
        </w:tc>
        <w:tc>
          <w:tcPr>
            <w:tcW w:type="dxa" w:w="16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Brak!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352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Srednia odslon na osobe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Uzywanych funkcji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Conference-only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Dormant users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73% uczestnikow to power/active userzy z setkami odslon. Zero dormant, zero conference-only. Ci ludzie korzystaja z portalu na co dzien – zarejestrowaliby sie na konferencje bez zadnej reklamy, bo widza ja w panelu glownym.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Top 10 funkcji uzywanych przez uczestnikow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226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Uzytkownikow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Adopcja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Conference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422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84,4%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Main-Panel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388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77,6%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Article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380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76,0%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Medical-Calculator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339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67,8%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338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67,6%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304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60,8%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Tutorial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275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55,0%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Course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258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51,6%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ICD-10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253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50,6%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Residency-Encyclopedia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249</w:t>
            </w:r>
          </w:p>
        </w:tc>
        <w:tc>
          <w:tcPr>
            <w:tcW w:type="dxa" w:w="22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49,8%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Wzrost organiczny platformy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Miedzy konferencja diabetologiczna 2025 a 2026 platforma Remedium zanotowala znaczacy wzrost bazy uzytkownikow. To kluczowy czynnik wyjasniajacy utrzymanie rejestracji mimo ciecia budzetow reklamowych.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+5 100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Nowych lekarzy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+13%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Wzrost bazy lekarzy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40"/>
                <w:szCs w:val="40"/>
              </w:rPr>
              <w:t xml:space="preserve">~44 000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Lekarzy na platformie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Wieksza baza organicznych uzytkownikow oznacza wiecej osob, do ktorych informacja o konferencji dociera bezposrednio z platformy – z panelu glownego, artykulu, kalendarza konferencji – bez potrzeby platnego wsparcia reklamowego.</w:t>
      </w:r>
    </w:p>
    <w:p>
      <w:pPr>
        <w:spacing w:after="100"/>
      </w:pPr>
    </w:p>
    <w:p>
      <w:pPr>
        <w:pStyle w:val="Heading2"/>
      </w:pPr>
      <w:r>
        <w:t xml:space="preserve">Zrodla pozyskania uczestnikow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Referring domain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Udzial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Interpretacja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remedium.md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55%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Organicznie z portalu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google.com / google.pl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SEO / brand search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$direct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14%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Bezposrednie wejscia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m.facebook.com / l.facebook.com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9%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Facebook (organic+paid)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Pozostale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7%</w:t>
            </w:r>
          </w:p>
        </w:tc>
        <w:tc>
          <w:tcPr>
            <w:tcW w:type="dxa" w:w="226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Instagram, email, inne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276" w:sz="12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0"/>
                <w:szCs w:val="20"/>
              </w:rPr>
              <w:t xml:space="preserve">55% uczestnikow zostalo pozyskanych pierwotnie przez remedium.md. 54% ma initial fbclid (byly kiedys pozyskane przez FB), ale juz sa samodzielnymi uzytkownikami platformy. To uzytkownicy, ktorzy nie potrzebuja reklamy, zeby dowiedziec sie o konferencji.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6. Wnioski i rekomendacje</w:t>
      </w:r>
    </w:p>
    <w:p>
      <w:pPr>
        <w:pStyle w:val="Heading2"/>
      </w:pPr>
      <w:r>
        <w:t xml:space="preserve">Co naprawde sie wydarzylo?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Spadek wydatkow na platne reklamy nie zostal skompensowany lepsza optymalizacja, tylko organicznym wzrostem platformy. W 2025 kampania fr- (platne reklamy FB) wygenerowala 12 544 klikniecia. W 2026 ten kanal w ogole nie istnieje. Zastapil go f- (posty organiczne) z zaledwie 886 kliknieciami.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Lacznie shortlinki spadly o 75% (z 16 035 do 4 000 klikniec), ale rejestracje spadly tylko o 18% (z ~1 810 do 1 492). Ktos musi wypelniac te luke – i to nie kampania reklamowa, lecz rosnaca platforma.</w:t>
      </w:r>
    </w:p>
    <w:p>
      <w:pPr>
        <w:spacing w:after="100"/>
      </w:pPr>
    </w:p>
    <w:p>
      <w:pPr>
        <w:pStyle w:val="Heading2"/>
      </w:pPr>
      <w:r>
        <w:t xml:space="preserve">Prawidlowa interpretacja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6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74C3C"/>
                <w:sz w:val="26"/>
                <w:szCs w:val="26"/>
              </w:rPr>
              <w:t xml:space="preserve">Nie: lepiej optymalizujemy kampanie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Tak: rosnaca platforma zmniejsza zaleznosc od paid ads. Kampania 2026 nie byla lepiej zoptymalizowana – byla po prostu mniej potrzebna. 73% uczestnikow to power userzy, ktorzy zarejestrowaliby sie bez reklam. Gdyby platforma nie urosla o 13%, spadek shortlinkow o 75% przelozylby sie na drastyczny spadek rejestracji.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Rekomendacje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Monitoruj udzial organicznych rejestracji </w:t>
      </w:r>
      <w:r>
        <w:rPr>
          <w:rFonts w:ascii="Arial" w:cs="Arial" w:eastAsia="Arial" w:hAnsi="Arial"/>
          <w:sz w:val="22"/>
          <w:szCs w:val="22"/>
        </w:rPr>
        <w:t xml:space="preserve">– sledz jaki procent rejestracji na konferencje pochodzi z panelu glownego vs z reklam. To pozwoli mierzyc rzeczywisty efekt optymalizacji.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Rozrozniaj akwizycje od retencji </w:t>
      </w:r>
      <w:r>
        <w:rPr>
          <w:rFonts w:ascii="Arial" w:cs="Arial" w:eastAsia="Arial" w:hAnsi="Arial"/>
          <w:sz w:val="22"/>
          <w:szCs w:val="22"/>
        </w:rPr>
        <w:t xml:space="preserve">– kampanie powinny byc oceniane po pozyskaniu NOWYCH uzytkownikow, nie po lacznej frekwencji (ktora obejmuje istniejacych lojalnych userow).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Dodaj UTM tracking do BigMarkera </w:t>
      </w:r>
      <w:r>
        <w:rPr>
          <w:rFonts w:ascii="Arial" w:cs="Arial" w:eastAsia="Arial" w:hAnsi="Arial"/>
          <w:sz w:val="22"/>
          <w:szCs w:val="22"/>
        </w:rPr>
        <w:t xml:space="preserve">– obecny brak UTM uniemozliwia precyzyjna atrybucje. Wdrozenie trackingu pozwoli porownac kanaly.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Wdraz event conference_register w PostHog </w:t>
      </w:r>
      <w:r>
        <w:rPr>
          <w:rFonts w:ascii="Arial" w:cs="Arial" w:eastAsia="Arial" w:hAnsi="Arial"/>
          <w:sz w:val="22"/>
          <w:szCs w:val="22"/>
        </w:rPr>
        <w:t xml:space="preserve">– event istnieje od czerwca 2025, ale nie obejowal konferencji porownawczej. Zapewni pelna sciezke rejestracji.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Konferencja jako gateway do platformy </w:t>
      </w:r>
      <w:r>
        <w:rPr>
          <w:rFonts w:ascii="Arial" w:cs="Arial" w:eastAsia="Arial" w:hAnsi="Arial"/>
          <w:sz w:val="22"/>
          <w:szCs w:val="22"/>
        </w:rPr>
        <w:t xml:space="preserve">– 94,6% uczestnikow odkrywa inne funkcje. To potwierdza, ze konferencje sa doskonalym narzedziem onboardingowym – warto inwestowac w ich jakosc.</w:t>
      </w:r>
    </w:p>
    <w:p>
      <w:pPr>
        <w:spacing w:after="400"/>
      </w:pPr>
    </w:p>
    <w:p>
      <w:pPr>
        <w:pBdr>
          <w:top w:val="single" w:color="95A5A6" w:sz="2" w:space="1"/>
        </w:pBdr>
      </w:pPr>
    </w:p>
    <w:p>
      <w:pPr>
        <w:spacing w:after="100"/>
      </w:pPr>
    </w:p>
    <w:p>
      <w:pPr>
        <w:pStyle w:val="Heading2"/>
      </w:pPr>
      <w:r>
        <w:t xml:space="preserve">Metodologia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20"/>
          <w:szCs w:val="20"/>
        </w:rPr>
        <w:t xml:space="preserve">Analiza oparta na czterech niezaleznych zrodlach danych: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20"/>
          <w:szCs w:val="20"/>
        </w:rPr>
        <w:t xml:space="preserve">1) Shortlinki – pelna baza 12 063 linkow, filtrowane po kampaniach diabetologicznych (127 linkow, 20 035 klikow lacznie)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20"/>
          <w:szCs w:val="20"/>
        </w:rPr>
        <w:t xml:space="preserve">2) Meta Ads – eksport CSV z Menedzera Reklam (kampania 20.02.2023–20.03.2026)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20"/>
          <w:szCs w:val="20"/>
        </w:rPr>
        <w:t xml:space="preserve">3) BigMarker – eksport XLS uczestnikow konferencji (1 492 rejestracje)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5A5A6"/>
          <w:sz w:val="20"/>
          <w:szCs w:val="20"/>
        </w:rPr>
        <w:t xml:space="preserve">4) PostHog – analiza HogQL w batchach 50 emaili (limit IN clause), filtry: role IS NOT NULL, okres od 01.09.2025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Remedium – </w:t>
    </w:r>
    <w:r>
      <w:rPr>
        <w:rFonts w:ascii="Arial" w:cs="Arial" w:eastAsia="Arial" w:hAnsi="Arial"/>
        <w:color w:val="95A5A6"/>
        <w:sz w:val="16"/>
        <w:szCs w:val="16"/>
      </w:rPr>
      <w:t xml:space="preserve">Strona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Analiza kampanii diabetologicznej 2025 vs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2026-03-20T11:36:53.387Z</dcterms:created>
  <dcterms:modified xsi:type="dcterms:W3CDTF">2026-03-20T11:36:53.388Z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