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2E35FF"/>
          <w:sz w:val="48"/>
          <w:szCs w:val="48"/>
        </w:rPr>
        <w:t xml:space="preserve">NORTH STAR METRYKA GROWTH</w:t>
      </w:r>
    </w:p>
    <w:p>
      <w:pPr>
        <w:spacing w:after="200"/>
        <w:jc w:val="center"/>
      </w:pPr>
      <w:r>
        <w:rPr>
          <w:rFonts w:ascii="Inter" w:cs="Inter" w:eastAsia="Inter" w:hAnsi="Inter"/>
          <w:color w:val="1A1A2E"/>
          <w:sz w:val="36"/>
          <w:szCs w:val="36"/>
        </w:rPr>
        <w:t xml:space="preserve">SCR — Specialty Coverage Rate</w:t>
      </w:r>
    </w:p>
    <w:p>
      <w:pPr>
        <w:spacing w:after="100"/>
        <w:jc w:val="center"/>
      </w:pPr>
      <w:r>
        <w:rPr>
          <w:rFonts w:ascii="Inter" w:cs="Inter" w:eastAsia="Inter" w:hAnsi="Inter"/>
          <w:color w:val="6B7280"/>
          <w:sz w:val="24"/>
          <w:szCs w:val="24"/>
        </w:rPr>
        <w:t xml:space="preserve">Penetracja rynku lekarzy jako metryka odpowiedzialności Growth</w:t>
      </w:r>
    </w:p>
    <w:p>
      <w:pPr>
        <w:spacing w:after="400"/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Remedium.md | Marzec 2026</w:t>
      </w:r>
    </w:p>
    <w:p>
      <w:pPr>
        <w:jc w:val="center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Przygotowane dla: Sebastian Scencyk, VP Growth &amp; Board Member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1. Problem: trzy metryki, zero konsensusu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 dokumentacji Remedium Growth funkcjonowały trzy różne kandydatury na North Star. Każda mierzyła co innego, a ich współistnienie powodowało rozmycie odpowiedzialności: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3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mierzy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Campaign Fulfillment Rate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kampanii z dowiezionym KPI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Lagging indicator. Zależy od sprzedaży, nie tylko growth.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 (Targetable MAU)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Aktywni lekarze ze znaną specjalizacją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Zawiera aktywność (MAU) — wchodzi w konflikt z DAU (Product). Dwa zespoły mierzą to samo.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(Specialty Coverage Rate)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rynku per segment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Statyczna? Tylko jeśli źle zdefiniowana. W rzeczywistości: najczystsza miara tego, za co Growth odpowiada.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Ten dokument rozstrzyga kwestię definitywnie. Poniżej: analiza, dlaczego SCR wygrywa, jak mierzyć, i jak oddziela Growth od Product.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2. Dlaczego tMAU odpada: konflikt z Product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tMAU był definiowany jako: lekarze ze znaną specjalizacją, aktywni w ostatnich 30 dniach. Formuła: Baza × % ze specjalizacją × MAU rate. Problem tkwi w trzecim mnożniku: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MAU rate to miara aktywności.</w:t>
      </w:r>
      <w:r>
        <w:rPr>
          <w:rFonts w:ascii="Inter" w:cs="Inter" w:eastAsia="Inter" w:hAnsi="Inter"/>
          <w:sz w:val="22"/>
          <w:szCs w:val="22"/>
        </w:rPr>
        <w:t xml:space="preserve"> Product (Krzysztof) odpowiada za DAU — 7-dniową średnią aktywnych lekarzy. DAU i MAU rate mierzą tę samą rzecz w innym oknie czasowym.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Jeśli Growth odpowiada za MAU rate,</w:t>
      </w:r>
      <w:r>
        <w:rPr>
          <w:rFonts w:ascii="Inter" w:cs="Inter" w:eastAsia="Inter" w:hAnsi="Inter"/>
          <w:sz w:val="22"/>
          <w:szCs w:val="22"/>
        </w:rPr>
        <w:t xml:space="preserve"> a Product za DAU, to dwa zespoły mierzą ten sam behavior i odpowiadają za te same działania (engagement, content, retencja).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Gdy MAU rate spada,</w:t>
      </w:r>
      <w:r>
        <w:rPr>
          <w:rFonts w:ascii="Inter" w:cs="Inter" w:eastAsia="Inter" w:hAnsi="Inter"/>
          <w:sz w:val="22"/>
          <w:szCs w:val="22"/>
        </w:rPr>
        <w:t xml:space="preserve"> kto jest odpowiedzialny? Growth czy Product? Jeśli nie można jednoznacznie przypisać — metryka jest zła.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Logika wewnętrzna naszej organizacji wymaga czystego podziału: Growth dostarcza lekarzy do platformy. Product sprawia, że zostają i wracają. Tych dwóch mandatów nie można mierzyć jedną metryką.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DC2626" w:sz="6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DC2626"/>
                <w:sz w:val="24"/>
                <w:szCs w:val="24"/>
              </w:rPr>
              <w:t xml:space="preserve">WNIOSEK</w:t>
            </w:r>
          </w:p>
          <w:p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Metryka Growth nie może zawierać komponentu aktywności (MAU/DAU). Aktywność = Product. Growth = penetracja rynku.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3. Kontekst rynkowy: jak mierzą to inni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Remedium działa w modelu B2B2C — darmowa platforma dla lekarzy, monetyzacja z kampanii pharma. Na rynku istnieją wyraźne wzorce: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Platforma HCP z ad-supported model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600"/>
        <w:gridCol w:w="2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Platforma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Growth metric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Product metric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Wniosek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Doximity (USA)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Registered verified physicians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/ engagement depth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Rozdzielają capture od habit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DocCheck (DE)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Registered Prescribers (verified)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Active Prescribers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rynku jest miarą growth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Medscape (global)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HCP registrations per specialty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Specialty-qualified PV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Capture per segment = growth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Sermo (global)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Verified physicians per market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Monthly Active Respondents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per rynek, aktywność osobno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35FF" w:sz="6"/>
              <w:left w:val="single" w:color="F0F1FF" w:sz="1"/>
              <w:bottom w:val="single" w:color="F0F1FF" w:sz="1"/>
              <w:right w:val="single" w:color="F0F1FF" w:sz="1"/>
            </w:tcBorders>
            <w:shd w:fill="F0F1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2E35FF"/>
                <w:sz w:val="24"/>
                <w:szCs w:val="24"/>
              </w:rPr>
              <w:t xml:space="preserve">PATTERN RYNKOWY</w:t>
            </w:r>
          </w:p>
          <w:p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Growth teams na platformach HCP mierzą penetrację rynku (ile % lekarzy jest na platformie), nie aktywność. Aktywność to odpowiedzialność Product. Rozdzielenie jest standardem branżowym.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4. Decyzja: SCR to North Star Growth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59669" w:sz="6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Inter" w:cs="Inter" w:eastAsia="Inter" w:hAnsi="Inter"/>
                <w:b/>
                <w:bCs/>
                <w:color w:val="059669"/>
                <w:sz w:val="30"/>
                <w:szCs w:val="30"/>
              </w:rPr>
              <w:t xml:space="preserve">SCR = Specialty Coverage Rate</w:t>
            </w:r>
          </w:p>
          <w:p>
            <w:pPr>
              <w:spacing w:after="200"/>
              <w:jc w:val="center"/>
            </w:pPr>
            <w:r>
              <w:rPr>
                <w:rFonts w:ascii="Inter" w:cs="Inter" w:eastAsia="Inter" w:hAnsi="Inter"/>
                <w:color w:val="065F46"/>
                <w:sz w:val="24"/>
                <w:szCs w:val="24"/>
              </w:rPr>
              <w:t xml:space="preserve">Jaki procent adresowalnego rynku lekarzy jest zarejestrowany w Remedium?</w:t>
            </w:r>
          </w:p>
          <w:p>
            <w:pPr>
              <w:spacing w:after="120"/>
              <w:jc w:val="center"/>
            </w:pPr>
            <w:r>
              <w:rPr>
                <w:rFonts w:ascii="Inter" w:cs="Inter" w:eastAsia="Inter" w:hAnsi="Inter"/>
                <w:color w:val="6B7280"/>
                <w:sz w:val="22"/>
                <w:szCs w:val="22"/>
              </w:rPr>
              <w:t xml:space="preserve">Formuła: </w:t>
            </w: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SCR = Zarejestrowani lekarze w Remedium / Adresowalny rynek (NIL)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7280"/>
                <w:sz w:val="22"/>
                <w:szCs w:val="22"/>
              </w:rPr>
              <w:t xml:space="preserve">Baseline (marzec 2026): </w:t>
            </w:r>
            <w:r>
              <w:rPr>
                <w:rFonts w:ascii="Inter" w:cs="Inter" w:eastAsia="Inter" w:hAnsi="Inter"/>
                <w:b/>
                <w:bCs/>
                <w:color w:val="059669"/>
                <w:sz w:val="28"/>
                <w:szCs w:val="28"/>
              </w:rPr>
              <w:t xml:space="preserve">44,085 / 130,000 = 33.9%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Dlaczego SCR?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tMAU (odrzucony)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Growth kontroluje?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akwizycja, brand, onboarding, re-engagement, data quality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Częściowo — MAU rate zależy też od Product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Konflikt z Product?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— żadna aktywność, zero overlap z DAU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MAU rate ≈ DAU w innym oknie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reaguje na brand?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wyższa świadomość = więcej rejestracji = wyższy SCR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BEZPOŚREDNIO — brand nie wpływa na MAU rate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dekomponowalny?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per specjalizacja, per status, per region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ale mnożnik C pokrywa się z Product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Częstotliwość pomiaru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Tygodniowo (PostHog vs NIL snapshot)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Tygodniowo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prowadzi do revenue?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więcej lekarzy per spec = więcej kampanii można sprzedać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ale ta sama logika minus konflikt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5. Definicja SCR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Mianownik: adresowalny rynek = ~130,000 lekarzy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Mianownik SCR oparty jest o dane NIL CRL RP (31.12.2025). Z populacji 164,892 lekarzy wykonujących zawód wykluczamy: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3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Operacja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Lekarze wykonujący zawód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164,892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Baza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Zestawienie nr 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Stażyści (PWZ 12)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6,016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Minus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Zestawienie nr 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Niekliniczni (patologia, lab, ZP, higiena itd.)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~5,600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Minus (est.)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Zestawienie nr 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Lekarze 71+ wykonujący zawód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24,595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Minus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Zestawienie nr 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ADRESOWALNY RYNEK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~128,700 ≈ 130,000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=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Przyjęty mianownik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Dlaczego te wykluczenia: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Stażyści (PWZ 12): </w:t>
      </w:r>
      <w:r>
        <w:rPr>
          <w:rFonts w:ascii="Inter" w:cs="Inter" w:eastAsia="Inter" w:hAnsi="Inter"/>
          <w:sz w:val="22"/>
          <w:szCs w:val="22"/>
        </w:rPr>
        <w:t xml:space="preserve">są w PostHog jako intern (4,655), ale nie są jeszcze samodzielnymi lekarzami. NIL kwalifikuje ich jako PWZ tymczasowe.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Niekliniczni: </w:t>
      </w:r>
      <w:r>
        <w:rPr>
          <w:rFonts w:ascii="Inter" w:cs="Inter" w:eastAsia="Inter" w:hAnsi="Inter"/>
          <w:sz w:val="22"/>
          <w:szCs w:val="22"/>
        </w:rPr>
        <w:t xml:space="preserve">patologia, laboratorium, zdrowie publiczne, higiena — nie pracują z pacjentami, nie wypisują recept. Nie są targetem pharma.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71+: </w:t>
      </w:r>
      <w:r>
        <w:rPr>
          <w:rFonts w:ascii="Inter" w:cs="Inter" w:eastAsia="Inter" w:hAnsi="Inter"/>
          <w:sz w:val="22"/>
          <w:szCs w:val="22"/>
        </w:rPr>
        <w:t xml:space="preserve">24,595 lekarzy według NIL, ale w Remedium jest ich tylko 475 (1.9% populacji). Marginalny udział, nie są digital-first.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Licznik: zarejestrowani lekarze w Remedium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Wszyscy lekarze z role=doctor w PostHog: 44,085. Bez filtra aktywności, bez filtra specjalizacji. Każdy zarejestrowany lekarz (zweryfikowany przez NIL przy rejestracji) liczy się do SCR.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Dlaczego BEZ filtra specjalizacji w SCR?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Lekarze „bez specjalizacji” to często lekarze POZ — pracujący w przychodniach, wypisujący recepty. 87% kampanii pharma to tier ALL/POZ. Ci lekarze są dla nas niezwykle wartoscściowi i monetyzowalni. Wykluczanie ich z North Star byłoby błędem.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Dlaczego BEZ filtra aktywności?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Aktywność to odpowiedzialność Product (DAU). Growth odpowiada za to, czy lekarz jest na platformie — nie za to, czy wraca codziennie. Re-engagement uśpionych użytkowników też leży w gestii Growth, ale mierzy się go przez Activation Rate, nie przez filtrowanie North Star.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6. Dekompozycja: SCR per segment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SCR można dekomponować na dowolny segment — per specjalizacja, per status, per region. To jest siła tej metryki: widzisz dokładnie, gdzie masz penetrację i gdzie są luki.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SCR per status lekarza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500"/>
        <w:gridCol w:w="38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 lekarza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PostHog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% bazy Remedium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Bez specjalizacji (POZ/ogólni)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18,858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42.8%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Wielu to lekarze POZ — kluczowy segment pharma (87% kampanii)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11,282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25.6%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 potwierdzoną specjalizacją — pełna targetowalność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8,832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20.0%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 trakcie specjalizacji — przyszli specjaliści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Stażysta (intern)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4,655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10.6%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w adresowalnym rynku (130K) ale w PostHog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Brak danych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525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1.2%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 oczyszczenia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SCR per specjalizacja (top 10 luk)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Pełne dane per specjalizacja w załączniku Excel (Remedium-NIL-vs-PostHog.xlsx). Poniżej najważniejsze:</w:t>
      </w:r>
    </w:p>
    <w:p>
      <w:pPr>
        <w:spacing w:after="2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900"/>
        <w:gridCol w:w="1100"/>
        <w:gridCol w:w="1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Specjalizacja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NIL (wyk. zaw.)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Luka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Choroby wewnętrzne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29,122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4,096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14.1%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25,026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ALL/POZ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Pediatria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15,438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2,770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17.9%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12,668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ALL/POZ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Medycyna rodzinna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12,283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3,823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31.1%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8,460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ALL/POZ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Położnictwo i ginekologia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8,049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1,098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13.6%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6,951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Okulistyka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4,996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8.8%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4,556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Ortopedia i traumatologia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4,720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12.8%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4,117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Kardiologia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5,579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1,202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21.5%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4,377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Anestezjologia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7,576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1,249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16.5%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6,327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Chirurgia ogólna (czysta)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8,830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948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10.7%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7,882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Neurologia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4,628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897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19.4%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3,731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Każda specjalizacja o SCR poniżej 20% to okazja akwizycyjna. Każda specjalizacja powyżej progu sprzedawalności to nowa linia przychodowa.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7. Hierarchia metryk: podział Growth vs Product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365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Growth (Sebastian)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Product (Krzysztof)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North Star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(penetracja rynku)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(7-day avg)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 mierzy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Jaki % rynku jest na platformie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Ile lekarzy korzysta codziennie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Zakres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Akwizycja, onboarding, re-engagement, brand, data quality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Feature development, retencja, engagement depth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Zawiera aktywność?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 rosną razem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Wyższy SCR = więcej userów do Product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Wyższy DAU = lepsza reputacja = łatwiejsza akwizycja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Companion Metric: Activation Rate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Activation Rate = % nowo zarejestrowanych lekarzy, którzy wracają w ciągu 7 dni po rejestracji. To wspólny KPI na styku Growth i Product — Growth dostarcza lekarza, Product sprawia, że chce wrócić. Jeśli Activation Rate spada, obie strony muszą działać.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Pętla reaktywacji (Growth)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Growth odpowiada też za odzyskiwanie uśpionych użytkowników — lekarzy, którzy się zarejestrowali ale wypadli z aktywności. To nie jest sprzeczne z brakiem aktywności w SCR: SCR mierzy zasobów (ilu mamy), a reaktywacja to działanie operacyjne. Wracający lekarz poprawia DAU (Product), ale był już w SCR.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Health Indicators (miesięcznie)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00"/>
        <w:gridCol w:w="3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mierzy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Baseline → Cel 12msc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total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rynku ogółem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33.9% → 37% (2026) → 42–43% (2027)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per specjalizacja (top 15)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per segment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Zróżnicowane per spec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lekarzy z uzupełnioną specjalizacją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 → 70%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Activation Rate (7d)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Jakość onboardingu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 + Product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 zmierzenia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Campaign Fulfillment Rate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Monetyzacja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Sprzedaż + 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~85% → 95%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Specjalizacje sprzedawalne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Revenue capacity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 + Sprzedaż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5–6 → 10+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(7-day avg)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Codzienna aktywność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~3,200 → cel strategiczny: 16,500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Diagnostyczne (tygodniowo, ad hoc)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Kiedy drill-down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per specjalizacja (top 15)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Zawsze — główny widok tygodniowy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Nowe rejestracje per specjalizacja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Zawsze — czy akwizycja w bottleneck specjalizacjach działa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Gdy Activation Rate spada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rezydentów z deklaracją specjalizacji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Gdy data quality stoi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re-check yield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Przy każdym batchu re-weryfikacji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Re-engagement campaign conversion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Przy ocenie kampanii reaktywacyjnych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8. Aktualne dane z PostHog (marzec 2026)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Baza lekarzy (role=doctor)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Źródło prawdy: PostHog (backoffice 54,071 zawiera martwe konta sprzed integracji)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Adresowalny rynek (NIL)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~130,000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164,892 minus stażyści, niekliniczni, 71+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total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33.9%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 / 130,000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MAU doctors (30d)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20,627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Lekarze aktywni w ostatnich 30 dniach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doctors (dzień roboczy)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3,000–3,500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Sobota/niedziela: ~1,500–1,700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lekarzy ze specjalizacją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 (21,335)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Potwierdzona + otwarta + sugerowana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lekarzy BEZ specjalizacji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51.6% (22,750)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Wielu to lekarze POZ — wartoscściowi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Statusy lekarzy w PostHog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 (wartość EN w PostHog)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% lekarzy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without_specialization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18,858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42.8%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specialist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11,282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25.6%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resident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8,832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20.0%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intern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4,655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10.6%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brak/inny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525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1.2%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Typy specjalizacji w bazie</w:t>
      </w:r>
    </w:p>
    <w:p>
      <w:pPr>
        <w:spacing w:after="20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12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 specjalizacji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Pole w PostHog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Liczba lekarzy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% bazy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Potwierdzona (z NIL)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11,024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Otwarta (deklaratywna)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open_specialization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9,484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21.5%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Sugerowana (system)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suggestedSpecializations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1,507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3.4%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Jakiekolwiek pole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OR na 3 polach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21,335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Brak specjalizacji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22,750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51.6%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Dane zweryfikowane bezpośrednio w PostHog (HogQL). Pełne porównanie z NIL per specjalizacja dostępne w pliku Remedium-NIL-vs-PostHog.xlsx.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9. Dynamika rejestracji: analiza historyczna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Zanim wyznaczymy cele, musimy zrozumieć w jakim tempie baza lekarzy rosła historycznie. Poniższe dane pochodzą z PostHog (persons created_at + registration_role_set, marzec 2026).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Kwartalne tempo rejestracji nowych lekarzy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7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Kwartał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Nowi lekarze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Śr. miesięczna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Zmiana r/r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2,202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734/msc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 (początek trackingu)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1,957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652/msc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1,939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646/msc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1,371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457/msc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1,463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488/msc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-34% vs Q3 2024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1,180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393/msc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-40% vs Q4 2024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~810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~270/msc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-58% vs Q1 2025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Trend jest jednoznacznie spadkowy. Rejestracje w Q1 2026 są o 58% niższe niż rok wcześniej. To nie jest sezonowość — to strukturalna deceleracja organicznego lejka.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Kto się rejestruje — rozkład per status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900"/>
        <w:gridCol w:w="47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Q3 2024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Q1 2026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Spadek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Diagnoza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652/kw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370/kw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-43%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Najwolniejszy spadek — jedyny segment, który jeszcze przychodzi sam (content, narzędzia)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POZ / bez spec.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1,107/kw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277/kw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-75%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Główny driver spadku. Nie trafiają na platformę organicznie — potrzebują kampanii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211/kw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86/kw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-59%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Mały segment, stabilizuje się (Q4 2025: 76, Q1 2026: 86)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Stażyści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221/kw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11/kw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-95%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Rynek WYCZERPANY — mamy 4,655 z 6,016 (77% penetracji)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Diagnoza: trzy przyczyny spadku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A) Naturalna deceleracja rynku skończonego.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Mamy 34% penetracji (44K z 130K). Pierwszych 34% to lekarze, którzy sami nas znaleźli — przez kolegów, Google, content. Ci się skończyli. Pozostałe 66% (86 tys. lekarzy) to ludzie, którzy o nas nie słyszeli, nie szukają nowych narzędzi albo są lojalni wobec mp.pl i innych platform. Ich trzeba aktywnie pozyskiwać.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B) Segment POZ/bez specjalizacji wymaga kampanii, nie organiki.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Ci lekarze nie szukają narzędzi klinicznych (pracują inaczej niż specjaliści). Nie trafiają na platformę przez content specjalistyczny. Potrzebują innej ścieżki: partnerstwa z sieciami przychodni, kampanie w środowisku POZ, polecenia.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C) Brak aktywnej akwizycji bottleneck specjalizacji.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Gastroenterologów, nefrologów, reumatologów jest po 1,000–2,500 w całym kraju. Zbyt mało, żeby organika działała. Bez targetowanych kampanii (content, webinary, KOL, konferencje) ten segment nie urośnie.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D97706" w:sz="6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D97706"/>
                <w:sz w:val="24"/>
                <w:szCs w:val="24"/>
              </w:rPr>
              <w:t xml:space="preserve">KLUCZOWY WNIOSEK</w:t>
            </w:r>
          </w:p>
          <w:p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Spadek rejestracji to nie porażka — to naturalny koniec fazy organicznego wzrostu. Każda platforma w skończonym rynku przechodzi przez ten punkt. Pytanie brzmi: czy przechodzimy do fazy aktywnej akwizycji, czy akceptujemy plateau.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Sezonowość (z danych tygodniowych)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Rejestracje mają jasny cykl roczny: pik we wrześniu (nowy rok akademicki, rezydenci rozpoczynają specjalizacje), spadek w grudniu (przerwa świąteczna). Różnica między najsilniejszym a najsłabszym miesiącem to 2–3x. Cele kwartalne uwzględniają tę sezonowość.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10. Scenariusze i cele 2026–2027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Na podstawie analizy historycznej definiujemy dwa scenariusze: FLOOR (minimum akceptowalne) i TARGET (ambicja). Każda liczba ma uzasadnienie w danych.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Scenariusz FLOOR: Stabilizacja (~500/msc)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Logika: wracamy do poziomu 2025 roku (500/msc). Nie wynajdujemy nic nowego — robimy to, czego brakowało: aktywnna akwizycja zamiast czekania na organikę.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56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Teraz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 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Skąd wzrost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~125/msc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Content magnets per bottleneck spec (webinary, kalkulatory, vademecum). +55/msc = ~2 webinary/msc z KOL per spec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POZ / bez spec.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~90/msc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Kampanie email do baz POZ, 1 partnerstwo z siecią przychodni (Enel-Med, Medicover, LuxMed). +110/msc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~30/msc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Partnerstwo z CMKP, obecność na targach rezydenckich. SEO na „przygotowanie PES”. +50/msc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Stażyści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Marginalny — organika z uczelni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Polecenia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Program lekarz-lekarz. 20K MAU × 0.15% = 30/msc. Konserwatywne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~250–300/msc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~500/msc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Powrót do udowodnionego poziomu 2025</w:t>
            </w:r>
          </w:p>
        </w:tc>
      </w:tr>
    </w:tbl>
    <w:p>
      <w:pPr>
        <w:spacing w:after="20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1200"/>
        <w:gridCol w:w="12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Kwartał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Nowi /kw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Tempo 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Baza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2026 (fakt)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~270 (organika)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33.9%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1,050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300→350→400 (ramp-up)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45,135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34.7%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1,650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500→550→600 (pik wrześnień)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46,785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36.0%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1,350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500→450→400 (sezon grudzień)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48,135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2026 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4,860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~48,100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1,400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450→470→480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49,535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38.1%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1,550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500→520→530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51,085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39.3%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1,800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550→600→650 (pik)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52,885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40.7%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1,500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530→500→470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54,385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41.8%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2027 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6,250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~54,400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41.8%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Argument za Sc. FLOOR: 500/msc to UDOWODNIONY run-rate z 2025. Spadek do 270/msc w Q1 2026 wynika z braku aktywnych kampanii, nie z wyczerpania rynku (mamy dopiero 34% penetracji). Wystarczy zastąpić organikę aktywnymi kampaniami, żeby wrócić do tego poziomu.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Scenariusz TARGET: Przyspieszenie (~700/msc od Q3 2026)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Logika: wszystko ze Sc. FLOOR + kanały instytucjonalne (towarzystwa naukowe, konferencje, brand).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56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Sc. FLOOR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Sc. TARGET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dodajemy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Partnerstwa z towarzystwami (PTK, PTE, PTG). 2 partnerstwa/kw × 35 rejestracji = +70/msc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POZ / bez spec.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280/msc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Kampania brandowa w mediach medycznych (Puls Medycyny, Medycyna Praktyczna). +80/msc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Program ambasadorów na 14 uczelniach medycznych. +20/msc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Polecenia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Gamifikacja poleceń (leaderboard, nagrody). Z 0.15% do 0.25% MAU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Re-engagement → reg.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Recovery niedokończonych rejestracji (registration bez role_set). 5–10% recovery rate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~500/msc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~700/msc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+40% vs FLOOR</w:t>
            </w:r>
          </w:p>
        </w:tc>
      </w:tr>
    </w:tbl>
    <w:p>
      <w:pPr>
        <w:spacing w:after="2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1200"/>
        <w:gridCol w:w="12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Kwartał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Nowi /kw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Tempo 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Baza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2026 (fakt)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~270 (organika)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33.9%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1,150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320→380→450 (ramp-up)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45,235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34.8%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2,100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600→700→800 (pik + partnerstwa)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47,335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36.4%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1,700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650→550→500 (sezon grudzień)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49,035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2026 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5,760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~49,000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1,800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550→600→650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50,835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39.1%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2,100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650→700→750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52,935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40.7%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2,550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750→850→950 (pik)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55,485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42.7%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2,100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750→700→650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57,585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44.3%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2027 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8,550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~57,600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44.3%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Argument za Sc. TARGET: różnica między FLOOR a TARGET to ~200 lekarzy/msc. To kwota, którą daje jedno partnerstwo z dużym towarzystwem naukowym plus jedna kampania brandowa w mediach medycznych na kwartał. Wymaga inwestycji, ale zwrot jest jasny: każda nowa sprzedawalna specjalizacja to 800–8,000 PLN per kampania × kilkadziesiąt kampanii rocznie.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Porównanie scenariuszy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0"/>
        <w:gridCol w:w="325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FLOOR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koniec 2026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37.0% (~48K)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37.7% (~49K)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koniec 2027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41.8% (~54K)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44.3% (~58K)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Nowi lekarze 2026+2027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~11,100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~14,300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Wymagane tempo (cruising)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500/msc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700/msc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Kluczowa inwestycja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Kampanie akwizycyjne, partnerstwa POZ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 FLOOR + brand, towarzystwa naukowe, KOL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Sprzedawalne specjalizacje (est.)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8–9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10–12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Pomiar: częstotliwość i odpowiedzialność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Częstotliwość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Dlaczego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total (%)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Kwartalnie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Zmienia się wolno (~1–2 pp/kwartał max). Weryfikacja vs cel.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Nowe rejestracje lekarzy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Miesięcznie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Operacyjna — feedback loop na kampanie. Czy jesteśmy na ścieżce FLOOR czy TARGET?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Rejestracje per status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Miesięcznie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Widoczność który segment rośnie / umiera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Rejestracje per specjalizacja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Miesięcznie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Kontrola bottleneck specjalizacji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per specjalizacja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Kwartalnie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Readiness kampanii pharma per segment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Activation Rate (7d)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Miesięcznie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Jakość onboardingu — companion metric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hAnsi="Inter"/>
          <w:color w:val="1A1A2E"/>
        </w:rPr>
        <w:t>11. Priorytety akwizycyjne vs budżet sprzedaży 2026</w:t>
      </w:r>
    </w:p>
    <w:p>
      <w:pPr>
        <w:spacing w:after="200"/>
      </w:pPr>
    </w:p>
    <w:p>
      <w:pPr>
        <w:spacing w:after="120"/>
      </w:pPr>
      <w:r>
        <w:rPr>
          <w:rFonts w:ascii="Inter" w:hAnsi="Inter"/>
          <w:color w:val="374151"/>
          <w:sz w:val="22"/>
        </w:rPr>
        <w:t>Zderzenie danych o bazie lekarzy (PostHog) z planowanym budżetem sprzedaży (dokument budżetowy 2026) pozwala wskazać, które specjalizacje powinny być priorytetem akwizycji — bo mają jednocześnie duży potencjał przychodowy I niedostateczną bazę lekarzy.</w:t>
      </w:r>
    </w:p>
    <w:p>
      <w:pPr>
        <w:spacing w:after="200"/>
      </w:pPr>
    </w:p>
    <w:p>
      <w:pPr>
        <w:pStyle w:val="Heading3"/>
      </w:pPr>
      <w:r>
        <w:rPr>
          <w:rFonts w:ascii="Inter" w:hAnsi="Inter"/>
          <w:color w:val="1A1A2E"/>
        </w:rPr>
        <w:t>Budżet sprzedaży 2026 — top obszary terapeutyczne</w:t>
      </w:r>
    </w:p>
    <w:p>
      <w:pPr>
        <w:spacing w:after="120"/>
      </w:pPr>
      <w:r>
        <w:rPr>
          <w:rFonts w:ascii="Inter" w:hAnsi="Inter"/>
          <w:color w:val="374151"/>
          <w:sz w:val="22"/>
        </w:rPr>
        <w:t>Plan 100% na 2026 to ok. 41.4M PLN. Poniżej rozbicie na główne obszary terapeutyczne (agregacja z arkusza budżetowego):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Obszar terapeutyczny</w:t>
            </w:r>
          </w:p>
        </w:tc>
        <w:tc>
          <w:tcPr>
            <w:tcW w:type="dxa" w:w="1584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Budżet 2026 (100%)</w:t>
            </w:r>
          </w:p>
        </w:tc>
        <w:tc>
          <w:tcPr>
            <w:tcW w:type="dxa" w:w="1584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Udział</w:t>
            </w:r>
          </w:p>
        </w:tc>
        <w:tc>
          <w:tcPr>
            <w:tcW w:type="dxa" w:w="1584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Remedium (baza)</w:t>
            </w:r>
          </w:p>
        </w:tc>
        <w:tc>
          <w:tcPr>
            <w:tcW w:type="dxa" w:w="1584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SCR spec</w:t>
            </w:r>
          </w:p>
        </w:tc>
        <w:tc>
          <w:tcPr>
            <w:tcW w:type="dxa" w:w="1584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Kardiologia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~8.7M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21%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1,324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22.2%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T2 — kluczowy revenue driver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Diabetologia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~3.2M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8%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597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16.9%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T2 — niska baza vs budżet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Pediatria / szczepienia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~3.1M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7%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2,935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17.1%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T1 (via POZ)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Ginekologia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~3.1M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7%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1,099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13.7%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T2 — NOWE: duży budżet, niska penetracja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Psychiatria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~2.8M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7%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1,320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27.4%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OK — dobra baza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Infekcje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~2.6M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6%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163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14.6%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T1 (via POZ, szeroka grupa)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Gastroenterologia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~2.1M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5%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208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18.4%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T4 — bottleneck: niska baza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Pulmonologia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~1.8M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4%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361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12.6%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T4 — bottleneck + feedback sprzedaży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Neurologia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~1.7M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4%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999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18.8%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T3 — solidna baza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Alergologia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~1.5M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4%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186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12.1%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T4 — bardzo niska baza vs budżet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Dermatologia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~1.1M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3%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344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12.9%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Do obserwacji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Onkologia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~0.9M PLN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2%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529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42.1%</w:t>
            </w:r>
          </w:p>
        </w:tc>
        <w:tc>
          <w:tcPr>
            <w:tcW w:type="dxa" w:w="1584"/>
          </w:tcPr>
          <w:p>
            <w:r/>
            <w:r>
              <w:rPr>
                <w:rFonts w:ascii="Inter" w:hAnsi="Inter"/>
                <w:color w:val="374151"/>
                <w:sz w:val="20"/>
              </w:rPr>
              <w:t>OK — dobra penetracja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hAnsi="Inter"/>
          <w:color w:val="374151"/>
          <w:sz w:val="22"/>
        </w:rPr>
        <w:t>* Gastroenterologia: 208 lekarzy to za mało na kampanie specjalizacyjne (próg ~1,200 NIL). Budżet 2.1M wskazuje, że sprzedaż traktuje gastro jako ALL/POZ, nie jako kampanie specjalistyczne. Odblokowanie gastro jako segmentu = nowa linia przychodowa.</w:t>
      </w:r>
    </w:p>
    <w:p>
      <w:pPr>
        <w:spacing w:after="200"/>
      </w:pPr>
    </w:p>
    <w:p>
      <w:pPr>
        <w:pStyle w:val="Heading3"/>
      </w:pPr>
      <w:r>
        <w:rPr>
          <w:rFonts w:ascii="Inter" w:hAnsi="Inter"/>
          <w:color w:val="1A1A2E"/>
        </w:rPr>
        <w:t>Zrewidowane priorytety akwizycji (T1–T4)</w:t>
      </w:r>
    </w:p>
    <w:p>
      <w:pPr>
        <w:spacing w:after="120"/>
      </w:pPr>
      <w:r>
        <w:rPr>
          <w:rFonts w:ascii="Inter" w:hAnsi="Inter"/>
          <w:color w:val="374151"/>
          <w:sz w:val="22"/>
        </w:rPr>
        <w:t>Na podstawie zderzenia danych PostHog z budżetem sprzedaży 2026 redefiniujemy priorytety akwizycji. Zmiana vs. pierwotna wersja: ginekologia awansuje do T2, alergologia wchodzi do T4.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901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Segmenty</w:t>
            </w:r>
          </w:p>
        </w:tc>
        <w:tc>
          <w:tcPr>
            <w:tcW w:type="dxa" w:w="1901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Alokacja wysiłku</w:t>
            </w:r>
          </w:p>
        </w:tc>
        <w:tc>
          <w:tcPr>
            <w:tcW w:type="dxa" w:w="1901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Budżet sprzedaży</w:t>
            </w:r>
          </w:p>
        </w:tc>
        <w:tc>
          <w:tcPr>
            <w:tcW w:type="dxa" w:w="1901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Uzasadnienie</w:t>
            </w:r>
          </w:p>
        </w:tc>
      </w:tr>
      <w:tr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T1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POZ / interniści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40%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~14M+ PLN (infekcje, pediatria, szczepienia, diabeto via POZ)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Każda kampania ALL/POZ wymaga tej bazy. 87% kampanii 2024 = ALL/POZ.</w:t>
            </w:r>
          </w:p>
        </w:tc>
      </w:tr>
      <w:tr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T2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Kardio / diabeto / ginek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30%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~15M PLN (łącznie 3 obszary)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Kardiologia: 8.7M = najważniejszy segment. Ginekologia: 3.1M, ale tylko 1,098 lekarek (13.6%) — największy gap.</w:t>
            </w:r>
          </w:p>
        </w:tc>
      </w:tr>
      <w:tr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T3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Rezydenci + neurologia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15%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~1.7M PLN (neuro)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Rezydenci budują przyszłą bazę specjalistów. Neurologia ma solidną bazę (897).</w:t>
            </w:r>
          </w:p>
        </w:tc>
      </w:tr>
      <w:tr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T4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Pulmo / alergo / gastro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15%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~5.4M PLN (łącznie 3 obszary)</w:t>
            </w:r>
          </w:p>
        </w:tc>
        <w:tc>
          <w:tcPr>
            <w:tcW w:type="dxa" w:w="1901"/>
          </w:tcPr>
          <w:p>
            <w:r/>
            <w:r>
              <w:rPr>
                <w:rFonts w:ascii="Inter" w:hAnsi="Inter"/>
                <w:color w:val="374151"/>
                <w:sz w:val="20"/>
              </w:rPr>
              <w:t>Bottleneck: pulmo (360), alergo (186), gastro (208). Każda odblokowana spec = nowa linia przychodowa.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hAnsi="Inter"/>
          <w:color w:val="1A1A2E"/>
        </w:rPr>
        <w:t>Wycena ścieżek edukacyjnych per tier specjalizacji</w:t>
      </w:r>
    </w:p>
    <w:p>
      <w:pPr>
        <w:spacing w:after="120"/>
      </w:pPr>
      <w:r>
        <w:rPr>
          <w:rFonts w:ascii="Inter" w:hAnsi="Inter"/>
          <w:color w:val="374151"/>
          <w:sz w:val="22"/>
        </w:rPr>
        <w:t>Dokument budżetowy definiuje 3 typy ścieżek edukacyjnych wg atrakcyjności specjalizacji: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Typ</w:t>
            </w:r>
          </w:p>
        </w:tc>
        <w:tc>
          <w:tcPr>
            <w:tcW w:type="dxa" w:w="2376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Cena roczna</w:t>
            </w:r>
          </w:p>
        </w:tc>
        <w:tc>
          <w:tcPr>
            <w:tcW w:type="dxa" w:w="2376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Specjalizacje</w:t>
            </w:r>
          </w:p>
        </w:tc>
        <w:tc>
          <w:tcPr>
            <w:tcW w:type="dxa" w:w="2376"/>
            <w:shd w:val="clear" w:color="auto" w:fill="1A1A2E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Nasz tier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Typ 1 (premium)</w:t>
            </w:r>
          </w:p>
        </w:tc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300K PLN / rok</w:t>
            </w:r>
          </w:p>
        </w:tc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kardio, diabeto, onko, infekcje</w:t>
            </w:r>
          </w:p>
        </w:tc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T1 + T2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Typ 2</w:t>
            </w:r>
          </w:p>
        </w:tc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228K PLN / rok</w:t>
            </w:r>
          </w:p>
        </w:tc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pulmo, alergo, pain, ginek, pediatria, szczepienia, psychiatria</w:t>
            </w:r>
          </w:p>
        </w:tc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T1–T4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Typ 3</w:t>
            </w:r>
          </w:p>
        </w:tc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180K PLN / rok</w:t>
            </w:r>
          </w:p>
        </w:tc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gastro, derma, reuma, osteo, żywienie, neuro, endokryno</w:t>
            </w:r>
          </w:p>
        </w:tc>
        <w:tc>
          <w:tcPr>
            <w:tcW w:type="dxa" w:w="2376"/>
          </w:tcPr>
          <w:p>
            <w:r/>
            <w:r>
              <w:rPr>
                <w:rFonts w:ascii="Inter" w:hAnsi="Inter"/>
                <w:color w:val="374151"/>
                <w:sz w:val="20"/>
              </w:rPr>
              <w:t>T3 + T4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hAnsi="Inter"/>
          <w:color w:val="374151"/>
          <w:sz w:val="22"/>
        </w:rPr>
        <w:t>Kluczowy insight: specjalizacje z naszego T4 (pulmo, alergo, gastro) są wyceniane przez sprzedaż na typ 2–3 (180–228K/rok). Odblokowanie jednej specjalizacji = 180–228K rocznego przychodu ze ścieżki + kampanie display. Przy koszcie akwizycji jednego lekarza ~50–100 PLN, zwrot z inwestycji w odblokowanie bottleneck specjalizacji jest bardzo wysoki.</w:t>
      </w:r>
    </w:p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2E35FF"/>
          <w:left w:val="single" w:sz="4" w:space="0" w:color="F0F1FF"/>
          <w:bottom w:val="single" w:sz="4" w:space="0" w:color="F0F1FF"/>
          <w:right w:val="single" w:sz="4" w:space="0" w:color="F0F1FF"/>
        </w:tblBorders>
      </w:tblPr>
      <w:tblGrid>
        <w:gridCol w:w="9506"/>
      </w:tblGrid>
      <w:tr>
        <w:tc>
          <w:tcPr>
            <w:tcW w:type="dxa" w:w="9506"/>
            <w:shd w:val="clear" w:color="auto" w:fill="F0F1FF"/>
          </w:tcPr>
          <w:p>
            <w:pPr>
              <w:spacing w:after="80"/>
            </w:pPr>
            <w:r/>
            <w:r>
              <w:rPr>
                <w:rFonts w:ascii="Inter" w:hAnsi="Inter"/>
                <w:b/>
                <w:color w:val="2E35FF"/>
                <w:sz w:val="24"/>
              </w:rPr>
              <w:t>KLUCZOWE WNIOSKI Z ANALIZY BUDŻETU</w:t>
            </w:r>
          </w:p>
          <w:p>
            <w:r>
              <w:rPr>
                <w:rFonts w:ascii="Inter" w:hAnsi="Inter"/>
                <w:color w:val="1A1A2E"/>
                <w:sz w:val="22"/>
              </w:rPr>
              <w:t>1. Ginekologia (3.1M budżetu, 1,098 lekarzy, 13.6% penetracji) to największy gap między potencjałem przychodowym a bazą. Awansuje do T2.</w:t>
              <w:br/>
              <w:t>2. Alergologia (1.5M budżetu, 186 lekarzy, 12.1%) to nowy bottleneck zidentyfikowany przez sprzedaż.</w:t>
              <w:br/>
              <w:t>3. Kardiologia (8.7M) potwierdza się jako #1 specjalizacja pod kątem revenue — każdy dodatkowy kardiolog ma najwyższą wartość jednostkową.</w:t>
              <w:br/>
              <w:t>4. 2026 to rok budowania bazy, która odblokuje przychody sprzedaży w 2027+.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12. Łańcuch wartości: jak SCR napędza całą maszynkę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SCR ↑ </w:t>
      </w:r>
      <w:r>
        <w:rPr>
          <w:rFonts w:ascii="Inter" w:cs="Inter" w:eastAsia="Inter" w:hAnsi="Inter"/>
          <w:sz w:val="22"/>
          <w:szCs w:val="22"/>
        </w:rPr>
        <w:t xml:space="preserve">→ więcej zarejestrowanych lekarzy per specjalizacja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Więcej lekarzy per spec </w:t>
      </w:r>
      <w:r>
        <w:rPr>
          <w:rFonts w:ascii="Inter" w:cs="Inter" w:eastAsia="Inter" w:hAnsi="Inter"/>
          <w:sz w:val="22"/>
          <w:szCs w:val="22"/>
        </w:rPr>
        <w:t xml:space="preserve">→ specjalizacje przekraczają próg sprzedawalności (z 5–6 do 10+)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Więcej sprzedawalnych specjalizacji </w:t>
      </w:r>
      <w:r>
        <w:rPr>
          <w:rFonts w:ascii="Inter" w:cs="Inter" w:eastAsia="Inter" w:hAnsi="Inter"/>
          <w:sz w:val="22"/>
          <w:szCs w:val="22"/>
        </w:rPr>
        <w:t xml:space="preserve">→ więcej kampanii do sprzedania pharma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Więcej kampanii </w:t>
      </w:r>
      <w:r>
        <w:rPr>
          <w:rFonts w:ascii="Inter" w:cs="Inter" w:eastAsia="Inter" w:hAnsi="Inter"/>
          <w:sz w:val="22"/>
          <w:szCs w:val="22"/>
        </w:rPr>
        <w:t xml:space="preserve">→ wyższy Campaign Fulfillment Rate + wyższy revenue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Wyższy revenue </w:t>
      </w:r>
      <w:r>
        <w:rPr>
          <w:rFonts w:ascii="Inter" w:cs="Inter" w:eastAsia="Inter" w:hAnsi="Inter"/>
          <w:sz w:val="22"/>
          <w:szCs w:val="22"/>
        </w:rPr>
        <w:t xml:space="preserve">→ inwestycja w AI Co-Pilot, content, narzędzia per specjalizacja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Lepsze narzędzia </w:t>
      </w:r>
      <w:r>
        <w:rPr>
          <w:rFonts w:ascii="Inter" w:cs="Inter" w:eastAsia="Inter" w:hAnsi="Inter"/>
          <w:sz w:val="22"/>
          <w:szCs w:val="22"/>
        </w:rPr>
        <w:t xml:space="preserve">→ wyższy DAU (Product) + lepsza reputacja = łatwiejsza akwizycja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Flywheel: </w:t>
      </w:r>
      <w:r>
        <w:rPr>
          <w:rFonts w:ascii="Inter" w:cs="Inter" w:eastAsia="Inter" w:hAnsi="Inter"/>
          <w:sz w:val="22"/>
          <w:szCs w:val="22"/>
        </w:rPr>
        <w:t xml:space="preserve">lepszy produkt → wyższy SCR → więcej revenue → jeszcze lepszy produkt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SCR to początek tego koła zamachowego. Bez nowych lekarzy — Product nie ma kogo angażować, sprzedaż nie ma czego sprzedawać, revenue nie rośnie.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Spójność ze strategią 2026–2028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 strategiczny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Jak SCR to wspiera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6x revenue do 60M PLN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Więcej lekarzy per spec = więcej kampanii × więcej specjalizacji × wyższe ceny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16,500 DAU (7-day avg)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Wyższy SCR = większa baza z której Product buduje DAU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Co-Pilot adoption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Więcej lekarzy na platformie = więcej użytkowników AI = lepsze dane treningowe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Ekspansja EU (2027–28)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per rynek = standard mierzenia gotowości nowego rynku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USP: ZWRACAMY CZAS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rośnie gdy lekarze się rejestrują; rejestrują się gdy wierdzą, że narzędzia oszczędzają czas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13. Co Growth robi, żeby SCR rósł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Odpowiedzialności Growth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Obszar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Wpływ na SCR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Akwizycja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hAnsi="Inter"/>
                <w:color w:val="374151"/>
                <w:sz w:val="20"/>
              </w:rPr>
              <w:t>T1: POZ/interniści (40%), T2: kardio/diabeto/ginek (30%), T3: rezydenci+neuro (15%), T4: pulmo/alergo/gastro (15%)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Bezpośredni wzrost licznika SCR per spec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Brand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Budowanie świadomości i jakości percepcji wśród lekarzy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Więcej organicznych rejestracji → SCR ↑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Pierwsze 7 dni — aktywacja, uzupełnienie profilu, first value moment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 zostaje na platformie, nie odpada po rejestracji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Kampanie „uzupełnij profil”, obowiązkowe pola, NIL re-check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wpływa na SCR (rejestracja liczy się bez spec), ale wpływa na targetowalność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Re-engagement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Odzyskiwanie uśpionych lekarzy (email, push, digest)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Uśpiony lekarz JUŻ jest w SCR — reaktywacja poprawia DAU (Product)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Partnerstwa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Współpraca z towarzystwami naukowymi, KOL, konferencje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Dostęp do nowych segmentów lekarzy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Kluczowa obserwacja: re-engagement nie zmienia SCR (lekarz już jest zarejestrowany), ale jest odpowiedzialnością Growth, bo Product nie zajmuje się reaktywacją uśpionych userów. Growth „dostarcza” lekarzy do ekosystemu na dwa sposoby: nowi (akwizycja → SCR) i odzyskani (re-engagement → DAU).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14. Następne kroki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Tydzień 1: Baseline i tracking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Potwierdzić SCR baseline: 44,085 / 130,000 = 33.9%. Query: SELECT count() FROM persons WHERE properties.role = 'doctor'.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Zbudować dashboard w PostHog: SCR total + SCR per specjalizacja (top 15) + trend tygodniowy nowych rejestracji per spec.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Zmierzyć Activation Rate baseline: % nowych lekarzy (registration_role_set, last 30d), którzy mieli event w dniach 1–7 po rejestracji.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Tydzień 2: Data quality sprint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Uruchomić kampanię „uzupełnij profil” do 22,750 lekarzy bez specjalizacji. Cel: zidentyfikować lekarzy POZ (osobne pole w systemie).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Wprowadzić obowiązkowe pole specjalizacji w onboardingu nowych użytkowników.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NIL re-check batch dla rezydentów &gt;2 lata — część mogła ukończyć specjalizację.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Tydzień 3–4: Komunikacja i alignment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Przedstawić ten dokument zespołowi i zarządowi. Jedna metryka, którą Growth owns: SCR.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Ustalenie z Krzysztofem (Product): Growth = SCR (capture), Product = DAU (habit). Companion: Activation Rate.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Zaktualizować dokumenty (CONTEXT-v2, growth-playbook) — spójna definicja wszędzie.</w:t>
      </w:r>
    </w:p>
    <w:p>
      <w:pPr>
        <w:spacing w:after="200"/>
      </w:pP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A1A2E" w:sz="6"/>
              <w:left w:val="single" w:color="1A1A2E" w:sz="2"/>
              <w:bottom w:val="single" w:color="1A1A2E" w:sz="2"/>
              <w:right w:val="single" w:color="1A1A2E" w:sz="2"/>
            </w:tcBorders>
            <w:shd w:fill="F9FA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24"/>
                <w:szCs w:val="24"/>
              </w:rPr>
              <w:t xml:space="preserve">JEDNO ZDANIE DLA ZARZĄDU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Growth mierzy SCR — jaki procent polskich lekarzy jest zarejestrowany w Remedium. Dziś to 33.9% (44 tysiące z 130 tysięcy). 2026 to rok budowania maszyny akwizycyjnej (cel: 37%), 2027 to rok żniw (cel: 42–43%). Każdy punkt procentowy SCR to więcej specjalizacji, które możemy sprzedawać pharma.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6"/>
        <w:szCs w:val="16"/>
      </w:rPr>
      <w:t xml:space="preserve">Strona 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5FF" w:sz="4" w:space="4"/>
      </w:pBdr>
      <w:tabs>
        <w:tab w:val="right" w:pos="9026"/>
      </w:tabs>
    </w:pPr>
    <w:r>
      <w:rPr>
        <w:rFonts w:ascii="Inter" w:cs="Inter" w:eastAsia="Inter" w:hAnsi="Inter"/>
        <w:b/>
        <w:bCs/>
        <w:color w:val="2E35FF"/>
        <w:sz w:val="16"/>
        <w:szCs w:val="16"/>
      </w:rPr>
      <w:t xml:space="preserve">REMEDIUM GROWTH</w:t>
    </w:r>
    <w:r>
      <w:rPr>
        <w:rFonts w:ascii="Inter" w:cs="Inter" w:eastAsia="Inter" w:hAnsi="Inter"/>
        <w:color w:val="6B7280"/>
        <w:sz w:val="16"/>
        <w:szCs w:val="16"/>
      </w:rPr>
      <w:t xml:space="preserve">	North Star — SCR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2E35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2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2026-03-21T13:12:27.115Z</dcterms:created>
  <dcterms:modified xsi:type="dcterms:W3CDTF">2026-03-21T13:12:27.115Z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