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2E35FF"/>
          <w:sz w:val="48"/>
          <w:szCs w:val="48"/>
        </w:rPr>
        <w:t xml:space="preserve">NORTH STAR METRYKA GROWTH</w:t>
      </w:r>
    </w:p>
    <w:p>
      <w:pPr>
        <w:spacing w:after="200"/>
        <w:jc w:val="center"/>
      </w:pPr>
      <w:r>
        <w:rPr>
          <w:rFonts w:ascii="Inter" w:cs="Inter" w:eastAsia="Inter" w:hAnsi="Inter"/>
          <w:color w:val="1A1A2E"/>
          <w:sz w:val="36"/>
          <w:szCs w:val="36"/>
        </w:rPr>
        <w:t xml:space="preserve">SCR — Specialty Coverage Rate</w:t>
      </w:r>
    </w:p>
    <w:p>
      <w:pPr>
        <w:spacing w:after="100"/>
        <w:jc w:val="center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Penetracja rynku lekarzy jako metryka odpowiedzialności Growth</w:t>
      </w:r>
    </w:p>
    <w:p>
      <w:pPr>
        <w:spacing w:after="4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Remedium.md | Marzec 2026</w:t>
      </w:r>
    </w:p>
    <w:p>
      <w:pPr>
        <w:jc w:val="center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Przygotowane dla: Sebastian Scencyk, VP Growth &amp; Board Member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1. Problem: trzy metryki, zero konsensusu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 dokumentacji Remedium Growth funkcjonowały trzy różne kandydatury na North Star. Każda mierzyła co innego, a ich współistnienie powodowało rozmycie odpowiedzialności: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kampanii z dowiezionym KPI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Lagging indicator. Zależy od sprzedaży, nie tylko growth.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(Targetable MAU)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Aktywni lekarze ze znaną specjalizacją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Zawiera aktywność (MAU) — wchodzi w konflikt z DAU (Product). Dwa zespoły mierzą to samo.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(Specialty Coverage Rate)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per segment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Statyczna? Tylko jeśli źle zdefiniowana. W rzeczywistości: najczystsza miara tego, za co Growth odpowiada.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Ten dokument rozstrzyga kwestię definitywnie. Poniżej: analiza, dlaczego SCR wygrywa, jak mierzyć, i jak oddziela Growth od Product.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2. Dlaczego tMAU odpada: konflikt z Product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tMAU był definiowany jako: lekarze ze znaną specjalizacją, aktywni w ostatnich 30 dniach. Formuła: Baza × % ze specjalizacją × MAU rate. Problem tkwi w trzecim mnożniku: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MAU rate to miara aktywności.</w:t>
      </w:r>
      <w:r>
        <w:rPr>
          <w:rFonts w:ascii="Inter" w:cs="Inter" w:eastAsia="Inter" w:hAnsi="Inter"/>
          <w:sz w:val="22"/>
          <w:szCs w:val="22"/>
        </w:rPr>
        <w:t xml:space="preserve"> Product (Krzysztof) odpowiada za DAU — 7-dniową średnią aktywnych lekarzy. DAU i MAU rate mierzą tę samą rzecz w innym oknie czasowym.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Jeśli Growth odpowiada za MAU rate,</w:t>
      </w:r>
      <w:r>
        <w:rPr>
          <w:rFonts w:ascii="Inter" w:cs="Inter" w:eastAsia="Inter" w:hAnsi="Inter"/>
          <w:sz w:val="22"/>
          <w:szCs w:val="22"/>
        </w:rPr>
        <w:t xml:space="preserve"> a Product za DAU, to dwa zespoły mierzą ten sam behavior i odpowiadają za te same działania (engagement, content, retencja).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Gdy MAU rate spada,</w:t>
      </w:r>
      <w:r>
        <w:rPr>
          <w:rFonts w:ascii="Inter" w:cs="Inter" w:eastAsia="Inter" w:hAnsi="Inter"/>
          <w:sz w:val="22"/>
          <w:szCs w:val="22"/>
        </w:rPr>
        <w:t xml:space="preserve"> kto jest odpowiedzialny? Growth czy Product? Jeśli nie można jednoznacznie przypisać — metryka jest zła.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Logika wewnętrzna naszej organizacji wymaga czystego podziału: Growth dostarcza lekarzy do platformy. Product sprawia, że zostają i wracają. Tych dwóch mandatów nie można mierzyć jedną metryką.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DC2626" w:sz="6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DC2626"/>
                <w:sz w:val="24"/>
                <w:szCs w:val="24"/>
              </w:rPr>
              <w:t xml:space="preserve">WNIOSEK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Metryka Growth nie może zawierać komponentu aktywności (MAU/DAU). Aktywność = Product. Growth = penetracja rynku.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3. Kontekst rynkowy: jak mierzą to inni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Remedium działa w modelu B2B2C — darmowa platforma dla lekarzy, monetyzacja z kampanii pharma. Na rynku istnieją wyraźne wzorce: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Platforma HCP z ad-supported model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600"/>
        <w:gridCol w:w="2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Growth metric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metric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Wniosek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Doximity (USA)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Registered verified physicians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/ engagement depth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Rozdzielają capture od habit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DocCheck (DE)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Registered Prescribers (verified)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Active Prescribers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jest miarą growth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Medscape (global)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HCP registrations per specialty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Specialty-qualified PV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Capture per segment = growth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Sermo (global)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Verified physicians per market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Active Respondents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per rynek, aktywność osobno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35FF" w:sz="6"/>
              <w:left w:val="single" w:color="F0F1FF" w:sz="1"/>
              <w:bottom w:val="single" w:color="F0F1FF" w:sz="1"/>
              <w:right w:val="single" w:color="F0F1FF" w:sz="1"/>
            </w:tcBorders>
            <w:shd w:fill="F0F1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2E35FF"/>
                <w:sz w:val="24"/>
                <w:szCs w:val="24"/>
              </w:rPr>
              <w:t xml:space="preserve">PATTERN RYNKOWY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Growth teams na platformach HCP mierzą penetrację rynku (ile % lekarzy jest na platformie), nie aktywność. Aktywność to odpowiedzialność Product. Rozdzielenie jest standardem branżowym.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4. Decyzja: SCR to North Star Growth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59669" w:sz="6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059669"/>
                <w:sz w:val="30"/>
                <w:szCs w:val="30"/>
              </w:rPr>
              <w:t xml:space="preserve">SCR = Specialty Coverage Rate</w:t>
            </w:r>
          </w:p>
          <w:p>
            <w:pPr>
              <w:spacing w:after="200"/>
              <w:jc w:val="center"/>
            </w:pPr>
            <w:r>
              <w:rPr>
                <w:rFonts w:ascii="Inter" w:cs="Inter" w:eastAsia="Inter" w:hAnsi="Inter"/>
                <w:color w:val="065F46"/>
                <w:sz w:val="24"/>
                <w:szCs w:val="24"/>
              </w:rPr>
              <w:t xml:space="preserve">Jaki procent adresowalnego rynku lekarzy jest zarejestrowany w Remedium?</w:t>
            </w:r>
          </w:p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color w:val="6B7280"/>
                <w:sz w:val="22"/>
                <w:szCs w:val="22"/>
              </w:rPr>
              <w:t xml:space="preserve">Formuła: </w:t>
            </w: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SCR = Zarejestrowani lekarze w Remedium / Adresowalny rynek (NIL)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7280"/>
                <w:sz w:val="22"/>
                <w:szCs w:val="22"/>
              </w:rPr>
              <w:t xml:space="preserve">Baseline (marzec 2026): </w:t>
            </w:r>
            <w:r>
              <w:rPr>
                <w:rFonts w:ascii="Inter" w:cs="Inter" w:eastAsia="Inter" w:hAnsi="Inter"/>
                <w:b/>
                <w:bCs/>
                <w:color w:val="059669"/>
                <w:sz w:val="28"/>
                <w:szCs w:val="28"/>
              </w:rPr>
              <w:t xml:space="preserve">44,085 / 130,000 = 33.9%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SCR?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tMAU (odrzucony)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Growth kontroluje?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akwizycja, brand, onboarding, re-engagement, data quality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Częściowo — MAU rate zależy też od Product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Konflikt z Product?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— żadna aktywność, zero overlap z DAU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MAU rate ≈ DAU w innym oknie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reaguje na brand?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wyższa świadomość = więcej rejestracji = wyższy SCR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BEZPOŚREDNIO — brand nie wpływa na MAU rate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dekomponowalny?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per specjalizacja, per status, per region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ale mnożnik C pokrywa się z Product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Częstotliwość pomiaru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Tygodniowo (PostHog vs NIL snapshot)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Tygodniowo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prowadzi do revenue?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więcej lekarzy per spec = więcej kampanii można sprzedać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ale ta sama logika minus konflikt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5. Definicja SCR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Mianownik: adresowalny rynek = ~130,000 lekarzy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Mianownik SCR oparty jest o dane NIL CRL RP (31.12.2025). Z populacji 164,892 lekarzy wykonujących zawód wykluczamy: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3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Operacja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wykonujący zawód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164,892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Baza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Stażyści (PWZ 12)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6,016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Minus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7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Niekliniczni (patologia, lab, ZP, higiena itd.)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~5,600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Minus (est.)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71+ wykonujący zawód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24,595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Minus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Zestawienie nr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ADRESOWALNY RYNEK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~128,700 ≈ 130,000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=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Przyjęty mianownik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Dlaczego te wykluczenia: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Stażyści (PWZ 12): </w:t>
      </w:r>
      <w:r>
        <w:rPr>
          <w:rFonts w:ascii="Inter" w:cs="Inter" w:eastAsia="Inter" w:hAnsi="Inter"/>
          <w:sz w:val="22"/>
          <w:szCs w:val="22"/>
        </w:rPr>
        <w:t xml:space="preserve">są w PostHog jako intern (4,655), ale nie są jeszcze samodzielnymi lekarzami. NIL kwalifikuje ich jako PWZ tymczasowe.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Niekliniczni: </w:t>
      </w:r>
      <w:r>
        <w:rPr>
          <w:rFonts w:ascii="Inter" w:cs="Inter" w:eastAsia="Inter" w:hAnsi="Inter"/>
          <w:sz w:val="22"/>
          <w:szCs w:val="22"/>
        </w:rPr>
        <w:t xml:space="preserve">patologia, laboratorium, zdrowie publiczne, higiena — nie pracują z pacjentami, nie wypisują recept. Nie są targetem pharma.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71+: </w:t>
      </w:r>
      <w:r>
        <w:rPr>
          <w:rFonts w:ascii="Inter" w:cs="Inter" w:eastAsia="Inter" w:hAnsi="Inter"/>
          <w:sz w:val="22"/>
          <w:szCs w:val="22"/>
        </w:rPr>
        <w:t xml:space="preserve">24,595 lekarzy według NIL, ale w Remedium jest ich tylko 475 (1.9% populacji). Marginalny udział, nie są digital-first.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Licznik: zarejestrowani lekarze w Remedium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Wszyscy lekarze z role=doctor w PostHog: 44,085. Bez filtra aktywności, bez filtra specjalizacji. Każdy zarejestrowany lekarz (zweryfikowany przez NIL przy rejestracji) liczy się do SCR.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BEZ filtra specjalizacji w SCR?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Lekarze „bez specjalizacji” to często lekarze POZ — pracujący w przychodniach, wypisujący recepty. 87% kampanii pharma to tier ALL/POZ. Ci lekarze są dla nas niezwykle wartoscściowi i monetyzowalni. Wykluczanie ich z North Star byłoby błędem.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BEZ filtra aktywności?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Aktywność to odpowiedzialność Product (DAU). Growth odpowiada za to, czy lekarz jest na platformie — nie za to, czy wraca codziennie. Re-engagement uśpionych użytkowników też leży w gestii Growth, ale mierzy się go przez Activation Rate, nie przez filtrowanie North Star.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6. Dekompozycja: SCR per segment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SCR można dekomponować na dowolny segment — per specjalizacja, per status, per region. To jest siła tej metryki: widzisz dokładnie, gdzie masz penetrację i gdzie są luki.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SCR per status lekarza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38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 lekarza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PostHog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bazy Remedium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 specjalizacji (POZ/ogólni)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18,791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42.6%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Wielu to lekarze POZ — kluczowy segment pharma (87% kampanii)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11,282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25.6%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 potwierdzoną specjalizacją — pełna targetowalność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8,832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20.0%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 trakcie specjalizacji — przyszli specjaliści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Stażysta (intern)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4,655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10.6%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w adresowalnym rynku (130K) ale w PostHog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Brak danych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1.2%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 oczyszczenia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SCR per specjalizacja (top 10 luk)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Pełne dane per specjalizacja w załączniku Excel (Remedium-NIL-vs-PostHog.xlsx). Poniżej najważniejsze:</w:t>
      </w:r>
    </w:p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900"/>
        <w:gridCol w:w="1100"/>
        <w:gridCol w:w="1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Specjalizacja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NIL (wyk. zaw.)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Luka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Choroby wewnętrzne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29,122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4,085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14.0%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25,037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ALL/POZ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Pediatria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15,438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2,767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17.9%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12,671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ALL/POZ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Medycyna rodzinna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12,283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3,823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31.1%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8,460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ALL/POZ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Położnictwo i ginekologia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8,049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1,098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13.6%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6,951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Okulistyka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4,996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8.8%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4,556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Ortopedia i traumatologia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4,720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603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12.8%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4,117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Kardiologia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5,579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1,201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4,378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Anestezjologia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7,576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1,249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16.5%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6,327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Chirurgia ogólna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8,830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1,453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16.5%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7,377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Neurologia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4,628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897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19.4%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3,731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Duża spec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Każda specjalizacja o SCR poniżej 20% to okazja akwizycyjna. Każda specjalizacja powyżej progu sprzedawalności to nowa linia przychodowa.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7. Hierarchia metryk: podział Growth vs Product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65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Growth (Sebastian)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(Krzysztof)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North Star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(penetracja rynku)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(7-day avg)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 mierzy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Jaki % rynku jest na platformie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Ile lekarzy korzysta codziennie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Zakres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Akwizycja, onboarding, re-engagement, brand, data quality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Feature development, retencja, engagement depth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Zawiera aktywność?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 rosną razem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Wyższy SCR = więcej userów do Product</w:t>
            </w:r>
          </w:p>
        </w:tc>
        <w:tc>
          <w:tcPr>
            <w:tcW w:type="dxa" w:w="3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Wyższy DAU = lepsza reputacja = łatwiejsza akwizycja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Companion Metric: Activation Rate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Activation Rate = % nowo zarejestrowanych lekarzy, którzy wracają w ciągu 7 dni po rejestracji. To wspólny KPI na styku Growth i Product — Growth dostarcza lekarza, Product sprawia, że chce wrócić. Jeśli Activation Rate spada, obie strony muszą działać.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Pętla reaktywacji (Growth)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Growth odpowiada też za odzyskiwanie uśpionych użytkowników — lekarzy, którzy się zarejestrowali ale wypadli z aktywności. To nie jest sprzeczne z brakiem aktywności w SCR: SCR mierzy zasobów (ilu mamy), a reaktywacja to działanie operacyjne. Wracający lekarz poprawia DAU (Product), ale był już w SCR.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Health Indicators (miesięcznie)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3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Baseline → Cel 12msc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ogółem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 → 37% (2026) → 42–43% (2027)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specjalizacja (top 15)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per segment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Zróżnicowane per spec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z uzupełnioną specjalizacją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 → 70%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Activation Rate (7d)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Jakość onboardingu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 + Product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 zmierzenia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Monetyzacja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Sprzedaż + 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~85% → 95%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Specjalizacje sprzedawalne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Revenue capacity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 + Sprzedaż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5–6 → 10+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(7-day avg)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Codzienna aktywność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~3,200 → cel strategiczny: 16,500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Diagnostyczne (tygodniowo, ad hoc)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Kiedy drill-down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specjalizacja (top 15)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Zawsze — główny widok tygodniowy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Nowe rejestracje per specjalizacja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Zawsze — czy akwizycja w bottleneck specjalizacjach działa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Activation Rate spada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rezydentów z deklaracją specjalizacji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data quality stoi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re-check yield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 każdym batchu re-weryfikacji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Re-engagement campaign conversion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 ocenie kampanii reaktywacyjnych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8. Aktualne dane z PostHog (marzec 2026)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Baza lekarzy (role=doctor)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Źródło prawdy: PostHog (backoffice 54,071 zawiera martwe konta sprzed integracji)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Adresowalny rynek (NIL)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~130,000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164,892 minus stażyści, niekliniczni, 71+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 / 130,000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doctors (30d)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20,627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aktywni w ostatnich 30 dniach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doctors (dzień roboczy)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3,000–3,500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Sobota/niedziela: ~1,500–1,700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ze specjalizacją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 (21,335)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Potwierdzona + otwarta + sugerowana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BEZ specjalizacji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51.6% (22,750)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Wielu to lekarze POZ — wartoscściowi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Statusy lekarzy w PostHog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 (wartość EN w PostHog)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lekarzy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without_specialization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18,791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42.6%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specialist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11,282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25.6%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resident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8,832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intern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4,655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10.6%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brak/inny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1.2%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Typy specjalizacji w bazie</w:t>
      </w:r>
    </w:p>
    <w:p>
      <w:pPr>
        <w:spacing w:after="20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12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 specjalizacji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Pole w PostHog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 lekarzy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bazy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Potwierdzona (z NIL)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Otwarta (deklaratywna)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open_specialization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9,484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Sugerowana (system)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suggestedSpecializations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3.4%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Jakiekolwiek pole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 na 3 polach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21,335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Brak specjalizacji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22,750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51.6%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Dane zweryfikowane bezpośrednio w PostHog (HogQL). Pełne porównanie z NIL per specjalizacja dostępne w pliku Remedium-NIL-vs-PostHog.xlsx.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9. Dynamika rejestracji: analiza historyczna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Zanim wyznaczymy cele, musimy zrozumieć w jakim tempie baza lekarzy rosła historycznie. Poniższe dane pochodzą z PostHog (persons created_at + registration_role_set, marzec 2026).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Kwartalne tempo rejestracji nowych lekarzy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7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Kwartał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Nowi lekarze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Śr. miesięczna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Zmiana r/r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2,202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734/msc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 (początek trackingu)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1,957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652/msc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1,939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646/msc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1,371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457/msc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1,463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488/msc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-34% vs Q3 2024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1,180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393/msc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-40% vs Q4 2024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~270/msc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-58% vs Q1 2025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Trend jest jednoznacznie spadkowy. Rejestracje w Q1 2026 są o 58% niższe niż rok wcześniej. To nie jest sezonowość — to strukturalna deceleracja organicznego lejka.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Kto się rejestruje — rozkład per status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900"/>
        <w:gridCol w:w="47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Q3 2024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Spadek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Diagnoza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652/kw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370/kw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-43%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Najwolniejszy spadek — jedyny segment, który jeszcze przychodzi sam (content, narzędzia)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bez spec.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1,107/kw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277/kw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-75%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Główny driver spadku. Nie trafiają na platformę organicznie — potrzebują kampanii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211/kw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86/kw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-59%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Mały segment, stabilizuje się (Q4 2025: 76, Q1 2026: 86)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221/kw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11/kw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-95%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Rynek WYCZERPANY — mamy 4,655 z 6,016 (77% penetracji)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Diagnoza: trzy przyczyny spadku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A) Naturalna deceleracja rynku skończonego.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Mamy 34% penetracji (44K z 130K). Pierwszych 34% to lekarze, którzy sami nas znaleźli — przez kolegów, Google, content. Ci się skończyli. Pozostałe 66% (86 tys. lekarzy) to ludzie, którzy o nas nie słyszeli, nie szukają nowych narzędzi albo są lojalni wobec mp.pl i innych platform. Ich trzeba aktywnie pozyskiwać.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B) Segment POZ/bez specjalizacji wymaga kampanii, nie organiki.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Ci lekarze nie szukają narzędzi klinicznych (pracują inaczej niż specjaliści). Nie trafiają na platformę przez content specjalistyczny. Potrzebują innej ścieżki: partnerstwa z sieciami przychodni, kampanie w środowisku POZ, polecenia.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C) Brak aktywnej akwizycji bottleneck specjalizacji.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Gastroenterologów, nefrologów, reumatologów jest po 1,000–2,500 w całym kraju. Zbyt mało, żeby organika działała. Bez targetowanych kampanii (content, webinary, KOL, konferencje) ten segment nie urośnie.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D97706" w:sz="6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D97706"/>
                <w:sz w:val="24"/>
                <w:szCs w:val="24"/>
              </w:rPr>
              <w:t xml:space="preserve">KLUCZOWY WNIOSEK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Spadek rejestracji to nie porażka — to naturalny koniec fazy organicznego wzrostu. Każda platforma w skończonym rynku przechodzi przez ten punkt. Pytanie brzmi: czy przechodzimy do fazy aktywnej akwizycji, czy akceptujemy plateau.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Sezonowość (z danych tygodniowych)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Rejestracje mają jasny cykl roczny: pik we wrześniu (nowy rok akademicki, rezydenci rozpoczynają specjalizacje), spadek w grudniu (przerwa świąteczna). Różnica między najsilniejszym a najsłabszym miesiącem to 2–3x. Cele kwartalne uwzględniają tę sezonowość.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10. Scenariusze i cele 2026–2027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Na podstawie analizy historycznej definiujemy dwa scenariusze: FLOOR (minimum akceptowalne) i TARGET (ambicja). Każda liczba ma uzasadnienie w danych.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Scenariusz FLOOR: Stabilizacja (~500/msc)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Logika: wracamy do poziomu 2025 roku (500/msc). Nie wynajdujemy nic nowego — robimy to, czego brakowało: aktywnna akwizycja zamiast czekania na organikę.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56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Teraz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Skąd wzrost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~125/msc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Content magnets per bottleneck spec (webinary, kalkulatory, vademecum). +55/msc = ~2 webinary/msc z KOL per spec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bez spec.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~90/msc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Kampanie email do baz POZ, 1 partnerstwo z siecią przychodni (Enel-Med, Medicover, LuxMed). +110/msc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Partnerstwo z CMKP, obecność na targach rezydenckich. SEO na „przygotowanie PES”. +50/msc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Stażyści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Marginalny — organika z uczelni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Polecenia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Program lekarz-lekarz. 20K MAU × 0.15% = 30/msc. Konserwatywne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~250–300/msc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Powrót do udowodnionego poziomu 2025</w:t>
            </w:r>
          </w:p>
        </w:tc>
      </w:tr>
    </w:tbl>
    <w:p>
      <w:pPr>
        <w:spacing w:after="20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1200"/>
        <w:gridCol w:w="1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Kwartał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Nowi /kw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 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Baza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2026 (fakt)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~270 (organika)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1,050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300→350→400 (ramp-up)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45,135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34.7%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1,650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500→550→600 (pik wrześnień)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46,785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36.0%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1,350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500→450→400 (sezon grudzień)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48,135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2026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4,860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~48,100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37.0%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1,400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450→470→480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49,535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38.1%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500→520→530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51,085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39.3%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1,800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550→600→650 (pik)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52,885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530→500→470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54,385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41.8%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2027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6,250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~54,400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41.8%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Argument za Sc. FLOOR: 500/msc to UDOWODNIONY run-rate z 2025. Spadek do 270/msc w Q1 2026 wynika z braku aktywnych kampanii, nie z wyczerpania rynku (mamy dopiero 34% penetracji). Wystarczy zastąpić organikę aktywnymi kampaniami, żeby wrócić do tego poziomu.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Scenariusz TARGET: Przyspieszenie (~700/msc od Q3 2026)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Logika: wszystko ze Sc. FLOOR + kanały instytucjonalne (towarzystwa naukowe, konferencje, brand).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56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Sc. FLOOR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Sc. TARGET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dodajemy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Partnerstwa z towarzystwami (PTK, PTE, PTG). 2 partnerstwa/kw × 35 rejestracji = +70/msc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bez spec.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280/msc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Kampania brandowa w mediach medycznych (Puls Medycyny, Medycyna Praktyczna). +80/msc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Program ambasadorów na 14 uczelniach medycznych. +20/msc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Polecenia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Gamifikacja poleceń (leaderboard, nagrody). Z 0.15% do 0.25% MAU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Re-engagement → reg.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Recovery niedokończonych rejestracji (registration bez role_set). 5–10% recovery rate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~500/msc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~700/msc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+40% vs FLOOR</w:t>
            </w:r>
          </w:p>
        </w:tc>
      </w:tr>
    </w:tbl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1200"/>
        <w:gridCol w:w="1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Kwartał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Nowi /kw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 /msc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Baza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2026 (fakt)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~270 (organika)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33.9%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1,150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320→380→450 (ramp-up)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45,235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34.8%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600→700→800 (pik + partnerstwa)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47,335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36.4%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1,700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650→550→500 (sezon grudzień)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49,035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2026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5,760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~49,000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Q1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1,800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550→600→650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50,835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39.1%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Q2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650→700→750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52,935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Q3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2,550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750→850→950 (pik)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55,485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42.7%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Q4 2027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2,100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750→700→650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57,585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44.3%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2027 RAZEM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8,550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~57,600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44.3%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Argument za Sc. TARGET: różnica między FLOOR a TARGET to ~200 lekarzy/msc. To kwota, którą daje jedno partnerstwo z dużym towarzystwem naukowym plus jedna kampania brandowa w mediach medycznych na kwartał. Wymaga inwestycji, ale zwrot jest jasny: każda nowa sprzedawalna specjalizacja to 800–8,000 PLN per kampania × kilkadziesiąt kampanii rocznie.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Porównanie scenariuszy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0"/>
        <w:gridCol w:w="325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koniec 2026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37.0% (~48K)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37.7% (~49K)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koniec 2027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41.8% (~54K)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44.3% (~58K)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Nowi lekarze 2026+2027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~11,100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~14,300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Wymagane tempo (cruising)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500/msc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700/msc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Kluczowa inwestycja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Kampanie akwizycyjne, partnerstwa POZ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 FLOOR + brand, towarzystwa naukowe, KOL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Sprzedawalne specjalizacje (est.)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8–9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10–12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Pomiar: częstotliwość i odpowiedzialność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Częstotliwość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Dlaczego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total (%)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Kwartalnie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Zmienia się wolno (~1–2 pp/kwartał max). Weryfikacja vs cel.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Nowe rejestracje lekarzy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Operacyjna — feedback loop na kampanie. Czy jesteśmy na ścieżce FLOOR czy TARGET?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Rejestracje per 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Widoczność który segment rośnie / umiera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Rejestracje per specjalizacja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Kontrola bottleneck specjalizacji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specjalizacja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Kwartalnie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Readiness kampanii pharma per segment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Activation Rate (7d)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Jakość onboardingu — companion metric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11. Priorytety akwizycyjne vs budżet sprzedaży 2026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Zderzenie danych o bazie lekarzy (PostHog) z planowanym budżetem sprzedaży (dokument budżetowy 2026) pozwala wskazać, które specjalizacje powinny być priorytetem akwizycji — bo mają jednocześnie duży potencjał przychodowy I niedostateczną bazę lekarzy.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Budżet sprzedaży 2026 — top obszary terapeutyczne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Plan 100% na 2026 to ok. 41.4M PLN. Poniżej rozbicie na główne obszary terapeutyczne (agregacja z arkusza budżetowego):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1000"/>
        <w:gridCol w:w="900"/>
        <w:gridCol w:w="33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Obszar terapeutyczny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Budżet 2026 (100%)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Udział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Remedium (baza)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 spec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Kardiologia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~8.7M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1,201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T2 — kluczowy revenue driver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Diabetologia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~3.2M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337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19.7%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T2 — niska baza vs budżet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Pediatria / szczepienia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~3.1M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2,767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17.9%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T1 (via POZ)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Ginekologia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~3.1M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1,098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13.6%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T2 — NOWE: duży budżet, niska penetracja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Psychiatria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~2.8M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1,318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27.3%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OK — dobra baza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Infekcje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~2.6M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T1 (via POZ, szeroka grupa)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Gastroenterologia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~2.1M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208*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18.4%*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T4 — bottleneck: 208 lekarzy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Pulmonologia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~1.8M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360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12.6%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T4 — bottleneck + feedback sprzedaży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Neurologia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~1.7M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897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19.4%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T3 — solidna baza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Alergologia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~1.5M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12.1%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T4 — bardzo niska baza vs budżet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Dermatologia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~1.1M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344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12.9%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 obserwacji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Onkologia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~0.9M PLN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529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42.1%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OK — dobra penetracja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* Gastroenterologia: 208 lekarzy to za mało na kampanie specjalizacyjne (próg ~1,200 NIL). Budżet 2.1M wskazuje, że sprzedaż traktuje gastro jako ALL/POZ, nie jako kampanie specjalistyczne. Odblokowanie gastro jako segmentu = nowa linia przychodowa.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Zrewidowane priorytety akwizycji (T1–T4)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Na podstawie zderzenia danych PostHog z budżetem sprzedaży 2026 redefiniujemy priorytety akwizycji. Zmiana vs. pierwotna wersja: ginekologia awansuje do T2, alergologia wchodzi do T4.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900"/>
        <w:gridCol w:w="2000"/>
        <w:gridCol w:w="41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Alokacja wysiłku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Budżet sprzedaży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POZ / interniści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~14M+ PLN (infekcje, pediatria, szczepienia, diabeto via POZ)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Każda kampania ALL/POZ wymaga tej bazy. 87% kampanii 2024 = ALL/POZ. Lekarze POZ obsługują jednocześnie wiele obszarów terapeutycznych.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Kardio / diabeto / ginek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~15M PLN (łącznie 3 obszary)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Kardiologia: 8.7M budżetu = najważniejszy segment. Diabetologia: 3.2M, szybko rosnący (Ozempic, Mounjaro). Ginekologia: 3.1M budżetu, ale tylko 1,098 lekarek (13.6% penetracji) — najważniejszy gap.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 + neurologia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~1.7M PLN (neuro)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Rezydenci budują przyszłą bazę specjalistów. Neurologia ma solidną bazę (897) i 1.7M budżetu — wymaga utrzymania, nie ratunku.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Pulmo / alergo / gastro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~5.4M PLN (łącznie 3 obszary)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Bottleneck specjalizacje: pulmo (360), alergo (186), gastro (208). Każda odblokowana spec = nowa linia przychodowa. Sprzedaż wprost sygnalizuje zapotrzebowanie na pulmo i alergo.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Wycena ścieżek edukacyjnych per tier specjalizacji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Dokument budżetowy definiuje 3 typy ścieżek edukacyjnych wg atrakcyjności specjalizacji: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00"/>
        <w:gridCol w:w="23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Cena roczna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Specjalizacje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Nasz tier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Typ 1 (premium)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300K PLN / rok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kardio, diabeto, onko, infekcje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T1 + T2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Typ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228K PLN / rok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pulmo, alergo, pain, ginek, pediatria, szczepienia, psychiatria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T1–T4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Typ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180K PLN / rok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gastro, derma, reuma, osteo, żywienie, neuro, endokryno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T3 + T4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Kluczowy insight: specjalizacje z naszego T4 (pulmo, alergo, gastro) są wyceniane przez sprzedaż na typ 2–3 (180–228K/rok). Odblokowanie jednej specjalizacji = 180–228K rocznego przychodu ze ścieżki + kampanie display. Przy koszcie akwizycji jednego lekarza ~50–100 PLN, zwrot z inwestycji w odblokowanie bottleneck specjalizacji jest bardzo wysoki.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35FF" w:sz="6"/>
              <w:left w:val="single" w:color="F0F1FF" w:sz="1"/>
              <w:bottom w:val="single" w:color="F0F1FF" w:sz="1"/>
              <w:right w:val="single" w:color="F0F1FF" w:sz="1"/>
            </w:tcBorders>
            <w:shd w:fill="F0F1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2E35FF"/>
                <w:sz w:val="24"/>
                <w:szCs w:val="24"/>
              </w:rPr>
              <w:t xml:space="preserve">KLUCZOWE WNIOSKI Z ANALIZY BUDŻETU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1. Ginekologia (3.1M budżetu, 1,098 lekarzy, 13.6% penetracji) to największy gap między potencjałem przychodowym a bazą. Awansuje do T2.
2. Alergologia (1.5M budżetu, 186 lekarzy, 12.1%) to nowy bottleneck zidentyfikowany przez sprzedaż.
3. Kardiologia (8.7M) potwierdza się jako #1 specjalizacja pod kątem revenue — każdy dodatkowy kardiolog ma najwyższą wartość jednostkową.
4. 2026 to rok budowania bazy, która odblokuje przychody sprzedaży w 2027+.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12. Łańcuch wartości: jak SCR napędza całą maszynkę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SCR ↑ </w:t>
      </w:r>
      <w:r>
        <w:rPr>
          <w:rFonts w:ascii="Inter" w:cs="Inter" w:eastAsia="Inter" w:hAnsi="Inter"/>
          <w:sz w:val="22"/>
          <w:szCs w:val="22"/>
        </w:rPr>
        <w:t xml:space="preserve">→ więcej zarejestrowanych lekarzy per specjalizacja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lekarzy per spec </w:t>
      </w:r>
      <w:r>
        <w:rPr>
          <w:rFonts w:ascii="Inter" w:cs="Inter" w:eastAsia="Inter" w:hAnsi="Inter"/>
          <w:sz w:val="22"/>
          <w:szCs w:val="22"/>
        </w:rPr>
        <w:t xml:space="preserve">→ specjalizacje przekraczają próg sprzedawalności (z 5–6 do 10+)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sprzedawalnych specjalizacji </w:t>
      </w:r>
      <w:r>
        <w:rPr>
          <w:rFonts w:ascii="Inter" w:cs="Inter" w:eastAsia="Inter" w:hAnsi="Inter"/>
          <w:sz w:val="22"/>
          <w:szCs w:val="22"/>
        </w:rPr>
        <w:t xml:space="preserve">→ więcej kampanii do sprzedania pharma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kampanii </w:t>
      </w:r>
      <w:r>
        <w:rPr>
          <w:rFonts w:ascii="Inter" w:cs="Inter" w:eastAsia="Inter" w:hAnsi="Inter"/>
          <w:sz w:val="22"/>
          <w:szCs w:val="22"/>
        </w:rPr>
        <w:t xml:space="preserve">→ wyższy Campaign Fulfillment Rate + wyższy revenue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Wyższy revenue </w:t>
      </w:r>
      <w:r>
        <w:rPr>
          <w:rFonts w:ascii="Inter" w:cs="Inter" w:eastAsia="Inter" w:hAnsi="Inter"/>
          <w:sz w:val="22"/>
          <w:szCs w:val="22"/>
        </w:rPr>
        <w:t xml:space="preserve">→ inwestycja w AI Co-Pilot, content, narzędzia per specjalizacja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Lepsze narzędzia </w:t>
      </w:r>
      <w:r>
        <w:rPr>
          <w:rFonts w:ascii="Inter" w:cs="Inter" w:eastAsia="Inter" w:hAnsi="Inter"/>
          <w:sz w:val="22"/>
          <w:szCs w:val="22"/>
        </w:rPr>
        <w:t xml:space="preserve">→ wyższy DAU (Product) + lepsza reputacja = łatwiejsza akwizycja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Flywheel: </w:t>
      </w:r>
      <w:r>
        <w:rPr>
          <w:rFonts w:ascii="Inter" w:cs="Inter" w:eastAsia="Inter" w:hAnsi="Inter"/>
          <w:sz w:val="22"/>
          <w:szCs w:val="22"/>
        </w:rPr>
        <w:t xml:space="preserve">lepszy produkt → wyższy SCR → więcej revenue → jeszcze lepszy produkt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SCR to początek tego koła zamachowego. Bez nowych lekarzy — Product nie ma kogo angażować, sprzedaż nie ma czego sprzedawać, revenue nie rośnie.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Spójność ze strategią 2026–2028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strategiczny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Jak SCR to wspiera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6x revenue do 60M PLN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lekarzy per spec = więcej kampanii × więcej specjalizacji × wyższe ceny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16,500 DAU (7-day avg)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Wyższy SCR = większa baza z której Product buduje DAU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Co-Pilot adoption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lekarzy na platformie = więcej użytkowników AI = lepsze dane treningowe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Ekspansja EU (2027–28)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per rynek = standard mierzenia gotowości nowego rynku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USP: ZWRACAMY CZAS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rośnie gdy lekarze się rejestrują; rejestrują się gdy wierdzą, że narzędzia oszczędzają czas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13. Co Growth robi, żeby SCR rósł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Odpowiedzialności Growth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Obszar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Wpływ na SCR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T1: POZ/interniści (40%), T2: kardio/diabeto/ginek (30%), T3: rezydenci+neuro (15%), T4: pulmo/alergo/gastro (15%)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Bezpośredni wzrost licznika SCR per spec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Brand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Budowanie świadomości i jakości percepcji wśród lekarzy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organicznych rejestracji → SCR ↑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Pierwsze 7 dni — aktywacja, uzupełnienie profilu, first value moment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 zostaje na platformie, nie odpada po rejestracji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Kampanie „uzupełnij profil”, obowiązkowe pola, NIL re-check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wpływa na SCR (rejestracja liczy się bez spec), ale wpływa na targetowalność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Odzyskiwanie uśpionych lekarzy (email, push, digest)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Uśpiony lekarz JUŻ jest w SCR — reaktywacja poprawia DAU (Product)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Partnerstwa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Współpraca z towarzystwami naukowymi, KOL, konferencje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Dostęp do nowych segmentów lekarzy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Kluczowa obserwacja: re-engagement nie zmienia SCR (lekarz już jest zarejestrowany), ale jest odpowiedzialnością Growth, bo Product nie zajmuje się reaktywacją uśpionych userów. Growth „dostarcza” lekarzy do ekosystemu na dwa sposoby: nowi (akwizycja → SCR) i odzyskani (re-engagement → DAU).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14. Następne kroki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1: Baseline i tracking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Potwierdzić SCR baseline: 44,085 / 130,000 = 33.9%. Query: SELECT count() FROM persons WHERE properties.role = 'doctor'.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Zbudować dashboard w PostHog: SCR total + SCR per specjalizacja (top 15) + trend tygodniowy nowych rejestracji per spec.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Zmierzyć Activation Rate baseline: % nowych lekarzy (registration_role_set, last 30d), którzy mieli event w dniach 1–7 po rejestracji.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2: Data quality sprint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Uruchomić kampanię „uzupełnij profil” do 22,750 lekarzy bez specjalizacji. Cel: zidentyfikować lekarzy POZ (osobne pole w systemie).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Wprowadzić obowiązkowe pole specjalizacji w onboardingu nowych użytkowników.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NIL re-check batch dla rezydentów &gt;2 lata — część mogła ukończyć specjalizację.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3–4: Komunikacja i alignment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Przedstawić ten dokument zespołowi i zarządowi. Jedna metryka, którą Growth owns: SCR.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Ustalenie z Krzysztofem (Product): Growth = SCR (capture), Product = DAU (habit). Companion: Activation Rate.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Zaktualizować dokumenty (CONTEXT-v2, growth-playbook) — spójna definicja wszędzie.</w:t>
      </w:r>
    </w:p>
    <w:p>
      <w:pPr>
        <w:spacing w:after="200"/>
      </w:pP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1A2E" w:sz="6"/>
              <w:left w:val="single" w:color="1A1A2E" w:sz="2"/>
              <w:bottom w:val="single" w:color="1A1A2E" w:sz="2"/>
              <w:right w:val="single" w:color="1A1A2E" w:sz="2"/>
            </w:tcBorders>
            <w:shd w:fill="F9FA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24"/>
                <w:szCs w:val="24"/>
              </w:rPr>
              <w:t xml:space="preserve">JEDNO ZDANIE DLA ZARZĄDU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Growth mierzy SCR — jaki procent polskich lekarzy jest zarejestrowany w Remedium. Dziś to 33.9% (44 tysiące z 130 tysięcy). 2026 to rok budowania maszyny akwizycyjnej (cel: 37%), 2027 to rok żniw (cel: 42–43%). Każdy punkt procentowy SCR to więcej specjalizacji, które możemy sprzedawać pharma.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Strona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5FF" w:sz="4" w:space="4"/>
      </w:pBdr>
      <w:tabs>
        <w:tab w:val="right" w:pos="9026"/>
      </w:tabs>
    </w:pPr>
    <w:r>
      <w:rPr>
        <w:rFonts w:ascii="Inter" w:cs="Inter" w:eastAsia="Inter" w:hAnsi="Inter"/>
        <w:b/>
        <w:bCs/>
        <w:color w:val="2E35FF"/>
        <w:sz w:val="16"/>
        <w:szCs w:val="16"/>
      </w:rPr>
      <w:t xml:space="preserve">REMEDIUM GROWTH</w:t>
    </w:r>
    <w:r>
      <w:rPr>
        <w:rFonts w:ascii="Inter" w:cs="Inter" w:eastAsia="Inter" w:hAnsi="Inter"/>
        <w:color w:val="6B7280"/>
        <w:sz w:val="16"/>
        <w:szCs w:val="16"/>
      </w:rPr>
      <w:t xml:space="preserve">	North Star — SCR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2E35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2026-03-21T13:27:38.239Z</dcterms:created>
  <dcterms:modified xsi:type="dcterms:W3CDTF">2026-03-21T13:27:38.239Z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