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2E35FF"/>
          <w:sz w:val="48"/>
          <w:szCs w:val="48"/>
        </w:rPr>
        <w:t xml:space="preserve">NORTH STAR METRYKA GROWTH</w:t>
      </w:r>
    </w:p>
    <w:p>
      <w:pPr>
        <w:spacing w:after="200"/>
        <w:jc w:val="center"/>
      </w:pPr>
      <w:r>
        <w:rPr>
          <w:rFonts w:ascii="Inter" w:cs="Inter" w:eastAsia="Inter" w:hAnsi="Inter"/>
          <w:color w:val="1A1A2E"/>
          <w:sz w:val="36"/>
          <w:szCs w:val="36"/>
        </w:rPr>
        <w:t xml:space="preserve">Targetable MAU (tMAU)</w:t>
      </w:r>
    </w:p>
    <w:p>
      <w:pPr>
        <w:spacing w:after="400"/>
        <w:jc w:val="center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Finalna definicja, dekompozycja i scorecard</w:t>
      </w:r>
    </w:p>
    <w:p>
      <w:pPr>
        <w:spacing w:after="1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Remedium.md | Marzec 2026</w:t>
      </w:r>
    </w:p>
    <w:p>
      <w:pPr>
        <w:jc w:val="center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Przygotowane dla: Sebastian Scencyk, VP Growth &amp; Board Member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1. Problem: trzy metryki, zero konsensusu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W dokumentacji Remedium Growth funkcjonują aktualnie trzy różne kandydatury na North Star metryka growth. Każda z nich powstała w innym kontekście i mierzy co innego: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Gdzie zdefiniowana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growth-playbook.md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kampanii z dowiezionym KPI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Lagging indicator. Zależy od sprzedaży, nie tylko growth. Przy ~85% mało headroom.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SCR (Specialty Coverage Rate)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CONTEXT-v2.md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Penetracja rynku per specjalizacja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Statyczna — zmienia się kwartalnie. Nie uwzględnia aktywności.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(Targetable MAU)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north-star-tMAU.md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Aktywni lekarze ze znaną specjalizacją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Definicja robocza, nigdy formalnie zatwierdzona. Brak twardego baseline.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Ten dokument rozstrzyga tę kwestię definitywnie. Poniżej: analiza porównawcza, kontekst rynkowy, dane z PostHog i finalna rekomendacja.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2. Jak mierzą to inni: kontekst rynkowy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Remedium działa w modelu B2B2C — darmowa platforma dla lekarzy, monetyzacja z kampanii pharma. Ten model ma globalnych odpowiedników. Poniżej analiza ich podejść do North Star: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Doximity (USA, $DOCS, ~650K HCP)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Największa sieć HCP w USA. Revenue &gt;$300M/rok z reklam pharma. Raportuje inwestorom MAU i engagement depth, ale wewnętrznie operuje na DAU lekarzy z pełnym profilem. Pharma kupuje „Effective Reach” — podzbiór DAU z danymi targetingowymi. Model identyczny z Remedium: jeśli nie wiesz jakiej specjalizacji jest lekarz, nie możesz go sprzedać.</w:t>
      </w: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Sermo (globalnie, ~900K lekarzy)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Platforma insightowa dla pharma. North Star: „Monthly Active Respondents” — lekarze z potwierdzoną specjalizacją, którzy w danym miesiącu odpowiedzieli na pytanie kliniczne lub ankietę. Celowo wykluczają niezweryfikowanych z MAU. Efekt: niższe headline’y, ale każdy user jest monetyzowalny.</w:t>
      </w: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DocCheck (Niemcy, ~750K lekarzy)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Dominująca europejska platforma HCP. Rozdziela „registered users” od „registered prescribers”. Kampanie pharma można kierować wyłącznie do prescribers z potwierdzoną specjalizacją. Weryfikacja specjalizacji jest obowiązkowa — nie opcjonalna.</w:t>
      </w: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Medscape (globalnie, ~8M HCP)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Content platform z revenue z CPM pharma. Kluczowa metryka wewnętrzna: „specialty-qualified pageviews” — pageview liczy się do kampanii tylko jeśli user ma potwierdzoną specjalizację w profilu. Przy rejestracji deklaracja specjalizacji jest obowiązkowa.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35FF" w:sz="4"/>
              <w:left w:val="single" w:color="E5E7EB" w:sz="1"/>
              <w:bottom w:val="single" w:color="E5E7EB" w:sz="1"/>
              <w:right w:val="single" w:color="E5E7EB" w:sz="1"/>
            </w:tcBorders>
            <w:shd w:fill="F0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2E35FF"/>
                <w:sz w:val="22"/>
                <w:szCs w:val="22"/>
              </w:rPr>
              <w:t xml:space="preserve">PATTERN RYNKOWY:</w:t>
            </w:r>
          </w:p>
          <w:p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Każda poważna platforma HCP odróżnia „userów” od „targetowalnych userów”. North Star to zawsze quality-filtered MAU: aktywni lekarze z potwierdzoną specjalizacją. Nie raw users, nie rejestracje, nie pageviews.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Framework North Star (Amplitude / Sean Ellis)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Dobra metryka North Star spełnia 5 kryteriów: (1) reprezentuje wartość dla użytkownika, (2) prowadzi do wyników biznesowych, (3) jest mierzalna tygodniowo, (4) jest actionable — zespół może na nią wpływać, (5) jest jedna — nie trzy.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Model platformy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Typowa North Star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Social HCP network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Quality-filtered MAU/DAU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Doximity: DAU lekarzy z profilem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HCP insights platform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Monthly Active Respondents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Sermo: lekarze z spec. + aktywność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HCP content + ads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Specialty-qualified PV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Medscape: PV z potwierdzoną spec.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HCP platform (EU)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Registered Prescribers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DocCheck: zweryfikowani prescribers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Ad-supported social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Facebook, LinkedIn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Two-sided marketplace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Transakcje obu stron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Airbnb: zarezerwowane noce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3. Analiza porównawcza kandydatów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Oceniam każdego kandydata według 6 kryteriów kluczowych dla Remedium: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CFR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tMAU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growth kontroluje?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Częściowo — zależy od sprzedaży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akwizycja i data quality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akwizycja + dane + engagement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Leading czy lagging?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Lagging — mierzysz po kampanii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Lagging — zmienia się kwartalnie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Leading — predykcyjny dla revenue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Częstotliwość pomiaru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Miesięcznie/kwartalnie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Kwartalnie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Tygodniowo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łączy dane + aktywność?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— tylko output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— tylko penetracja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specjalizacja × aktywność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dekomponowalny?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Trudno — wiele zmiennych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Częściowo (per spec)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Tak: A × B × 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Czy równa się pojemności kampanii?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ale post-factum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bezpośrednio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Tak — tMAU = ad inventory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59669" w:sz="6"/>
              <w:left w:val="single" w:color="D1FAE5" w:sz="1"/>
              <w:bottom w:val="single" w:color="D1FAE5" w:sz="1"/>
              <w:right w:val="single" w:color="D1FAE5" w:sz="1"/>
            </w:tcBorders>
            <w:shd w:fill="EC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59669"/>
                <w:sz w:val="26"/>
                <w:szCs w:val="26"/>
              </w:rPr>
              <w:t xml:space="preserve">DECYZJA: tMAU to North Star Growth</w:t>
            </w:r>
          </w:p>
          <w:p>
            <w:r>
              <w:rPr>
                <w:rFonts w:ascii="Inter" w:cs="Inter" w:eastAsia="Inter" w:hAnsi="Inter"/>
                <w:color w:val="065F46"/>
                <w:sz w:val="22"/>
                <w:szCs w:val="22"/>
              </w:rPr>
              <w:t xml:space="preserve">tMAU to jedyna metryka, która łączy czystość danych z aktywnością, jest kontrolowana przez growth, mierzalna tygodniowo i bezpośrednio determinuje pojemność kampanii pharma. CFR i SCR stają się health indicators — nie North Star.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4. Finalna definicja tMAU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35FF" w:sz="6"/>
              <w:left w:val="single" w:color="2E35FF" w:sz="2"/>
              <w:bottom w:val="single" w:color="2E35FF" w:sz="2"/>
              <w:right w:val="single" w:color="2E35FF" w:sz="2"/>
            </w:tcBorders>
            <w:shd w:fill="F0F1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2E35FF"/>
                <w:sz w:val="28"/>
                <w:szCs w:val="28"/>
              </w:rPr>
              <w:t xml:space="preserve">tMAU = Targetable Monthly Active Users</w:t>
            </w:r>
          </w:p>
          <w:p>
            <w:pPr>
              <w:spacing w:after="200"/>
              <w:jc w:val="center"/>
            </w:pPr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Lekarze (role=doctor) z potwierdzoną, otwartą LUB sugerowaną specjalizacją, którzy mieli co najmniej 1 zalogowane zdarzenie w ostatnich 30 dniach.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7280"/>
                <w:sz w:val="22"/>
                <w:szCs w:val="22"/>
              </w:rPr>
              <w:t xml:space="preserve">Baseline (marzec 2026, zmierzony w PostHog): </w:t>
            </w:r>
            <w:r>
              <w:rPr>
                <w:rFonts w:ascii="Inter" w:cs="Inter" w:eastAsia="Inter" w:hAnsi="Inter"/>
                <w:b/>
                <w:bCs/>
                <w:color w:val="2E35FF"/>
                <w:sz w:val="28"/>
                <w:szCs w:val="28"/>
              </w:rPr>
              <w:t xml:space="preserve">8,393</w:t>
            </w:r>
            <w:r>
              <w:rPr>
                <w:rFonts w:ascii="Inter" w:cs="Inter" w:eastAsia="Inter" w:hAnsi="Inter"/>
                <w:color w:val="6B728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Składowe definicji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Filtr w PostHog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Zweryfikowany lekarz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Osoba z przypisana rolą doctor, zweryfikowana przez NIL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role = doctor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 dentysty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Dentyści (role=dentist) nie wchodzą w tMAU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role ≠ dentist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Ze znaną specjalizacją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Wypełnione co najmniej jedno z: specialization, open_specialization, suggestedSpecializations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 na 3 polach, ILIKE, niepuste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Aktywny 30d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 najmniej 1 zalogowane zdarzenie ($pageview, login, itp.) w rolling 30 dniach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Event w last 30 days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Podział lekarzy według typu specjalizacji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Nie każdy lekarz „ze specjalizacją” ma tę samą wartość targietingową. W PostHog występują trzy różne pola, które razem tworzą mnożnik B: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900"/>
        <w:gridCol w:w="3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 specjalizacji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Pole w PostHog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 lekarzy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bazy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Znaczenie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Potwierdzona (confirmed)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11,024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25.0%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Najwyższa wartość — zweryfikowana przez NIL, pełna targetowalność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Otwarta (open/w trakcie)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open_specialization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9,484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Rezydent w trakcie specjalizacji — targetowalny, ale może się zmienić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Sugerowana (suggested)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suggestedSpecializations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1,507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3.4%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System zasugerował na podstawie aktywności — wymaga weryfikacji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Razem ze znaną spec.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OR na 3 polach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21,335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Wchodzą w tMAU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 żadnej specjalizacji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22,750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51.6%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wchodzą w tMAU — cel growth: odblokować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UWAGA: Jeden lekarz może mieć wypełnione więcej niż jedno pole (np. potwierdzoną i sugerowaną). Suma typów może przekraczać 21,335 — w tMAU liczymy unikalnych lekarzy z JAKIMKOLWIEK polem.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Czego tMAU NIE obejmuje (i dlaczego)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Studentów</w:t>
      </w:r>
      <w:r>
        <w:rPr>
          <w:rFonts w:ascii="Inter" w:cs="Inter" w:eastAsia="Inter" w:hAnsi="Inter"/>
          <w:sz w:val="22"/>
          <w:szCs w:val="22"/>
        </w:rPr>
        <w:t xml:space="preserve"> — nie wypisują recept, nie są targetowalni dla pharma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Dentysta</w:t>
      </w:r>
      <w:r>
        <w:rPr>
          <w:rFonts w:ascii="Inter" w:cs="Inter" w:eastAsia="Inter" w:hAnsi="Inter"/>
          <w:sz w:val="22"/>
          <w:szCs w:val="22"/>
        </w:rPr>
        <w:t xml:space="preserve"> — są w bazie ale osobny segment, z marginalnymi kampaniami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Lekarzy bez żadnych danych o specjalizacji</w:t>
      </w:r>
      <w:r>
        <w:rPr>
          <w:rFonts w:ascii="Inter" w:cs="Inter" w:eastAsia="Inter" w:hAnsi="Inter"/>
          <w:sz w:val="22"/>
          <w:szCs w:val="22"/>
        </w:rPr>
        <w:t xml:space="preserve"> — są aktywni, ale nietargetowalni. Celem growth jest właśnie ich „odblokowanie” przez uzupełnienie profilu.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Pielęgniarek, położnych, farmaceutów</w:t>
      </w:r>
      <w:r>
        <w:rPr>
          <w:rFonts w:ascii="Inter" w:cs="Inter" w:eastAsia="Inter" w:hAnsi="Inter"/>
          <w:sz w:val="22"/>
          <w:szCs w:val="22"/>
        </w:rPr>
        <w:t xml:space="preserve"> — oddzielne segmenty, nie wchodzą w core model pharma kampanii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5. Dekompozycja: tMAU = A × B × C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tMAU składa się z trzech niezależnych mnożników. Każdy odpowiada innemu leverowi growth. Razem dają efekt compounding: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1500"/>
        <w:gridCol w:w="1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Mnożnik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Lever growth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Baseline (est.)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12 msc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 = Baza lekarzy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w PostHog (role=doctor)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 w bottleneck specjalizacjach + retencja rezydentów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~50,000 (+13%)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 = % ze znaną spec.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Odsetek lekarzy z wypełnionym polem specjalizacji (potwierdzona, otwarta lub sugerowana)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Audyt bazy, kampania uzupełnij profil, obowiązkowe pole w onboardingu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 (21,335)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~65% (+34%)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 = MAU rate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ze znaną spec. aktywnych w 30d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Content per spec, digest email, specialist dashboard, narzędzia AI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39.3% (8,393/21,335)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~50% (+27%)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D97706" w:sz="4"/>
              <w:left w:val="single" w:color="FEF3C7" w:sz="1"/>
              <w:bottom w:val="single" w:color="FEF3C7" w:sz="1"/>
              <w:right w:val="single" w:color="FEF3C7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D97706"/>
                <w:sz w:val="22"/>
                <w:szCs w:val="22"/>
              </w:rPr>
              <w:t xml:space="preserve">EFEKT COMPOUNDING:</w:t>
            </w:r>
          </w:p>
          <w:p>
            <w:r>
              <w:rPr>
                <w:rFonts w:ascii="Inter" w:cs="Inter" w:eastAsia="Inter" w:hAnsi="Inter"/>
                <w:color w:val="92400E"/>
                <w:sz w:val="22"/>
                <w:szCs w:val="22"/>
              </w:rPr>
              <w:t xml:space="preserve">50,000 × 70% × 50% = 17,500 tMAU (vs 8,393 dziś). To +108% wzrost w 12 miesięcy. Ambitne, ale realistyczne — każdy mnożnik rośnie umiarkowanie, ale ich iloczyn robi dużą różnicę.</w:t>
            </w:r>
          </w:p>
          <w:p>
            <w:pPr>
              <w:spacing w:before="80"/>
            </w:pPr>
            <w:r>
              <w:rPr>
                <w:rFonts w:ascii="Inter" w:cs="Inter" w:eastAsia="Inter" w:hAnsi="Inter"/>
                <w:i/>
                <w:iCs/>
                <w:color w:val="92400E"/>
                <w:sz w:val="18"/>
                <w:szCs w:val="18"/>
              </w:rPr>
              <w:t xml:space="preserve">Zmierzony baseline: 44,085 × 48.4% × 39.3% = 8,393 (HogQL query, marzec 2026).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Dlaczego trzy mnożniki, a nie jeden?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Bo każdy diagnozuje inny problem. Jeśli tMAU nie rośnie, możesz natychmiast zidentyfikować który mnożnik hamuje: czy baza nie rośnie (A)? Czy mamy problem z danymi (B)? Czy lekarze nie wracają (C)? Bez dekompozycji widzisz tylko symptom. Z nią — widzisz przyczynę.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6. Hierarchia metryk: od North Star do diagnostyki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L0: North Star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tMAU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 — raportowany tygodniowo, drill-down per specjalizacja. Owned by: Growth (Sebastian).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L1: Companion metric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Activation Rate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 — % nowo zarejestrowanych lekarzy, którzy wracają w ciągu 7 dni. Mówi o jakości onboardingu. Owned by: Growth (Sebastian). Strefa styku z Product (Krzysztof).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L2: Health indicators (miesięcznie)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3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lekarzy ze znaną specjalizacją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Jakość danych (mnożnik B)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 → 70% w 12msc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rate specjalistów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Engagement (mnożnik 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 + Product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39.3% → 50% w 12msc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Nowi zweryfikowani per specjalizacja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 (mnożnik A)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+13% bazy w 12msc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Monetyzacja (output)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Sprzedaż + Growth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85% → 95%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Specjalizacje sprzedawalne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Revenue capacity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Growth + Sprzedaż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5–6 → 10+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L3: Diagnostyczne (tygodniowo, ad hoc)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Kiedy drill-down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per specjalizacja (top 15)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Zawsze — główny widok tygodniowy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PV per session per specjalizacja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tMAU rośnie ale fulfillment nie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Activation Rate spada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% rezydentów z deklaracją specjalizacji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mnożnik B (data quality) stoi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NIL re-check yield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Przy każdym batchu re-weryfikacji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Digest email open rate per spec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Gdy MAU rate per spec różni się od oczekiwań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7. Relacja Growth vs Product: czytelny podział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0"/>
        <w:gridCol w:w="375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Growth (Sebastian)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(Krzysztof)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North Star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(7-day avg)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Zakres odpowiedzialności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Akwizycja, data quality, onboarding, pierwsze 7 dni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Feature development, engagement d7+, retencja d30+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Granica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Dzień 7 po rejestracji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Od dnia 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Strefa styku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 flow, specialist dashboard, content per spec na dzień 1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Onboarding flow, specialist dashboard, content per spec na dzień 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Jak się wzajemnie napędzają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↑ = więcej userów do product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↑ = lepsza retencja = wyższy MAU rate (C)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Kluczowa zasada: growth dostarcza „właściwych” użytkowników (lekarze ze specjalizacją, aktywowani w 7 dni). Product sprawia, że wracają. Obie strony potrzebują siebie nawzajem — ale mają osobne metryki i osobną odpowiedzialność.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8. Aktualne dane z PostHog (marzec 2026)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Wartość (luty 2026)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(all roles)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~31,000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Wszyscy zalogowani użytkownicy z przypisaną rolą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doctors (role=doctor)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20,627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Lekarze (specjaliści + rezydenci + bez spec + stażyści)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students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~8,990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Studenci medycyny — NIE wchodzą w tMAU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dentyści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~458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Marginalny segment — NIE wchodzą w tMAU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DAU doctors (dzień roboczy)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3,000–3,500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Sobota/niedziela: ~1,500-1,700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MAU rate (doctors/baza)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46.8%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20,627 / 44,085 = 46.8%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(zmierzony)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8,393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 × 48.4% × 39.3% — HogQL query marzec 2026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Dane zweryfikowane bezpośrednio w PostHog (HogQL). PostHog jest źródłem prawdy — backoffice zawiera ~10K starszych kont sprzed integracji z PostHog.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Struktura specjalizacji w bazie (marzec 2026)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5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 specjalizacji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Liczba lekarzy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% z 44,085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Rola w tMAU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Potwierdzona (specialization)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11,024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25.0%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Pełna targetowalność — najwyższa wartość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Otwarta (open_specialization)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9,484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21.5%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Rezydent w trakcie — targetowalny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Sugerowana (suggestedSpecializations)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1,507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3.4%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System zasugerował — wymaga weryfikacji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Razem z jakąkolwiek spec.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21,335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Wchodzą w tMAU (mnożnik 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Bez specjalizacji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22,750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51.6%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NIE w tMAU — cel: odblokować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Trend MAU lekarzy (Dec 2025 — Feb 2026)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Miesiąc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MAU doctors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Zmiana m/m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Grudzień 2025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20,686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Styczeń 2026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21,314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+3.0%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Luty 2026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21,289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-0.1%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Marzec 2026 (do 21.03)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17,036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(niepełny miesiąc)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MAU lekarzy jest stabilne około 21K, co sugeruje, że platforma osiągnęła plateau organiczne. Dalszy wzrost wymaga świadomych działań na każdym z trzech mnożników.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9. Scorecard: cele kwartalne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800"/>
        <w:gridCol w:w="21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Q2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Q4 2026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Q2 2027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(total)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8,393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~10,600 (+26%)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~13,900 (+66%)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~17,500 (+108%)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Mnożnik A: baza lekarzy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44,085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~46,000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~48,000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~50,000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Mnożnik B: % ze znaną spec.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48.4%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~63%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~70%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Mnożnik C: MAU rate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39.3%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~42%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~46%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Activation Rate (companion)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Do zmierzenia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+10% vs baseline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+20%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Campaign Fulfillment Rate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~85% broad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92%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Specjalizacje sprzedawalne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7–8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9–10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10+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Logika celów</w:t>
      </w: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Cele wynikają z dekompozycji A × B × C. Przykład Q2 2026: 46,000 × 55% × 42% = ~10,600. Przykład Q2 2027: 50,000 × 70% × 50% = 17,500. Największy headroom jest w mnożniku B (data quality) — z 48.4% do 70% to niemal podwojenie targetowalnej bazy BEZ jednej nowej rejestracji.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10. Dlaczego tMAU pociąga cały łańcuch wartości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Jeśli tMAU rośnie, cały łańcuch wartości Remedium się rozkręca: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tMAU ↑ </w:t>
      </w:r>
      <w:r>
        <w:rPr>
          <w:rFonts w:ascii="Inter" w:cs="Inter" w:eastAsia="Inter" w:hAnsi="Inter"/>
          <w:sz w:val="22"/>
          <w:szCs w:val="22"/>
        </w:rPr>
        <w:t xml:space="preserve">→ więcej targetowalnych impressions per specjalizacja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impressions </w:t>
      </w:r>
      <w:r>
        <w:rPr>
          <w:rFonts w:ascii="Inter" w:cs="Inter" w:eastAsia="Inter" w:hAnsi="Inter"/>
          <w:sz w:val="22"/>
          <w:szCs w:val="22"/>
        </w:rPr>
        <w:t xml:space="preserve">→ odblokowanie nowych specjalizacji do sprzedaży (z 5–6 do 10+)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Więcej sprzedawalnych specjalizacji </w:t>
      </w:r>
      <w:r>
        <w:rPr>
          <w:rFonts w:ascii="Inter" w:cs="Inter" w:eastAsia="Inter" w:hAnsi="Inter"/>
          <w:sz w:val="22"/>
          <w:szCs w:val="22"/>
        </w:rPr>
        <w:t xml:space="preserve">→ wyższy Campaign Fulfillment Rate (pewniejsza realizacja)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Wyższy CFR </w:t>
      </w:r>
      <w:r>
        <w:rPr>
          <w:rFonts w:ascii="Inter" w:cs="Inter" w:eastAsia="Inter" w:hAnsi="Inter"/>
          <w:sz w:val="22"/>
          <w:szCs w:val="22"/>
        </w:rPr>
        <w:t xml:space="preserve">→ retencja klientów pharma + wyższe ceny (z 800–1,400 PLN do premium)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2E35FF"/>
          <w:sz w:val="22"/>
          <w:szCs w:val="22"/>
        </w:rPr>
        <w:t xml:space="preserve">Revenue ↑ </w:t>
      </w:r>
      <w:r>
        <w:rPr>
          <w:rFonts w:ascii="Inter" w:cs="Inter" w:eastAsia="Inter" w:hAnsi="Inter"/>
          <w:sz w:val="22"/>
          <w:szCs w:val="22"/>
        </w:rPr>
        <w:t xml:space="preserve">→ inwestycja w AI Co-Pilot i content per specjalizacja → lepsze narzędzia → wyższy MAU rate (C) → tMAU ↑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To jest flywheel. Jeśli tMAU stoi — nic poniżej nie rośnie, bez względu na to jak dobrze działa sprzedaż. Dlatego to jest North Star, a nie CFR.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Spójność ze strategią 2026–2028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 strategiczny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Jak tMAU to wspiera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6x revenue do 60M PLN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tMAU = więcej kampanii × wyższe ceny × więcej specjalizacji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16,500 DAU (7-day avg)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↑ = większa baza aktywnych lekarzy. DAU to podzbiór MAU.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AI Co-Pilot adoption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Więcej aktywnych lekarzy = więcej użytkowników Co-Pilot = lepsze dane treningowe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Ekspansja EU (2027–28)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Proven playbook: tMAU per rynek = gotowość do monetyzacji na nowym rynku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USP: ZWRACAMY CZAS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tMAU rośnie gdy lekarze wracają — wracają gdy narzędzia oszczędzają czas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</w:rPr>
        <w:t xml:space="preserve">11. Następne kroki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1: Zmierz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Zbuduj query HogQL w PostHog: unikalni lekarze (role=doctor) z niepustym polem specjalizacji (specialization OR open_specialization OR suggestedSpecializations ≠ ‘’), aktywni w ostatnich 30 dniach. To jest Twój tMAU baseline.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Ten sam query per specjalizacja (top 15) — to jest Twój tMAU drill-down.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Zmierz Activation Rate: % nowych lekarzy (registration_role_set, last 30d), którzy mieli event w dniach 1–7 po rejestracji.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2: Postaw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Utwórz dashboard w PostHog: tMAU total + tMAU per specjalizacja (top 15) + trend tygodniowy.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Dodaj mnożniki A, B, C jako osobne kafelki — żeby natychmiast widzieć co hamuje.</w:t>
      </w:r>
    </w:p>
    <w:p>
      <w:pPr>
        <w:spacing w:after="200"/>
      </w:pPr>
    </w:p>
    <w:p>
      <w:pPr>
        <w:pStyle w:val="Heading3"/>
      </w:pPr>
      <w:r>
        <w:rPr>
          <w:rFonts w:ascii="Inter" w:cs="Inter" w:eastAsia="Inter" w:hAnsi="Inter"/>
          <w:color w:val="1A1A2E"/>
        </w:rPr>
        <w:t xml:space="preserve">Tydzień 3–4: Komunikacja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Przedstaw ten dokument zespołowi i zarządowi. Jedna metryka, którą growth owns.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Ustal z Krzysztofem (Product) strefę styku: co growth dostarcza (tMAU), co product przejmuje (DAU/retencja).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sz w:val="22"/>
          <w:szCs w:val="22"/>
        </w:rPr>
        <w:t xml:space="preserve">Zaktualizuj dokumenty (CONTEXT-v2, growth-playbook, north-star-tMAU) — jedna spójna definicja wszędzie.</w:t>
      </w:r>
    </w:p>
    <w:p>
      <w:pPr>
        <w:spacing w:after="200"/>
      </w:pP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1A2E" w:sz="6"/>
              <w:left w:val="single" w:color="1A1A2E" w:sz="2"/>
              <w:bottom w:val="single" w:color="1A1A2E" w:sz="2"/>
              <w:right w:val="single" w:color="1A1A2E" w:sz="2"/>
            </w:tcBorders>
            <w:shd w:fill="F9FA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1A1A2E"/>
                <w:sz w:val="24"/>
                <w:szCs w:val="24"/>
              </w:rPr>
              <w:t xml:space="preserve">JEDNO ZDANIE DLA ZARZĄDU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2"/>
                <w:szCs w:val="22"/>
              </w:rPr>
              <w:t xml:space="preserve">Growth mierzy tMAU — ilu zweryfikowanych lekarzy ze znaną specjalizacją korzysta z Remedium w danym miesiącu. Każdy punkt tMAU to więcej kampanii, które możemy sprzedać i dowiezuć. Cel: z 8,393 do 17,500 w 12 miesięcy.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Strona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5FF" w:sz="4" w:space="4"/>
      </w:pBdr>
      <w:tabs>
        <w:tab w:val="right" w:pos="9026"/>
      </w:tabs>
    </w:pPr>
    <w:r>
      <w:rPr>
        <w:rFonts w:ascii="Inter" w:cs="Inter" w:eastAsia="Inter" w:hAnsi="Inter"/>
        <w:b/>
        <w:bCs/>
        <w:color w:val="2E35FF"/>
        <w:sz w:val="16"/>
        <w:szCs w:val="16"/>
      </w:rPr>
      <w:t xml:space="preserve">REMEDIUM GROWTH</w:t>
    </w:r>
    <w:r>
      <w:rPr>
        <w:rFonts w:ascii="Inter" w:cs="Inter" w:eastAsia="Inter" w:hAnsi="Inter"/>
        <w:color w:val="6B7280"/>
        <w:sz w:val="16"/>
        <w:szCs w:val="16"/>
      </w:rPr>
      <w:t xml:space="preserve">	North Star — Dokument Finalny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2E35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2026-03-21T11:35:03.777Z</dcterms:created>
  <dcterms:modified xsi:type="dcterms:W3CDTF">2026-03-21T11:35:03.777Z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