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280"/>
              <w:left w:type="dxa" w:w="280"/>
              <w:bottom w:type="dxa" w:w="240"/>
              <w:right w:type="dxa" w:w="28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3C5FD"/>
                <w:sz w:val="20"/>
                <w:szCs w:val="20"/>
              </w:rPr>
              <w:t xml:space="preserve">KAMPANIA META ADS</w:t>
            </w:r>
          </w:p>
          <w:p>
            <w:pPr>
              <w:spacing w:after="120" w:before="0" w:line="3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Niedoczynność i nadczynność tarczycy</w:t>
            </w:r>
          </w:p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BEAFE"/>
                <w:sz w:val="22"/>
                <w:szCs w:val="22"/>
              </w:rPr>
              <w:t xml:space="preserve">Rekomendacje strategiczne · Merck 2025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3C5FD"/>
                <w:sz w:val="18"/>
                <w:szCs w:val="18"/>
              </w:rPr>
              <w:t xml:space="preserve">Remedium / Brandmed  ·  Marzec 2026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🎯  Status: Kampania w toku  ·  KPI: 150 zalogowanych UU / miesiąc  ·  Produkt: Poradnik Merck 2025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bottom w:val="single" w:color="2563EB" w:sz="6" w:space="4"/>
        </w:pBdr>
        <w:spacing w:after="60" w:before="3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ANALIZA KPI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F5F9" w:val="clear"/>
            <w:tcMar>
              <w:top w:type="dxa" w:w="14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40"/>
                <w:szCs w:val="40"/>
              </w:rPr>
              <w:t xml:space="preserve">~61 UU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Średnia organiczna
(ostatnie 12 mies.)</w:t>
            </w:r>
          </w:p>
        </w:tc>
        <w:tc>
          <w:tcPr>
            <w:tcW w:type="dxa" w:w="225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BEAFE" w:val="clear"/>
            <w:tcMar>
              <w:top w:type="dxa" w:w="14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40"/>
                <w:szCs w:val="40"/>
              </w:rPr>
              <w:t xml:space="preserve">105 UU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Historyczny peak
(Paź / Gru 2025)</w:t>
            </w:r>
          </w:p>
        </w:tc>
        <w:tc>
          <w:tcPr>
            <w:tcW w:type="dxa" w:w="225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EF3C7" w:val="clear"/>
            <w:tcMar>
              <w:top w:type="dxa" w:w="14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40"/>
                <w:szCs w:val="40"/>
              </w:rPr>
              <w:t xml:space="preserve">150 UU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KPI miesięczny
(cel kampanii)</w:t>
            </w:r>
          </w:p>
        </w:tc>
        <w:tc>
          <w:tcPr>
            <w:tcW w:type="dxa" w:w="225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1FAE5" w:val="clear"/>
            <w:tcMar>
              <w:top w:type="dxa" w:w="14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40"/>
                <w:szCs w:val="40"/>
              </w:rPr>
              <w:t xml:space="preserve">+45 UU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Min. przyrost z reklam
(przy peak)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18"/>
          <w:szCs w:val="18"/>
        </w:rPr>
        <w:t xml:space="preserve">Cel 150 UU/miesiąc to 2,5× średnia organiczna i 43% powyżej historycznego peak (105 UU, październik/grudzień 2025). Kampania Meta Ads jest niezbędna – samą organiką KPI nie jest osiągalne. Kluczowe: target to zalogowany UU, więc cold audience na Mecie liczy się dopiero gdy user się zarejestruje. Remarketing do istniejących userów jest kilkukrotnie tańszy na jeden policzony UU.</w:t>
      </w:r>
    </w:p>
    <w:p>
      <w:pPr>
        <w:spacing w:after="120"/>
      </w:pPr>
      <w:r>
        <w:t xml:space="preserve"/>
      </w:r>
    </w:p>
    <w:p>
      <w:pPr>
        <w:pBdr>
          <w:bottom w:val="single" w:color="2563EB" w:sz="6" w:space="4"/>
        </w:pBdr>
        <w:spacing w:after="60" w:before="3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RUCH ORGANICZNY – ZALOGOWANI UU / MIESIĄC (12 MIES.)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Kwi 25</w:t>
            </w:r>
          </w:p>
        </w:tc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Maj 25</w:t>
            </w:r>
          </w:p>
        </w:tc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Cze 25</w:t>
            </w:r>
          </w:p>
        </w:tc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Lip 25</w:t>
            </w:r>
          </w:p>
        </w:tc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Sie 25</w:t>
            </w:r>
          </w:p>
        </w:tc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Wrz 25</w:t>
            </w:r>
          </w:p>
        </w:tc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Paź 25</w:t>
            </w:r>
          </w:p>
        </w:tc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Lis 25</w:t>
            </w:r>
          </w:p>
        </w:tc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Gru 25</w:t>
            </w:r>
          </w:p>
        </w:tc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Sty 26</w:t>
            </w:r>
          </w:p>
        </w:tc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Lut 26</w:t>
            </w:r>
          </w:p>
        </w:tc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8A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Mar 26*</w:t>
            </w:r>
          </w:p>
        </w:tc>
      </w:tr>
      <w:tr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BEAF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70</w:t>
            </w:r>
          </w:p>
        </w:tc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BEAF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49</w:t>
            </w:r>
          </w:p>
        </w:tc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BEAF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50</w:t>
            </w:r>
          </w:p>
        </w:tc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BEAF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74</w:t>
            </w:r>
          </w:p>
        </w:tc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BEAF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74</w:t>
            </w:r>
          </w:p>
        </w:tc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BEAF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67</w:t>
            </w:r>
          </w:p>
        </w:tc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563EB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104</w:t>
            </w:r>
          </w:p>
        </w:tc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BEAF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87</w:t>
            </w:r>
          </w:p>
        </w:tc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563EB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105</w:t>
            </w:r>
          </w:p>
        </w:tc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BEAF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67</w:t>
            </w:r>
          </w:p>
        </w:tc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BEAF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57</w:t>
            </w:r>
          </w:p>
        </w:tc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BEAFE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53</w:t>
            </w:r>
          </w:p>
        </w:tc>
      </w:tr>
      <w:tr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EF3C7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3"/>
                <w:szCs w:val="13"/>
              </w:rPr>
              <w:t xml:space="preserve">KPI 150</w:t>
            </w:r>
          </w:p>
        </w:tc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EF3C7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3"/>
                <w:szCs w:val="13"/>
              </w:rPr>
              <w:t xml:space="preserve">─── 150</w:t>
            </w:r>
          </w:p>
        </w:tc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EF3C7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3"/>
                <w:szCs w:val="13"/>
              </w:rPr>
              <w:t xml:space="preserve">─── 150</w:t>
            </w:r>
          </w:p>
        </w:tc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EF3C7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3"/>
                <w:szCs w:val="13"/>
              </w:rPr>
              <w:t xml:space="preserve">─── 150</w:t>
            </w:r>
          </w:p>
        </w:tc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EF3C7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3"/>
                <w:szCs w:val="13"/>
              </w:rPr>
              <w:t xml:space="preserve">─── 150</w:t>
            </w:r>
          </w:p>
        </w:tc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EF3C7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3"/>
                <w:szCs w:val="13"/>
              </w:rPr>
              <w:t xml:space="preserve">─── 150</w:t>
            </w:r>
          </w:p>
        </w:tc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EF3C7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3"/>
                <w:szCs w:val="13"/>
              </w:rPr>
              <w:t xml:space="preserve">─── 150</w:t>
            </w:r>
          </w:p>
        </w:tc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EF3C7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3"/>
                <w:szCs w:val="13"/>
              </w:rPr>
              <w:t xml:space="preserve">─── 150</w:t>
            </w:r>
          </w:p>
        </w:tc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EF3C7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3"/>
                <w:szCs w:val="13"/>
              </w:rPr>
              <w:t xml:space="preserve">─── 150</w:t>
            </w:r>
          </w:p>
        </w:tc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EF3C7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3"/>
                <w:szCs w:val="13"/>
              </w:rPr>
              <w:t xml:space="preserve">─── 150</w:t>
            </w:r>
          </w:p>
        </w:tc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EF3C7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3"/>
                <w:szCs w:val="13"/>
              </w:rPr>
              <w:t xml:space="preserve">─── 150</w:t>
            </w:r>
          </w:p>
        </w:tc>
        <w:tc>
          <w:tcPr>
            <w:tcW w:type="dxa" w:w="75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EF3C7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3"/>
                <w:szCs w:val="13"/>
              </w:rPr>
              <w:t xml:space="preserve">─── 150</w:t>
            </w:r>
          </w:p>
        </w:tc>
      </w:tr>
    </w:tbl>
    <w:p>
      <w:pPr>
        <w:spacing w:after="30"/>
      </w:pPr>
      <w:r>
        <w:t xml:space="preserve"/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5"/>
          <w:szCs w:val="15"/>
        </w:rPr>
        <w:t xml:space="preserve">* Marzec 2026 – dane cząstkowe (18/31 dni). Projekcja do końca miesiąca: ~91 UU.</w:t>
      </w:r>
    </w:p>
    <w:p>
      <w:pPr>
        <w:spacing w:after="120"/>
      </w:pPr>
      <w:r>
        <w:t xml:space="preserve"/>
      </w:r>
    </w:p>
    <w:p>
      <w:pPr>
        <w:pBdr>
          <w:bottom w:val="single" w:color="2563EB" w:sz="6" w:space="4"/>
        </w:pBdr>
        <w:spacing w:after="60" w:before="3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BENCHMARK – TOP PORADNIKI (OSTATNIE 3 MIESIĄCE)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1700"/>
        <w:gridCol w:w="1526"/>
      </w:tblGrid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Poradnik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UU / 3 mies.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UU / mies.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Zapalenie ucha środkowego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609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~203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🏆 Top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Migotanie przedsionków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484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~161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Stłuszczeniowa choroba wątroby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449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~150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Migrena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384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~128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ZUM / Nadciśnienie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365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~122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Alergiczny nieżyt nosa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191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~64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Niedoczynność / nadczynność tarczycy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184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~61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← obecny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Ból kręgosłupa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157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~52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Kaszel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147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~49</w:t>
            </w:r>
          </w:p>
        </w:tc>
        <w:tc>
          <w:tcPr>
            <w:tcW w:type="dxa" w:w="1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18"/>
          <w:szCs w:val="18"/>
        </w:rPr>
        <w:t xml:space="preserve">Poradnik tarczycy zajmuje miejsce ~39 w rankingu organicznym. Top poradnik (Zapalenie ucha) zbiera 203 UU/mies. organicznie – tyle, ile chcemy osiągnąć przy wsparciu płatnym. To realne, ale wymaga aktywnych działań.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Bdr>
          <w:bottom w:val="single" w:color="2563EB" w:sz="6" w:space="4"/>
        </w:pBdr>
        <w:spacing w:after="60" w:before="3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GRUPY DOCELOWE</w:t>
      </w:r>
    </w:p>
    <w:p>
      <w:pPr>
        <w:spacing w:after="60"/>
      </w:pPr>
      <w:r>
        <w:t xml:space="preserve"/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18"/>
          <w:szCs w:val="18"/>
        </w:rPr>
        <w:t xml:space="preserve">Dane PostHog: użytkownicy sekcji Poradniki (role IS SET). Lekarze stanowią 71% wszystkich czytelników poradników.</w:t>
      </w:r>
    </w:p>
    <w:p>
      <w:pPr>
        <w:spacing w:after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4026"/>
        <w:gridCol w:w="210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Priorytet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Grupa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Dlaczego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Kanał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P1 🎯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Lekarze bez spec.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(3 816 UU / 3 mies.)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Tarczyca = codzienna praktyka POZ. Największa i najbardziej aktywna grupa na Poradnikach.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Remarketing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(email list)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P2 📚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Rezydenci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(1 914 UU / 3 mies.)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Uczą się na Remedium. Niedoczynność tarczycy to standard pytań na LEK i PES.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Meta Ads + push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P3 🎓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Studenci medycyny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(4 774 UU / 6 mies.)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Duży wolumen, niższy CPM. Dobry do zasięgu i znajomości marki Merck.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Cold audience Meta Ads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P4 🔬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Specjaliści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(973 UU / 3 mies.)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Niszowa grupa endokrynologów i internistów. Wysoka wartość kliniczna.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Lookalike 1%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563EB" w:sz="6" w:space="4"/>
        </w:pBdr>
        <w:spacing w:after="60" w:before="3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TIMING – KIEDY KAMPANIA DA NAJLEPSZY ZWROT?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226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Miesiąc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Organika (UU)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Potrzeba z reklam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Ocena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Październik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104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+46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🟢 Najlepszy start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Listopad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87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+63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🟢 Dobry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Grudzień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105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+45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🟢 Peak organiki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Styczeń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67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+83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🟡 Wykonalne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Luty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57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+93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🔴 Trudne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Marzec–Maj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~60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+90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🔴 Wymaga budżetu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Czerwiec–Sie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~60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+90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🔴 Unikaj (urlopy)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25 Maja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 boost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🌍 World Thyroid Day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18"/>
          <w:szCs w:val="18"/>
        </w:rPr>
        <w:t xml:space="preserve">Rekomendacja: intensyfikuj budżet w Październiku–Grudniu (peak organiki = mniejszy gap do uzupełnienia reklamami). Kampania letnia wymaga 2× więcej spend na ten sam wynik. Skorzystaj z World Thyroid Day (25 maja) jako PR-owego haka dla Merck.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Bdr>
          <w:bottom w:val="single" w:color="2563EB" w:sz="6" w:space="4"/>
        </w:pBdr>
        <w:spacing w:after="60" w:before="3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REKOMENDOWANE DZIAŁANIA – CO ZROBIĆ TERAZ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BEAFE"/>
                <w:sz w:val="52"/>
                <w:szCs w:val="52"/>
              </w:rPr>
              <w:t xml:space="preserve">1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0B981"/>
                <w:sz w:val="16"/>
                <w:szCs w:val="16"/>
              </w:rPr>
              <w:t xml:space="preserve">[SZYBKI ZYSK]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Push notification do zalogowanych użytkowników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Najszybszy sposób na zalogowany UU – jeden push do lekarzy/studentów = bezpośredni ruch bez konwersji. Segmentuj na: lekarze + studenci. Wiadomość kliniczna, nie reklamowa. Możliwe do uruchomienia w ciągu 1 dnia.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BEAFE"/>
                <w:sz w:val="52"/>
                <w:szCs w:val="52"/>
              </w:rPr>
              <w:t xml:space="preserve">2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[ZERO KOSZTU]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In-app banner / featured content na dashboardzie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Przypnij poradnik tarczycy na stronie głównej Remedium na 1–2 tygodnie. Zero kosztu, bezpośredni ruch zalogowanych. Dashboard jest jednym z najchętniej odwiedzanych miejsc w aplikacji.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BEAFE"/>
                <w:sz w:val="52"/>
                <w:szCs w:val="52"/>
              </w:rPr>
              <w:t xml:space="preserve">3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0B981"/>
                <w:sz w:val="16"/>
                <w:szCs w:val="16"/>
              </w:rPr>
              <w:t xml:space="preserve">[HIGH ROI]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Email newsletter do zarejestrowanych użytkowników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Segment: lekarze + studenci medycyny. Direct link do poradnika = 100% zalogowany UU po kliknięciu. Subjectline kliniczny: "Jak rozpoznać niedoczynność tarczycy w POZ – nowy poradnik".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BEAFE"/>
                <w:sz w:val="52"/>
                <w:szCs w:val="52"/>
              </w:rPr>
              <w:t xml:space="preserve">4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[KRYTYCZNE]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Meta Ads – zmień targeting na Custom Audience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Jeśli kampania idzie na cold audience, większość kliknięć NIE liczy się do KPI zalogowanego UU. Natychmiast dodaj Custom Audience z listy emaili zarejestrowanych userów Remedium. Klik od istniejącego usera = zalogowany UU bez potrzeby rejestracji.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BEAFE"/>
                <w:sz w:val="52"/>
                <w:szCs w:val="52"/>
              </w:rPr>
              <w:t xml:space="preserve">5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[DŁUGOFALOWE]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Meta Ads – Lookalike 1% na bazie lekarzy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Wygeneruj Lookalike Audience z listy lekarzy (role=doctor). Target: Polska, 25–45 lat. Kreacja: carousel z 5 kluczowymi objawami niedoczynności + CTA do poradnika. Nowi userzy wymagają rejestracji – liczyć ich do KPI z opóźnieniem.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22"/>
                <w:szCs w:val="22"/>
              </w:rPr>
              <w:t xml:space="preserve">Podsumowanie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KPI 150 zalogowanych UU/mies. wymaga kampanii – organika daje max ~105 UU (peak). Najtańsza ścieżka: remarketing do istniejących użytkowników (push + email + Meta Custom Audience). Cold audience Meta jest pomocniczy – buduje zasięg i nowych userów, ale droższy na policzony UU. Optymalny czas intensyfikacji: Październik–Grudzień. Warto renegocjować z Merkiem KPI do 200–300 UU jeśli budżet na to pozwala.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Remedium / Brandmed  ·  Kampania Merck 2025  ·  Strona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	Poufne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2026-03-18T14:01:13.916Z</dcterms:created>
  <dcterms:modified xsi:type="dcterms:W3CDTF">2026-03-18T14:01:13.916Z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