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F85149"/>
          <w:sz w:val="48"/>
          <w:szCs w:val="48"/>
        </w:rPr>
        <w:t xml:space="preserve">Sezon alergiczny 2026</w:t>
      </w:r>
    </w:p>
    <w:p>
      <w:pPr>
        <w:spacing w:after="80"/>
      </w:pPr>
      <w:r>
        <w:rPr>
          <w:rFonts w:ascii="Arial" w:cs="Arial" w:eastAsia="Arial" w:hAnsi="Arial"/>
          <w:color w:val="E6EDF3"/>
          <w:sz w:val="36"/>
          <w:szCs w:val="36"/>
        </w:rPr>
        <w:t xml:space="preserve">Insighty dla sprzedaży</w:t>
      </w:r>
    </w:p>
    <w:p>
      <w:pPr>
        <w:pBdr>
          <w:bottom w:val="single" w:color="F85149" w:sz="6" w:space="8"/>
        </w:pBdr>
        <w:spacing w:after="300"/>
      </w:pPr>
      <w:r>
        <w:rPr>
          <w:color w:val="8B949E"/>
          <w:sz w:val="20"/>
          <w:szCs w:val="20"/>
        </w:rPr>
        <w:t xml:space="preserve">Analiza ruchu, profilu użytkowników i potencjału komercyjnego w obszarze alergologii i pokrewnych. Dane z PostHog, 19 marca 2026.</w:t>
      </w:r>
    </w:p>
    <w:p>
      <w:pPr>
        <w:pStyle w:val="Heading2"/>
      </w:pPr>
      <w:r>
        <w:t xml:space="preserve">Ruch alergologiczny — dołek zimowy i wiosenny wzrost</w:t>
      </w:r>
    </w:p>
    <w:p>
      <w:pPr>
        <w:spacing w:after="40"/>
      </w:pPr>
      <w:r>
        <w:rPr>
          <w:color w:val="8B949E"/>
          <w:sz w:val="18"/>
          <w:szCs w:val="18"/>
        </w:rPr>
        <w:t xml:space="preserve">Pageviews + wyszukiwania tematów alergologicznych. Unikalni użytkownicy z rolą, bez backoffice.</w:t>
      </w:r>
    </w:p>
    <w:p>
      <w:pPr>
        <w:spacing w:after="200"/>
        <w:jc w:val="center"/>
      </w:pPr>
      <w:r>
        <w:drawing>
          <wp:inline distT="0" distB="0" distL="0" distR="0">
            <wp:extent cx="6477000" cy="3009900"/>
            <wp:effectExtent t="0" r="0" b="0" l="0"/>
            <wp:docPr id="1" name="chart1" descr="Total allergy traffic" titl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8B949E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Dołek (VIII.25)</w:t>
            </w:r>
          </w:p>
          <w:p>
            <w:r>
              <w:rPr>
                <w:rFonts w:ascii="Arial" w:cs="Arial" w:eastAsia="Arial" w:hAnsi="Arial"/>
                <w:b/>
                <w:bCs/>
                <w:color w:val="8B949E"/>
                <w:sz w:val="28"/>
                <w:szCs w:val="28"/>
              </w:rPr>
              <w:t xml:space="preserve">1 078 UU</w:t>
            </w:r>
          </w:p>
          <w:p>
            <w:r>
              <w:rPr>
                <w:rFonts w:ascii="Arial" w:cs="Arial" w:eastAsia="Arial" w:hAnsi="Arial"/>
                <w:color w:val="8B949E"/>
                <w:sz w:val="14"/>
                <w:szCs w:val="14"/>
              </w:rPr>
              <w:t xml:space="preserve">najniższy punkt</w:t>
            </w:r>
          </w:p>
        </w:tc>
        <w:tc>
          <w:tcPr>
            <w:tcW w:type="dxa" w:w="2520"/>
            <w:tcBorders>
              <w:top w:val="single" w:color="BC8CFF" w:sz="3"/>
              <w:left w:val="single" w:color="30363D" w:sz="1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Pik XII.25</w:t>
            </w:r>
          </w:p>
          <w:p>
            <w:r>
              <w:rPr>
                <w:rFonts w:ascii="Arial" w:cs="Arial" w:eastAsia="Arial" w:hAnsi="Arial"/>
                <w:b/>
                <w:bCs/>
                <w:color w:val="BC8CFF"/>
                <w:sz w:val="28"/>
                <w:szCs w:val="28"/>
              </w:rPr>
              <w:t xml:space="preserve">2 998 UU</w:t>
            </w:r>
          </w:p>
          <w:p>
            <w:r>
              <w:rPr>
                <w:rFonts w:ascii="Arial" w:cs="Arial" w:eastAsia="Arial" w:hAnsi="Arial"/>
                <w:color w:val="8B949E"/>
                <w:sz w:val="14"/>
                <w:szCs w:val="14"/>
              </w:rPr>
              <w:t xml:space="preserve">+178% vs dołek</w:t>
            </w:r>
          </w:p>
        </w:tc>
        <w:tc>
          <w:tcPr>
            <w:tcW w:type="dxa" w:w="2520"/>
            <w:tcBorders>
              <w:top w:val="single" w:color="3FB950" w:sz="3"/>
              <w:left w:val="single" w:color="30363D" w:sz="1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Sty-Lut y/y</w:t>
            </w:r>
          </w:p>
          <w:p>
            <w:r>
              <w:rPr>
                <w:rFonts w:ascii="Arial" w:cs="Arial" w:eastAsia="Arial" w:hAnsi="Arial"/>
                <w:b/>
                <w:bCs/>
                <w:color w:val="3FB950"/>
                <w:sz w:val="28"/>
                <w:szCs w:val="28"/>
              </w:rPr>
              <w:t xml:space="preserve">+51%</w:t>
            </w:r>
          </w:p>
          <w:p>
            <w:r>
              <w:rPr>
                <w:rFonts w:ascii="Arial" w:cs="Arial" w:eastAsia="Arial" w:hAnsi="Arial"/>
                <w:color w:val="8B949E"/>
                <w:sz w:val="14"/>
                <w:szCs w:val="14"/>
              </w:rPr>
              <w:t xml:space="preserve">3 892 vs 2 574 UU</w:t>
            </w:r>
          </w:p>
        </w:tc>
        <w:tc>
          <w:tcPr>
            <w:tcW w:type="dxa" w:w="2520"/>
            <w:tcBorders>
              <w:top w:val="single" w:color="F85149" w:sz="3"/>
              <w:left w:val="single" w:color="30363D" w:sz="1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III.26* (19/31 dni)</w:t>
            </w:r>
          </w:p>
          <w:p>
            <w:r>
              <w:rPr>
                <w:rFonts w:ascii="Arial" w:cs="Arial" w:eastAsia="Arial" w:hAnsi="Arial"/>
                <w:b/>
                <w:bCs/>
                <w:color w:val="F85149"/>
                <w:sz w:val="28"/>
                <w:szCs w:val="28"/>
              </w:rPr>
              <w:t xml:space="preserve">1 254 UU</w:t>
            </w:r>
          </w:p>
          <w:p>
            <w:r>
              <w:rPr>
                <w:rFonts w:ascii="Arial" w:cs="Arial" w:eastAsia="Arial" w:hAnsi="Arial"/>
                <w:color w:val="8B949E"/>
                <w:sz w:val="14"/>
                <w:szCs w:val="14"/>
              </w:rPr>
              <w:t xml:space="preserve">ekstr. ~2 045</w:t>
            </w:r>
          </w:p>
        </w:tc>
      </w:tr>
    </w:tbl>
    <w:p>
      <w:pPr>
        <w:spacing w:after="100" w:before="200"/>
      </w:pPr>
    </w:p>
    <w:p>
      <w:pPr>
        <w:pStyle w:val="Heading3"/>
      </w:pPr>
      <w:r>
        <w:t xml:space="preserve">Dane miesięczne (UU)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/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VI.25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VII.25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VIII.25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IX.25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X.25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XI.25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XII.25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I.26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II.26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III.26*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Alergologia 2025/26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1223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1151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1078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1815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1438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2395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2998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1913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1979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1254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Rok wcześniej (+12m)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1163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1411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1963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2184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1313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1160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1099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1039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1771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1402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C8CFF"/>
                <w:sz w:val="18"/>
                <w:szCs w:val="18"/>
              </w:rPr>
              <w:t xml:space="preserve">Dermatologia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2192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2522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2445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2955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3066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3771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4007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3056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3179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1735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Pulmonologia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1667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1612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1472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1520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1909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2860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3688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2867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2957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1763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Kto generuje ten ruch? Podział na role</w:t>
      </w:r>
    </w:p>
    <w:p>
      <w:pPr>
        <w:spacing w:after="40"/>
      </w:pPr>
      <w:r>
        <w:rPr>
          <w:color w:val="8B949E"/>
          <w:sz w:val="18"/>
          <w:szCs w:val="18"/>
        </w:rPr>
        <w:t xml:space="preserve">To NIE alergolodzy — to lekarze POZ, rezydenci i studenci medycyny szukający wiedzy o alergiach.</w:t>
      </w:r>
    </w:p>
    <w:p>
      <w:pPr>
        <w:spacing w:after="200"/>
        <w:jc w:val="center"/>
      </w:pPr>
      <w:r>
        <w:drawing>
          <wp:inline distT="0" distB="0" distL="0" distR="0">
            <wp:extent cx="6477000" cy="3009900"/>
            <wp:effectExtent t="0" r="0" b="0" l="0"/>
            <wp:docPr id="1" name="chart2" descr="Roles breakdown" titl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/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VI.25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VII.25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VIII.25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IX.25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X.25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XI.25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XII.25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I.26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II.26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6"/>
                <w:szCs w:val="16"/>
              </w:rPr>
              <w:t xml:space="preserve">III.26*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8A6FF"/>
                <w:sz w:val="18"/>
                <w:szCs w:val="18"/>
              </w:rPr>
              <w:t xml:space="preserve">Lek. bez specjalizacji (POZ)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438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426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448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779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507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939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1112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648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657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8A6FF"/>
                <w:sz w:val="18"/>
                <w:szCs w:val="18"/>
              </w:rPr>
              <w:t xml:space="preserve">641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FB950"/>
                <w:sz w:val="18"/>
                <w:szCs w:val="18"/>
              </w:rPr>
              <w:t xml:space="preserve">Rezydenci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201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192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177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303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222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347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565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292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280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B950"/>
                <w:sz w:val="18"/>
                <w:szCs w:val="18"/>
              </w:rPr>
              <w:t xml:space="preserve">316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Stażyści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104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85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121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242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202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344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420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246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231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29922"/>
                <w:sz w:val="18"/>
                <w:szCs w:val="18"/>
              </w:rPr>
              <w:t xml:space="preserve">215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Specjaliści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108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143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55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88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79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173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323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200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242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85149"/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C8CFF"/>
                <w:sz w:val="18"/>
                <w:szCs w:val="18"/>
              </w:rPr>
              <w:t xml:space="preserve">Studenci medycyny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240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210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213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309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355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470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404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401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446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C8CFF"/>
                <w:sz w:val="18"/>
                <w:szCs w:val="18"/>
              </w:rPr>
              <w:t xml:space="preserve">468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Inni (farmaceuci, pielęgniarki...)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69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95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64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94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73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122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174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126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123</w:t>
            </w:r>
          </w:p>
        </w:tc>
        <w:tc>
          <w:tcPr>
            <w:tcW w:type="dxa" w:w="717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type="dxa" w:w="3200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20"/>
                <w:szCs w:val="20"/>
              </w:rPr>
              <w:t xml:space="preserve">RAZEM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1160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1151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1078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1815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1438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2395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2998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1913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1979</w:t>
            </w:r>
          </w:p>
        </w:tc>
        <w:tc>
          <w:tcPr>
            <w:tcW w:type="dxa" w:w="717"/>
            <w:tcBorders>
              <w:top w:val="single" w:color="E6EDF3" w:sz="3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2045</w:t>
            </w:r>
          </w:p>
        </w:tc>
      </w:tr>
    </w:tbl>
    <w:p>
      <w:pPr>
        <w:pStyle w:val="Heading3"/>
        <w:spacing w:before="300"/>
      </w:pPr>
      <w:r>
        <w:t xml:space="preserve">Kluczowy insight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50%+ ruchu to lekarze bez specjalizacji (pracujący w POZ) — dokładnie ci, którzy wypisują recepty na antyhistaminiki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26% to rezydenci — budują bazę wiedzy, przyszli decydenci terapeutyczni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Dominujące specjalizacje: medycyna rodzinna (375 UU), pediatria (244 UU), choroby wewnętrzne (185 UU)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Wzrost widać we WSZYSTKICH grupach — baseline rośnie organicznie +51% r/r</w:t>
      </w:r>
    </w:p>
    <w:p>
      <w:r>
        <w:br w:type="page"/>
      </w:r>
    </w:p>
    <w:p>
      <w:pPr>
        <w:pStyle w:val="Heading2"/>
      </w:pPr>
      <w:r>
        <w:t xml:space="preserve">Potencjał komercyjny — komu i co sprzedać?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3680"/>
      </w:tblGrid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Firma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Obszar / Produkt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Budżet 100%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1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Formaty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Adamed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Hitaxa, Adablix — alergia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319 000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Ścieżki edu, kampania IV-VIII, PKwPOZ Alergo złoty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Glenmark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Ryaltris — alergologia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250 600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Do ustalenia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Aflofarm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Derma/Alergologia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102 000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PKwPOZ derma srebrny, kampania wizerunkowa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Chiesi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Astma (Trimbow) + POChP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133 500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Ścieżki edu, kampania wizerunkowa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OM Pharma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Jovesto, Nasometin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297 000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Kurs immunologia, PKwPOZ alergo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Pfizer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Histigen — alergologia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100 000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Kampania wizerunkowa, PKwPOZ alergologia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85149"/>
                <w:sz w:val="18"/>
                <w:szCs w:val="18"/>
              </w:rPr>
              <w:t xml:space="preserve">Orion Pharma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Bufomix — pulmo/astma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B950"/>
                <w:sz w:val="18"/>
                <w:szCs w:val="18"/>
              </w:rPr>
              <w:t xml:space="preserve">206 000 zł</w:t>
            </w:r>
          </w:p>
        </w:tc>
        <w:tc>
          <w:tcPr>
            <w:tcW w:type="dxa" w:w="3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EDF3"/>
                <w:sz w:val="18"/>
                <w:szCs w:val="18"/>
              </w:rPr>
              <w:t xml:space="preserve">Ścieżki edu astma, PKwPOZ pulmo złoty</w:t>
            </w:r>
          </w:p>
        </w:tc>
      </w:tr>
    </w:tbl>
    <w:p>
      <w:pPr>
        <w:pStyle w:val="Heading2"/>
        <w:spacing w:before="400"/>
      </w:pPr>
      <w:r>
        <w:t xml:space="preserve">Argumenty sprzedażowe</w:t>
      </w:r>
    </w:p>
    <w:p>
      <w:pPr>
        <w:pStyle w:val="Heading3"/>
        <w:spacing w:before="200"/>
      </w:pPr>
      <w:r>
        <w:rPr>
          <w:color w:val="F85149"/>
        </w:rPr>
        <w:t xml:space="preserve">Dlaczego TERAZ?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Sezon alergiczny zaczyna się w marcu — ruch rośnie m/m i szczytuje w kwietniu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Q1 2026 jest o 51% silniejsze niż Q1 2025 — baza rośnie organicznie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Lekarze POZ (główna grupa wypisująca recepty na antyhistaminiki) stanowią 50%+ ruchu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Okno decyzyjne kampanii to TERAZ — startując w maju tracimy pik sezonu</w:t>
      </w:r>
    </w:p>
    <w:p>
      <w:pPr>
        <w:pStyle w:val="Heading3"/>
        <w:spacing w:before="200"/>
      </w:pPr>
      <w:r>
        <w:rPr>
          <w:color w:val="D29922"/>
        </w:rPr>
        <w:t xml:space="preserve">Cross-sell: alergo + derma + pulmo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Alergologia: ~2 400 UU/mies. w szczycie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Dermatologia: ~3 000-4 000 UU/mies. stabilnie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Pulmonologia: ~2 900 UU/mies.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Łącznie: do 9 000 UU/mies. — konferencja łączona (PKwPOZ jesień 2025) = 2 356 UU jednorazowo</w:t>
      </w:r>
    </w:p>
    <w:p>
      <w:pPr>
        <w:pStyle w:val="Heading3"/>
        <w:spacing w:before="200"/>
      </w:pPr>
      <w:r>
        <w:rPr>
          <w:color w:val="BC8CFF"/>
        </w:rPr>
        <w:t xml:space="preserve">Rekomendowane formaty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Pakiet “Sezon alergiczny” (IV-VIII): kampania banerowa + newsletter + aplikacja mobilna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Konferencja PKwPOZ Alergologia: sponsoring złoty/srebrny/brązowy (15-45k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Ścieżka edukacyjna Alergie (typ 2): 228 000 zł/rok — format systematyczny dla rezydentów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E6EDF3"/>
          <w:sz w:val="20"/>
          <w:szCs w:val="20"/>
        </w:rPr>
        <w:t xml:space="preserve">Webinar + VOD replay: 500-950 UU zasięgu per temat, high-engagement format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949E"/>
        <w:sz w:val="16"/>
        <w:szCs w:val="16"/>
      </w:rPr>
      <w:t xml:space="preserve">Źródło: PostHog (role IS SET, bez backoffice) + budżetowanie 2026  |  Strona </w:t>
    </w:r>
    <w:r>
      <w:rPr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85149" w:sz="4" w:space="4"/>
      </w:pBdr>
      <w:tabs>
        <w:tab w:val="right" w:pos="10080"/>
      </w:tabs>
    </w:pPr>
    <w:r>
      <w:rPr>
        <w:rFonts w:ascii="Arial" w:cs="Arial" w:eastAsia="Arial" w:hAnsi="Arial"/>
        <w:color w:val="8B949E"/>
        <w:sz w:val="16"/>
        <w:szCs w:val="16"/>
      </w:rPr>
      <w:t xml:space="preserve">REMEDIUM — Insighty sprzedażowe</w:t>
    </w:r>
    <w:r>
      <w:rPr>
        <w:rFonts w:ascii="Arial" w:cs="Arial" w:eastAsia="Arial" w:hAnsi="Arial"/>
        <w:color w:val="8B949E"/>
        <w:sz w:val="16"/>
        <w:szCs w:val="16"/>
      </w:rPr>
      <w:t xml:space="preserve">	Marzec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6EDF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8514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58A6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FB9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fb00165966b9c5fb13c28b5be1022c30db8633.png"/><Relationship Id="rId10" Type="http://schemas.openxmlformats.org/officeDocument/2006/relationships/image" Target="media/06c1ff4b8116197c17e08121d90f4f453587541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2026-03-19T11:01:11.554Z</dcterms:created>
  <dcterms:modified xsi:type="dcterms:W3CDTF">2026-03-19T11:01:11.554Z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