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widowControl/>
        <w:suppressLineNumbers w:val="0"/>
        <w:jc w:val="left"/>
        <w:rPr>
          <w:rFonts w:ascii="Hiragino Sans GB" w:hAnsi="Hiragino Sans GB" w:eastAsia="Hiragino Sans GB" w:cs="Hiragino Sans GB"/>
          <w:i w:val="0"/>
          <w:iCs w:val="0"/>
          <w:caps w:val="0"/>
          <w:color w:val="2F2F2F"/>
          <w:spacing w:val="0"/>
          <w:kern w:val="0"/>
          <w:sz w:val="18"/>
          <w:szCs w:val="18"/>
          <w:shd w:val="clear" w:fill="FFFFFF"/>
          <w:lang w:val="en-US" w:eastAsia="zh-CN" w:bidi="ar"/>
        </w:rPr>
      </w:pPr>
      <w:r>
        <w:rPr>
          <w:rFonts w:hint="eastAsia" w:ascii="Hiragino Sans GB" w:hAnsi="Hiragino Sans GB" w:eastAsia="Hiragino Sans GB" w:cs="Hiragino Sans GB"/>
          <w:i w:val="0"/>
          <w:iCs w:val="0"/>
          <w:caps w:val="0"/>
          <w:color w:val="2F2F2F"/>
          <w:spacing w:val="0"/>
          <w:kern w:val="0"/>
          <w:sz w:val="18"/>
          <w:szCs w:val="18"/>
          <w:shd w:val="clear" w:fill="FFFFFF"/>
          <w:lang w:val="en-US" w:eastAsia="zh-CN" w:bidi="ar"/>
        </w:rPr>
        <w:t>https://www.court.gov.cn/fabu/xiangqing/282071.html</w:t>
      </w:r>
    </w:p>
    <w:p>
      <w:pPr>
        <w:keepNext w:val="0"/>
        <w:keepLines w:val="0"/>
        <w:widowControl/>
        <w:suppressLineNumbers w:val="0"/>
        <w:jc w:val="left"/>
        <w:rPr>
          <w:rFonts w:ascii="Hiragino Sans GB" w:hAnsi="Hiragino Sans GB" w:eastAsia="Hiragino Sans GB" w:cs="Hiragino Sans GB"/>
          <w:i w:val="0"/>
          <w:iCs w:val="0"/>
          <w:caps w:val="0"/>
          <w:color w:val="2F2F2F"/>
          <w:spacing w:val="0"/>
          <w:kern w:val="0"/>
          <w:sz w:val="28"/>
          <w:szCs w:val="28"/>
          <w:shd w:val="clear" w:fill="FFFFFF"/>
          <w:lang w:val="en-US" w:eastAsia="zh-CN" w:bidi="ar"/>
        </w:rPr>
      </w:pPr>
      <w:r>
        <w:rPr>
          <w:rFonts w:ascii="Hiragino Sans GB" w:hAnsi="Hiragino Sans GB" w:eastAsia="Hiragino Sans GB" w:cs="Hiragino Sans GB"/>
          <w:i w:val="0"/>
          <w:iCs w:val="0"/>
          <w:caps w:val="0"/>
          <w:color w:val="2F2F2F"/>
          <w:spacing w:val="0"/>
          <w:kern w:val="0"/>
          <w:sz w:val="28"/>
          <w:szCs w:val="28"/>
          <w:shd w:val="clear" w:fill="FFFFFF"/>
          <w:lang w:val="en-US" w:eastAsia="zh-CN" w:bidi="ar"/>
        </w:rPr>
        <w:t>最高人民法院关于适用《中华人民共和国民法典》婚姻家庭编的解释（一）</w:t>
      </w:r>
    </w:p>
    <w:p>
      <w:pPr>
        <w:keepNext w:val="0"/>
        <w:keepLines w:val="0"/>
        <w:widowControl/>
        <w:suppressLineNumbers w:val="0"/>
        <w:jc w:val="left"/>
        <w:rPr>
          <w:sz w:val="22"/>
          <w:szCs w:val="22"/>
        </w:rPr>
      </w:pPr>
      <w:r>
        <w:rPr>
          <w:rFonts w:hint="eastAsia" w:ascii="Arial" w:hAnsi="Arial" w:eastAsia="Arial" w:cs="Arial"/>
          <w:i w:val="0"/>
          <w:iCs w:val="0"/>
          <w:caps w:val="0"/>
          <w:color w:val="2F2F2F"/>
          <w:spacing w:val="0"/>
          <w:kern w:val="0"/>
          <w:sz w:val="22"/>
          <w:szCs w:val="22"/>
          <w:shd w:val="clear" w:fill="FFFFFF"/>
          <w:lang w:val="en-US" w:eastAsia="zh-CN" w:bidi="ar"/>
        </w:rPr>
        <w:t>《最高人民法院关于适用〈中华人民共和国民法典〉婚姻家庭编的解释（一）》已于2020年12月25日由最高人民法院审判委员会第1825次会议通过，现予公布，自2021年1月1日起施行。</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jc w:val="center"/>
        <w:rPr>
          <w:rFonts w:hint="eastAsia" w:ascii="Arial" w:hAnsi="Arial" w:eastAsia="Arial" w:cs="Arial"/>
          <w:i w:val="0"/>
          <w:iCs w:val="0"/>
          <w:caps w:val="0"/>
          <w:color w:val="2F2F2F"/>
          <w:spacing w:val="0"/>
          <w:sz w:val="22"/>
          <w:szCs w:val="22"/>
        </w:rPr>
      </w:pPr>
      <w:r>
        <w:rPr>
          <w:rFonts w:hint="default" w:ascii="Arial" w:hAnsi="Arial" w:eastAsia="Arial" w:cs="Arial"/>
          <w:i w:val="0"/>
          <w:iCs w:val="0"/>
          <w:caps w:val="0"/>
          <w:color w:val="2F2F2F"/>
          <w:spacing w:val="0"/>
          <w:sz w:val="22"/>
          <w:szCs w:val="22"/>
          <w:shd w:val="clear" w:fill="FFFFFF"/>
        </w:rPr>
        <w:t>法释〔2020〕22号</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jc w:val="center"/>
        <w:rPr>
          <w:rFonts w:hint="default" w:ascii="Arial" w:hAnsi="Arial" w:eastAsia="Arial" w:cs="Arial"/>
          <w:i w:val="0"/>
          <w:iCs w:val="0"/>
          <w:caps w:val="0"/>
          <w:color w:val="2F2F2F"/>
          <w:spacing w:val="0"/>
          <w:sz w:val="22"/>
          <w:szCs w:val="22"/>
        </w:rPr>
      </w:pPr>
      <w:r>
        <w:rPr>
          <w:rStyle w:val="5"/>
          <w:rFonts w:hint="default" w:ascii="Arial" w:hAnsi="Arial" w:eastAsia="Arial" w:cs="Arial"/>
          <w:i w:val="0"/>
          <w:iCs w:val="0"/>
          <w:caps w:val="0"/>
          <w:color w:val="2F2F2F"/>
          <w:spacing w:val="0"/>
          <w:sz w:val="22"/>
          <w:szCs w:val="22"/>
          <w:shd w:val="clear" w:fill="FFFFFF"/>
        </w:rPr>
        <w:t>最高人民法院关于适用</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jc w:val="center"/>
        <w:rPr>
          <w:rFonts w:hint="default" w:ascii="Arial" w:hAnsi="Arial" w:eastAsia="Arial" w:cs="Arial"/>
          <w:i w:val="0"/>
          <w:iCs w:val="0"/>
          <w:caps w:val="0"/>
          <w:color w:val="2F2F2F"/>
          <w:spacing w:val="0"/>
          <w:sz w:val="22"/>
          <w:szCs w:val="22"/>
        </w:rPr>
      </w:pPr>
      <w:r>
        <w:rPr>
          <w:rStyle w:val="5"/>
          <w:rFonts w:hint="default" w:ascii="Arial" w:hAnsi="Arial" w:eastAsia="Arial" w:cs="Arial"/>
          <w:i w:val="0"/>
          <w:iCs w:val="0"/>
          <w:caps w:val="0"/>
          <w:color w:val="2F2F2F"/>
          <w:spacing w:val="0"/>
          <w:sz w:val="22"/>
          <w:szCs w:val="22"/>
          <w:shd w:val="clear" w:fill="FFFFFF"/>
        </w:rPr>
        <w:t>《中华人民共和国民法典》婚姻家庭编的解释（一）</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jc w:val="center"/>
        <w:rPr>
          <w:rFonts w:hint="default" w:ascii="Arial" w:hAnsi="Arial" w:eastAsia="Arial" w:cs="Arial"/>
          <w:i w:val="0"/>
          <w:iCs w:val="0"/>
          <w:caps w:val="0"/>
          <w:color w:val="2F2F2F"/>
          <w:spacing w:val="0"/>
          <w:sz w:val="22"/>
          <w:szCs w:val="22"/>
        </w:rPr>
      </w:pPr>
      <w:r>
        <w:rPr>
          <w:rFonts w:hint="default" w:ascii="Arial" w:hAnsi="Arial" w:eastAsia="Arial" w:cs="Arial"/>
          <w:i w:val="0"/>
          <w:iCs w:val="0"/>
          <w:caps w:val="0"/>
          <w:color w:val="2F2F2F"/>
          <w:spacing w:val="0"/>
          <w:sz w:val="22"/>
          <w:szCs w:val="22"/>
          <w:shd w:val="clear" w:fill="FFFFFF"/>
        </w:rPr>
        <w:t>（2020年12月25日最高人民法院审判委员会</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jc w:val="center"/>
        <w:rPr>
          <w:rFonts w:hint="default" w:ascii="Arial" w:hAnsi="Arial" w:eastAsia="Arial" w:cs="Arial"/>
          <w:i w:val="0"/>
          <w:iCs w:val="0"/>
          <w:caps w:val="0"/>
          <w:color w:val="2F2F2F"/>
          <w:spacing w:val="0"/>
          <w:sz w:val="22"/>
          <w:szCs w:val="22"/>
        </w:rPr>
      </w:pPr>
      <w:r>
        <w:rPr>
          <w:rFonts w:hint="default" w:ascii="Arial" w:hAnsi="Arial" w:eastAsia="Arial" w:cs="Arial"/>
          <w:i w:val="0"/>
          <w:iCs w:val="0"/>
          <w:caps w:val="0"/>
          <w:color w:val="2F2F2F"/>
          <w:spacing w:val="0"/>
          <w:sz w:val="22"/>
          <w:szCs w:val="22"/>
          <w:shd w:val="clear" w:fill="FFFFFF"/>
        </w:rPr>
        <w:t>第1825次会议通过，自2021年1月1日起施行）</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eastAsia"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为正确审理婚姻家庭纠纷案件，根据《中华人民共和国民法典》《中华人民共和国民事诉讼法》等相关法律规定，结合审判实践，制定本解释。</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Style w:val="5"/>
          <w:rFonts w:hint="default" w:ascii="Arial" w:hAnsi="Arial" w:eastAsia="Arial" w:cs="Arial"/>
          <w:i w:val="0"/>
          <w:iCs w:val="0"/>
          <w:caps w:val="0"/>
          <w:color w:val="2F2F2F"/>
          <w:spacing w:val="0"/>
          <w:sz w:val="18"/>
          <w:szCs w:val="18"/>
          <w:shd w:val="clear" w:fill="FFFFFF"/>
        </w:rPr>
        <w:t>　　一、一般规定</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第一条持续性、经常性的家庭暴力，可以认定为民法典第一千零四十二条、第一千零七十九条、第一千零九十一条所称的“虐待”。</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第二条民法典第一千零四十二条、第一千零七十九条、第一千零九十一条规定的“与他人同居”的情形，是指有配偶者与婚外异性，不以夫妻名义，持续、稳定地共同居住。</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第三条当事人提起诉讼仅请求解除同居关系的，人民法院不予受理；已经受理的，裁定驳回起诉。</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当事人因同居期间财产分割或者子女抚养纠纷提起诉讼的，人民法院应当受理。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第四条当事人仅以民法典第一千零四十三条为依据提起诉讼的，人民法院不予受理；已经受理的，裁定驳回起诉。</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highlight w:val="lightGray"/>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lightGray"/>
          <w:shd w:val="clear" w:fill="FFFFFF"/>
        </w:rPr>
        <w:t>第五条当事人请求返还按照习俗给付的彩礼的，如果查明属于以下情形，人民法院应当予以支持：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highlight w:val="lightGray"/>
        </w:rPr>
      </w:pPr>
      <w:r>
        <w:rPr>
          <w:rFonts w:hint="default" w:ascii="Arial" w:hAnsi="Arial" w:eastAsia="Arial" w:cs="Arial"/>
          <w:i w:val="0"/>
          <w:iCs w:val="0"/>
          <w:caps w:val="0"/>
          <w:color w:val="2F2F2F"/>
          <w:spacing w:val="0"/>
          <w:sz w:val="18"/>
          <w:szCs w:val="18"/>
          <w:highlight w:val="lightGray"/>
          <w:shd w:val="clear" w:fill="FFFFFF"/>
        </w:rPr>
        <w:t>　　（一）双方未办理结婚登记手续；</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highlight w:val="lightGray"/>
        </w:rPr>
      </w:pPr>
      <w:r>
        <w:rPr>
          <w:rFonts w:hint="default" w:ascii="Arial" w:hAnsi="Arial" w:eastAsia="Arial" w:cs="Arial"/>
          <w:i w:val="0"/>
          <w:iCs w:val="0"/>
          <w:caps w:val="0"/>
          <w:color w:val="2F2F2F"/>
          <w:spacing w:val="0"/>
          <w:sz w:val="18"/>
          <w:szCs w:val="18"/>
          <w:highlight w:val="lightGray"/>
          <w:shd w:val="clear" w:fill="FFFFFF"/>
        </w:rPr>
        <w:t>　　（二）双方办理结婚登记手续但确未共同生活；</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highlight w:val="lightGray"/>
        </w:rPr>
      </w:pPr>
      <w:r>
        <w:rPr>
          <w:rFonts w:hint="default" w:ascii="Arial" w:hAnsi="Arial" w:eastAsia="Arial" w:cs="Arial"/>
          <w:i w:val="0"/>
          <w:iCs w:val="0"/>
          <w:caps w:val="0"/>
          <w:color w:val="2F2F2F"/>
          <w:spacing w:val="0"/>
          <w:sz w:val="18"/>
          <w:szCs w:val="18"/>
          <w:highlight w:val="lightGray"/>
          <w:shd w:val="clear" w:fill="FFFFFF"/>
        </w:rPr>
        <w:t>　　（三）婚前给付并导致给付人生活困难。</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highlight w:val="lightGray"/>
          <w:shd w:val="clear" w:fill="FFFFFF"/>
        </w:rPr>
        <w:t>　　适用前款第二项、第三项的规定，应当以双方离婚为条件。</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Style w:val="5"/>
          <w:rFonts w:hint="default" w:ascii="Arial" w:hAnsi="Arial" w:eastAsia="Arial" w:cs="Arial"/>
          <w:i w:val="0"/>
          <w:iCs w:val="0"/>
          <w:caps w:val="0"/>
          <w:color w:val="2F2F2F"/>
          <w:spacing w:val="0"/>
          <w:sz w:val="18"/>
          <w:szCs w:val="18"/>
          <w:shd w:val="clear" w:fill="FFFFFF"/>
        </w:rPr>
        <w:t>　　二、结婚</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第六条男女双方依据民法典第一千零四十九条规定补办结婚登记的，婚姻关系的效力从双方均符合民法典所规定的结婚的实质要件时起算。</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第七条未依据民法典第一千零四十九条规定办理结婚登记而以夫妻名义共同生活的男女，提起诉讼要求离婚的，应当区别对待：</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（一）1994年2月1日民政部《婚姻登记管理条例》公布实施以前，男女双方已经符合结婚实质要件的，按事实婚姻处理。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（二）1994年2月1日民政部《婚姻登记管理条例》公布实施以后，男女双方符合结婚实质要件的，人民法院应当告知其补办结婚登记。未补办结婚登记的，依据本解释第三条规定处理。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第八条未依据民法典第一千零四十九条规定办理结婚登记而以夫妻名义共同生活的男女，一方死亡，另一方以配偶身份主张享有继承权的，依据本解释第七条的原则处理。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第九条有权依据民法典第一千零五十一条规定向人民法院就已办理结婚登记的婚姻请求确认婚姻无效的主体，包括婚姻当事人及利害关系人。其中，利害关系人包括：</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（一）以重婚为由的，为当事人的近亲属及基层组织；</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（二）以未到法定婚龄为由的，为未到法定婚龄者的近亲属；</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（三）以有禁止结婚的亲属关系为由的，为当事人的近亲属。</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第十条当事人依据民法典第一千零五十一条规定向人民法院请求确认婚姻无效，法定的无效婚姻情形在提起诉讼时已经消失的，人民法院不予支持。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第十一条人民法院受理请求确认婚姻无效案件后，原告申请撤诉的，不予准许。</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对婚姻效力的审理不适用调解，应当依法作出判决。</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涉及财产分割和子女抚养的，可以调解。调解达成协议的，另行制作调解书；未达成调解协议的，应当一并作出判决。</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第十二条人民法院受理离婚案件后，经审理确属无效婚姻的，应当将婚姻无效的情形告知当事人，并依法作出确认婚姻无效的判决。</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第十三条人民法院就同一婚姻关系分别受理了离婚和请求确认婚姻无效案件的，对于离婚案件的审理，应当待请求确认婚姻无效案件作出判决后进行。</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第十四条夫妻一方或者双方死亡后，生存一方或者利害关系人依据民法典第一千零五十一条的规定请求确认婚姻无效的，人民法院应当受理。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第十五条利害关系人依据民法典第一千零五十一条的规定，请求人民法院确认婚姻无效的，利害关系人为原告，婚姻关系当事人双方为被告。</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夫妻一方死亡的，生存一方为被告。</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第十六条人民法院审理重婚导致的无效婚姻案件时，涉及财产处理的，应当准许合法婚姻当事人作为有独立请求权的第三人参加诉讼。</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第十七条当事人以民法典第一千零五十一条规定的三种无效婚姻以外的情形请求确认婚姻无效的，人民法院应当判决驳回当事人的诉讼请求。</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当事人以结婚登记程序存在瑕疵为由提起民事诉讼，主张撤销结婚登记的，告知其可以依法申请行政复议或者提起行政诉讼。</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第十八条行为人以给另一方当事人或者其近亲属的生命、身体、健康、名誉、财产等方面造成损害为要挟，迫使另一方当事人违背真实意愿结婚的，可以认定为民法典第一千零五十二条所称的“胁迫”。</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因受胁迫而请求撤销婚姻的，只能是受胁迫一方的婚姻关系当事人本人。</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第十九条民法典第一千零五十二条规定的“一年”，不适用诉讼时效中止、中断或者延长的规定。</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受胁迫或者被非法限制人身自由的当事人请求撤销婚姻的，不适用民法典第一百五十二条第二款的规定。</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第二十条民法典第一千零五十四条所规定的“自始没有法律约束力”，是指无效婚姻或者可撤销婚姻在依法被确认无效或者被撤销时，才确定该婚姻自始不受法律保护。</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第二十一条人民法院根据当事人的请求，依法确认婚姻无效或者撤销婚姻的，应当收缴双方的结婚证书并将生效的判决书寄送当地婚姻登记管理机关。</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第二十二条被确认无效或者被撤销的婚姻，当事人同居期间所得的财产，除有证据证明为当事人一方所有的以外，按共同共有处理。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Style w:val="5"/>
          <w:rFonts w:hint="default" w:ascii="Arial" w:hAnsi="Arial" w:eastAsia="Arial" w:cs="Arial"/>
          <w:i w:val="0"/>
          <w:iCs w:val="0"/>
          <w:caps w:val="0"/>
          <w:color w:val="2F2F2F"/>
          <w:spacing w:val="0"/>
          <w:sz w:val="18"/>
          <w:szCs w:val="18"/>
          <w:shd w:val="clear" w:fill="FFFFFF"/>
        </w:rPr>
        <w:t>　　三、夫妻关系</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二十三条夫以妻擅自中止妊娠侵犯其生育权为由请求损害赔偿的，人民法院不予支持；夫妻双方因是否生育发生纠纷，致使感情确已破裂，一方请求离婚的，人民法院经调解无效，应依照民法典第一千零七十九条第三款第五项的规定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第二十四条民法典第一千零六十二条第一款第三项规定的“知识产权的收益”，是指婚姻关系存续期间，实际取得或者已经明确可以取得的财产性收益。</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第二十五条婚姻关系存续期间，下列财产属于民法典第一千零六十二条规定的“其他应当归共同所有的财产”：</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（一）一方以个人财产投资取得的收益；</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（二）男女双方实际取得或者应当取得的住房补贴、住房公积金；</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（三）男女双方实际取得或者应当取得的基本养老金、破产安置补偿费。</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第二十六条夫妻一方个人财产在婚后产生的收益，除孳息和自然增值外，应认定为夫妻共同财产。</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第二十七条由一方婚前承租、婚后用共同财产购买的房屋，登记在一方名下的，应当认定为夫妻共同财产。</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第二十八条一方未经另一方同意出售夫妻共同所有的房屋，第三人善意购买、支付合理对价并已办理不动产登记，另一方主张追回该房屋的，人民法院不予支持。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夫妻一方擅自处分共同所有的房屋造成另一方损失，离婚时另一方请求赔偿损失的，人民法院应予支持。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第二十九条当事人结婚前，父母为双方购置房屋出资的，该出资应当认定为对自己子女个人的赠与，但父母明确表示赠与双方的除外。</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当事人结婚后，父母为双方购置房屋出资的，依照约定处理；没有约定或者约定不明确的，按照民法典第一千零六十二条第一款第四项规定的原则处理。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第三十条军人的伤亡保险金、伤残补助金、医药生活补助费属于个人财产。</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第三十一条民法典第一千零六十三条规定为夫妻一方的个人财产，不因婚姻关系的延续而转化为夫妻共同财产。但当事人另有约定的除外。</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三十二条婚前或者婚姻关系存续期间，当事人约定将一方所有的房产赠与另一方或者共有，赠与方在赠与房产变更登记之前撤销赠与，另一方请求判令继续履行的，人民法院可以按照民法典第六百五十八条的规定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第三十三条债权人就一方婚前所负个人债务向债务人的配偶主张权利的，人民法院不予支持。但债权人能够证明所负债务用于婚后家庭共同生活的除外。</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第三十四条夫妻一方与第三人串通，虚构债务，第三人主张该债务为夫妻共同债务的，人民法院不予支持。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夫妻一方在从事赌博、吸毒等违法犯罪活动中所负债务，第三人主张该债务为夫妻共同债务的，人民法院不予支持。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第三十五条当事人的离婚协议或者人民法院生效判决、裁定、调解书已经对夫妻财产分割问题作出处理的，债权人仍有权就夫妻共同债务向男女双方主张权利。</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一方就夫妻共同债务承担清偿责任后，主张由另一方按照离婚协议或者人民法院的法律文书承担相应债务的，人民法院应予支持。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第三十六条夫或者妻一方死亡的，生存一方应当对婚姻关系存续期间的夫妻共同债务承担清偿责任。</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第三十七条民法典第一千零六十五条第三款所称“相对人知道该约定的”，夫妻一方对此负有举证责任。</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第三十八条婚姻关系存续期间，除民法典第一千零六十六条规定情形以外，夫妻一方请求分割共同财产的，人民法院不予支持。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Style w:val="5"/>
          <w:rFonts w:hint="default" w:ascii="Arial" w:hAnsi="Arial" w:eastAsia="Arial" w:cs="Arial"/>
          <w:i w:val="0"/>
          <w:iCs w:val="0"/>
          <w:caps w:val="0"/>
          <w:color w:val="2F2F2F"/>
          <w:spacing w:val="0"/>
          <w:sz w:val="18"/>
          <w:szCs w:val="18"/>
          <w:shd w:val="clear" w:fill="FFFFFF"/>
        </w:rPr>
        <w:t>　　四、父母子女关系</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第三十九条父或者母向人民法院起诉请求否认亲子关系，并已提供必要证据予以证明，另一方没有相反证据又拒绝做亲子鉴定的，人民法院可以认定否认亲子关系一方的主张成立。</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父或者母以及成年子女起诉请求确认亲子关系，并提供必要证据予以证明，另一方没有相反证据又拒绝做亲子鉴定的，人民法院可以认定确认亲子关系一方的主张成立。</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第四十条婚姻关系存续期间，夫妻双方一致同意进行人工授精，所生子女应视为婚生子女，父母子女间的权利义务关系适用民法典的有关规定。</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第四十一条尚在校接受高中及其以下学历教育，或者丧失、部分丧失劳动能力等非因主观原因而无法维持正常生活的成年子女，可以认定为民法典第一千零六十七条规定的“不能独立生活的成年子女”。</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lightGray"/>
          <w:shd w:val="clear" w:fill="FFFFFF"/>
        </w:rPr>
        <w:t>第四十二条民法典第一千零六十七条所称“抚养费”，包括子女生活费、教育费、医疗费等费用。</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第四十三条婚姻关系存续期间，父母双方或者一方拒不履行抚养子女义务，未成年子女或者不能独立生活的成年子女请求支付抚养费的，人民法院应予支持。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第四十四条离婚案件涉及未成年子女抚养的，对不满两周岁的子女，按照民法典第一千零八十四条第三款规定的原则处理。母亲有下列情形之一，父亲请求直接抚养的，人民法院应予支持：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（一）患有久治不愈的传染性疾病或者其他严重疾病，子女不宜与其共同生活；</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（二）有抚养条件不尽抚养义务，而父亲要求子女随其生活；</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（三）因其他原因，子女确不宜随母亲生活。</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第四十五条父母双方协议不满两周岁子女由父亲直接抚养，并对子女健康成长无不利影响的，人民法院应予支持。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highlight w:val="lightGray"/>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lightGray"/>
          <w:shd w:val="clear" w:fill="FFFFFF"/>
        </w:rPr>
        <w:t>第四十六条对已满两周岁的未成年子女，父母均要求直接抚养，一方有下列情形之一的，可予优先考虑：</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（一）已做绝育手术或者因其他原因丧失生育能力；</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（二）子女随其生活时间较长，改变生活环境对子女健康成长明显不利；</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（三）无其他子女，而另一方有其他子女；</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（四）子女随其生活，对子女成长有利，而另一方患有久治不愈的传染性疾病或者其他严重疾病，或者有其他不利于子女身心健康的情形，不宜与子女共同生活。</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lightGray"/>
          <w:shd w:val="clear" w:fill="FFFFFF"/>
        </w:rPr>
        <w:t>第四十七条父母抚养子女的条件基本相同，双方均要求直接抚养子女，但子女单独随祖父母或者外祖父母共同生活多年，且祖父母或者外祖父母要求并且有能力帮助子女照顾孙子女或者外孙子女的，可以作为父或者母直接抚养子女的优先条件予以考虑。</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第四十八条在有利于保护子女利益的前提下，父母双方协议轮流直接抚养子女的，人民法院应予支持。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highlight w:val="lightGray"/>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lightGray"/>
          <w:shd w:val="clear" w:fill="FFFFFF"/>
        </w:rPr>
        <w:t>第四十九条抚养费的数额，可以根据子女的实际需要、父母双方的负担能力和当地的实际生活水平确定。</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有固定收入的，抚养费一般可以按其月总收入的百分之二十至三十的比例给付。负担两个以上子女抚养费的，比例可以适当提高，但一般不得超过月总收入的百分之五十。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lightGray"/>
          <w:shd w:val="clear" w:fill="FFFFFF"/>
        </w:rPr>
        <w:t>无固定收入的，抚养费的数额可以依据当年总收入或者同行业平均收入，参照上述比例确定。</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有特殊情况的，可以适当提高或者降低上述比例。</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lightGray"/>
          <w:shd w:val="clear" w:fill="FFFFFF"/>
        </w:rPr>
        <w:t>第五十条抚养费应当定期给付，有条件的可以一次性给付。</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第五十一条父母一方无经济收入或者下落不明的，可以用其财物折抵抚养费。</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lightGray"/>
          <w:shd w:val="clear" w:fill="FFFFFF"/>
        </w:rPr>
        <w:t>第五十二条父母双方可以协议由一方直接抚养子女并由直接抚养方负担子女全部抚养费。</w:t>
      </w:r>
      <w:r>
        <w:rPr>
          <w:rFonts w:hint="default" w:ascii="Arial" w:hAnsi="Arial" w:eastAsia="Arial" w:cs="Arial"/>
          <w:i w:val="0"/>
          <w:iCs w:val="0"/>
          <w:caps w:val="0"/>
          <w:color w:val="2F2F2F"/>
          <w:spacing w:val="0"/>
          <w:sz w:val="18"/>
          <w:szCs w:val="18"/>
          <w:shd w:val="clear" w:fill="FFFFFF"/>
        </w:rPr>
        <w:t>但是，直接抚养方的抚养能力明显不能保障子女所需费用，影响子女健康成长的，人民法院不予支持。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highlight w:val="lightGray"/>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lightGray"/>
          <w:shd w:val="clear" w:fill="FFFFFF"/>
        </w:rPr>
        <w:t>第五十三条抚养费的给付期限，一般至子女十八周岁为止。</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highlight w:val="lightGray"/>
          <w:shd w:val="clear" w:fill="FFFFFF"/>
        </w:rPr>
        <w:t>　　十六周岁以上不满十八周岁，以其劳动收入为主要生活来源，并能维持当地一般生活水平的，父母可以停止给付抚养费。</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第五十四条生父与继母离婚或者生母与继父离婚时，对曾受其抚养教育的继子女，继父或者继母不同意继续抚养的，仍应由生父或者生母抚养。</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第五十五条离婚后，父母一方要求变更子女抚养关系的，或者子女要求增加抚养费的，应当另行提起诉讼。</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lightGray"/>
          <w:shd w:val="clear" w:fill="FFFFFF"/>
        </w:rPr>
        <w:t>第五十六条具有下列情形之一，父母一方要求变更子女抚养关系的，人民法院应予支持：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（一）与子女共同生活的一方因患严重疾病或者因伤残无力继续抚养子女；</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（二）与子女共同生活的一方不尽抚养义务或有虐待子女行为，或者其与子女共同生活对子女身心健康确有不利影响；</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（三）已满八周岁的子女，愿随另一方生活，该方又有抚养能力；</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（四）有其他正当理由需要变更。</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第五十七条父母双方协议变更子女抚养关系的，人民法院应予支持。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lightGray"/>
          <w:shd w:val="clear" w:fill="FFFFFF"/>
        </w:rPr>
        <w:t>第五十八条具有下列情形之一，子女要求有负担能力的父或者母增加抚养费的，人民法院应予支持：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（一）原定抚养费数额不足以维持当地实际生活水平；</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（二）因子女患病、上学，实际需要已超过原定数额；</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（三）有其他正当理由应当增加。</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第五十九条父母不得因子女变更姓氏而拒付子女抚养费。父或者母擅自将子女姓氏改为继母或继父姓氏而引起纠纷的，应当责令恢复原姓氏。</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第六十条在离婚诉讼期间，双方均拒绝抚养子女的，可以先行裁定暂由一方抚养。</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lightGray"/>
          <w:shd w:val="clear" w:fill="FFFFFF"/>
        </w:rPr>
        <w:t>第六十一条对拒不履行或者妨害他人履行生效判决、裁定、调解书中有关子女抚养义务的当事人或者其他人，人民法院可依照民事诉讼法第一百一十一条的规定采取强制措施。</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Style w:val="5"/>
          <w:rFonts w:hint="default" w:ascii="Arial" w:hAnsi="Arial" w:eastAsia="Arial" w:cs="Arial"/>
          <w:i w:val="0"/>
          <w:iCs w:val="0"/>
          <w:caps w:val="0"/>
          <w:color w:val="2F2F2F"/>
          <w:spacing w:val="0"/>
          <w:sz w:val="18"/>
          <w:szCs w:val="18"/>
          <w:shd w:val="clear" w:fill="FFFFFF"/>
        </w:rPr>
        <w:t>　　五、离婚</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六十二条无民事行为能力人的配偶有民法典第三十六条第一款规定行为,其他有监护资格的人可以要求撤销其监护资格，并依法指定新的监护人；变更后的监护人代理无民事行为能力一方提起离婚诉讼的，人民法院应予受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第六十三条人民法院审理离婚案件，符合民法典第一千零七十九条第三款规定“应当准予离婚”情形的，不应当因当事人有过错而判决不准离婚。</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第六十四条民法典第一千零八十一条所称的“军人一方有重大过错”，可以依据民法典第一千零七十九条第三款前三项规定及军人有其他重大过错导致夫妻感情破裂的情形予以判断。</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第六十五条人民法院作出的生效的离婚判决中未涉及探望权，当事人就探望权问题单独提起诉讼的，人民法院应予受理。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六十六条当事人在履行生效判决、裁定或者调解书的过程中，一方请求中止探望的，人民法院在征询双方当事人意见后，认为需要中止探望的，依法作出裁定；中止探望的情形消失后，人民法院应当根据当事人的请求书面通知其恢复探望。</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第六十七条未成年子女、直接抚养子女的父或者母以及其他对未成年子女负担抚养、教育、保护义务的法定监护人，有权向人民法院提出中止探望的请求。</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lightGray"/>
          <w:shd w:val="clear" w:fill="FFFFFF"/>
        </w:rPr>
        <w:t>第六十八条对于拒不协助另一方行使探望权的有关个人或者组织，可以由人民法院依法采取拘留、罚款等强制措施，但是不能对子女的人身、探望行为进行强制执行。</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六十九条当事人达成的以协议离婚或者到人民法院调解离婚为条件的财产以及债务处理协议，如果双方离婚未成，一方在离婚诉讼中反悔的，人民法院应当认定该财产以及债务处理协议没有生效，并根据实际情况依照民法典第一千零八十七条和第一千零八十九条的规定判决。</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当事人依照民法典第一千零七十六条签订的离婚协议中关于财产以及债务处理的条款，对男女双方具有法律约束力。登记离婚后当事人因履行上述协议发生纠纷提起诉讼的，人民法院应当受理。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lightGray"/>
          <w:shd w:val="clear" w:fill="FFFFFF"/>
        </w:rPr>
        <w:t>第七十条夫妻双方协议离婚后就财产分割问题反悔，请求撤销财产分割协议的，人民法院应当受理。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人民法院审理后，未发现订立财产分割协议时存在欺诈、胁迫等情形的，应当依法驳回当事人的诉讼请求。</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第七十一条人民法院审理离婚案件，涉及分割发放到军人名下的复员费、自主择业费等一次性费用的，以夫妻婚姻关系存续年限乘以年平均值，所得数额为夫妻共同财产。</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前款所称年平均值，是指将发放到军人名下的上述费用总额按具体年限均分得出的数额。其具体年限为人均寿命七十岁与军人入伍时实际年龄的差额。</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第七十二条夫妻双方分割共同财产中的股票、债券、投资基金份额等有价证券以及未上市股份有限公司股份时，协商不成或者按市价分配有困难的，人民法院可以根据数量按比例分配。</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第七十三条人民法院审理离婚案件，涉及分割夫妻共同财产中以一方名义在有限责任公司的出资额，另一方不是该公司股东的，按以下情形分别处理：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（一）夫妻双方协商一致将出资额部分或者全部转让给该股东的配偶，其他股东过半数同意，并且其他股东均明确表示放弃优先购买权的，该股东的配偶可以成为该公司股东；</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二）夫妻双方就出资额转让份额和转让价格等事项协商一致后，其他股东半数以上不同意转让，但愿意以同等条件购买该出资额的，人民法院可以对转让出资所得财产进行分割。其他股东半数以上不同意转让，也不愿意以同等条件购买该出资额的，视为其同意转让，该股东的配偶可以成为该公司股东。</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用于证明前款规定的股东同意的证据，可以是股东会议材料，也可以是当事人通过其他合法途径取得的股东的书面声明材料。</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七十四条人民法院审理离婚案件，涉及分割夫妻共同财产中以一方名义在合伙企业中的出资,另一方不是该企业合伙人的，当夫妻双方协商一致，将其合伙企业中的财产份额全部或者部分转让给对方时，按以下情形分别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（一）其他合伙人一致同意的，该配偶依法取得合伙人地位；</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（二）其他合伙人不同意转让，在同等条件下行使优先购买权的，可以对转让所得的财产进行分割；</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（三）其他合伙人不同意转让，也不行使优先购买权，但同意该合伙人退伙或者削减部分财产份额的，可以对结算后的财产进行分割；</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（四）其他合伙人既不同意转让，也不行使优先购买权，又不同意该合伙人退伙或者削减部分财产份额的，视为全体合伙人同意转让，该配偶依法取得合伙人地位。</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第七十五条夫妻以一方名义投资设立个人独资企业的，人民法院分割夫妻在该个人独资企业中的共同财产时，应当按照以下情形分别处理：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（一）一方主张经营该企业的，对企业资产进行评估后，由取得企业资产所有权一方给予另一方相应的补偿；</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（二）双方均主张经营该企业的，在双方竞价基础上，由取得企业资产所有权的一方给予另一方相应的补偿；</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（三）双方均不愿意经营该企业的，按照《中华人民共和国个人独资企业法》等有关规定办理。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第七十六条双方对夫妻共同财产中的房屋价值及归属无法达成协议时，人民法院按以下情形分别处理：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（一）双方均主张房屋所有权并且同意竞价取得的，应当准许；</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（二）一方主张房屋所有权的，由评估机构按市场价格对房屋作出评估，取得房屋所有权的一方应当给予另一方相应的补偿；</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（三）双方均不主张房屋所有权的，根据当事人的申请拍卖、变卖房屋，就所得价款进行分割。</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第七十七条离婚时双方对尚未取得所有权或者尚未取得完全所有权的房屋有争议且协商不成的，人民法院不宜判决房屋所有权的归属，应当根据实际情况判决由当事人使用。</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当事人就前款规定的房屋取得完全所有权后，有争议的，可以另行向人民法院提起诉讼。</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第七十八条夫妻一方婚前签订不动产买卖合同，以个人财产支付首付款并在银行贷款，婚后用夫妻共同财产还贷，不动产登记于首付款支付方名下的，离婚时该不动产由双方协议处理。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依前款规定不能达成协议的，人民法院可以判决该不动产归登记一方，尚未归还的贷款为不动产登记一方的个人债务。双方婚后共同还贷支付的款项及其相对应财产增值部分，离婚时应根据民法典第一千零八十七条第一款规定的原则，由不动产登记一方对另一方进行补偿。</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七十九条婚姻关系存续期间，双方用夫妻共同财产出资购买以一方父母名义参加房改的房屋，登记在一方父母名下，离婚时另一方主张按照夫妻共同财产对该房屋进行分割的，人民法院不予支持。购买该房屋时的出资，可以作为债权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八十条离婚时夫妻一方尚未退休、不符合领取基本养老金条件，另一方请求按照夫妻共同财产分割基本养老金的，人民法院不予支持；婚后以夫妻共同财产缴纳基本养老保险费，离婚时一方主张将养老金账户中婚姻关系存续期间个人实际缴纳部分及利息作为夫妻共同财产分割的，人民法院应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第八十一条婚姻关系存续期间，夫妻一方作为继承人依法可以继承的遗产，在继承人之间尚未实际分割，起诉离婚时另一方请求分割的，人民法院应当告知当事人在继承人之间实际分割遗产后另行起诉。</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第八十二条夫妻之间订立借款协议，以夫妻共同财产出借给一方从事个人经营活动或者用于其他个人事务的，应视为双方约定处分夫妻共同财产的行为，离婚时可以按照借款协议的约定处理。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lightGray"/>
          <w:shd w:val="clear" w:fill="FFFFFF"/>
        </w:rPr>
        <w:t>第八十三条离婚后，一方以尚有夫妻共同财产未处理为由向人民法院起诉请求分割的，经审查该财产确属离婚时未涉及的夫妻共同财产，人民法院应当依法予以分割。</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lightGray"/>
          <w:shd w:val="clear" w:fill="FFFFFF"/>
        </w:rPr>
        <w:t>第八十四条当事人依据民法典第一千零九十二条的规定向人民法院提起诉讼，请求再次分割夫妻共同财产的诉讼时效期间为三年，从当事人发现之日起计算。</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第八十五条夫妻一方申请对配偶的个人财产或者夫妻共同财产采取保全措施的，人民法院可以在采取保全措施可能造成损失的范围内，根据实际情况，确定合理的财产担保数额。</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第八十六条民法典第一千零九十一条规定的“损害赔偿”，包括物质损害赔偿和精神损害赔偿。涉及精神损害赔偿的，适用《最高人民法院关于确定民事侵权精神损害赔偿责任若干问题的解释》的有关规定。</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第八十七条承担民法典第一千零九十一条规定的损害赔偿责任的主体，为离婚诉讼当事人中无过错方的配偶。</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人民法院判决不准离婚的案件，对于当事人基于民法典第一千零九十一条提出的损害赔偿请求，不予支持。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在婚姻关系存续期间，当事人不起诉离婚而单独依据民法典第一千零九十一条提起损害赔偿请求的，人民法院不予受理。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第八十八条人民法院受理离婚案件时，应当将民法典第一千零九十一条等规定中当事人的有关权利义务，书面告知当事人。在适用民法典第一千零九十一条时，应当区分以下不同情况：</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（一）符合民法典第一千零九十一条规定的无过错方作为原告基于该条规定向人民法院提起损害赔偿请求的，必须在离婚</w:t>
      </w:r>
      <w:bookmarkStart w:id="0" w:name="_GoBack"/>
      <w:bookmarkEnd w:id="0"/>
      <w:r>
        <w:rPr>
          <w:rFonts w:hint="default" w:ascii="Arial" w:hAnsi="Arial" w:eastAsia="Arial" w:cs="Arial"/>
          <w:i w:val="0"/>
          <w:iCs w:val="0"/>
          <w:caps w:val="0"/>
          <w:color w:val="2F2F2F"/>
          <w:spacing w:val="0"/>
          <w:sz w:val="18"/>
          <w:szCs w:val="18"/>
          <w:shd w:val="clear" w:fill="FFFFFF"/>
        </w:rPr>
        <w:t>诉讼的同时提出。</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（二）符合民法典第一千零九十一条规定的无过错方作为被告的离婚诉讼案件，如果被告不同意离婚也不基于该条规定提起损害赔偿请求的，可以就此单独提起诉讼。</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三）无过错方作为被告的离婚诉讼案件，一审时被告未基于民法典第一千零九十一条规定提出损害赔偿请求，二审期间提出的，人民法院应当进行调解；调解不成的，告知当事人另行起诉。双方当事人同意由第二审人民法院一并审理的，第二审人民法院可以一并裁判。</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八十九条当事人在婚姻登记机关办理离婚登记手续后，以民法典第一千零九十一条规定为由向人民法院提出损害赔偿请求的，人民法院应当受理。但当事人在协议离婚时已经明确表示放弃该项请求的，人民法院不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第九十条夫妻双方均有民法典第一千零九十一条规定的过错情形，一方或者双方向对方提出离婚损害赔偿请求的，人民法院不予支持。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Style w:val="5"/>
          <w:rFonts w:hint="default" w:ascii="Arial" w:hAnsi="Arial" w:eastAsia="Arial" w:cs="Arial"/>
          <w:i w:val="0"/>
          <w:iCs w:val="0"/>
          <w:caps w:val="0"/>
          <w:color w:val="2F2F2F"/>
          <w:spacing w:val="0"/>
          <w:sz w:val="18"/>
          <w:szCs w:val="18"/>
          <w:shd w:val="clear" w:fill="FFFFFF"/>
        </w:rPr>
        <w:t>　　六、附则</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pPr>
      <w:r>
        <w:rPr>
          <w:rFonts w:hint="default" w:ascii="Arial" w:hAnsi="Arial" w:eastAsia="Arial" w:cs="Arial"/>
          <w:i w:val="0"/>
          <w:iCs w:val="0"/>
          <w:caps w:val="0"/>
          <w:color w:val="2F2F2F"/>
          <w:spacing w:val="0"/>
          <w:sz w:val="18"/>
          <w:szCs w:val="18"/>
          <w:shd w:val="clear" w:fill="FFFFFF"/>
        </w:rPr>
        <w:t>　　第九十一条本解释自2021年1月1日起施行。</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iragino Sans GB">
    <w:panose1 w:val="020B0300000000000000"/>
    <w:charset w:val="86"/>
    <w:family w:val="auto"/>
    <w:pitch w:val="default"/>
    <w:sig w:usb0="A00002BF" w:usb1="1ACF7CFA" w:usb2="00000016" w:usb3="00000000" w:csb0="00060007" w:csb1="00000000"/>
  </w:font>
  <w:font w:name="汉仪书宋二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D9F7D651"/>
    <w:rsid w:val="69FF18C9"/>
    <w:rsid w:val="D9F7D6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27</TotalTime>
  <ScaleCrop>false</ScaleCrop>
  <LinksUpToDate>false</LinksUpToDate>
  <CharactersWithSpaces>0</CharactersWithSpaces>
  <Application>WPS Office_6.5.2.8766_F1E327BC-269C-435d-A152-05C5408002CA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2024-05-14T03:41:00Z</dcterms:created>
  <dc:creator>遇则安</dc:creator>
  <cp:lastModifiedBy>遇则安</cp:lastModifiedBy>
  <dcterms:modified xsi:type="dcterms:W3CDTF">2024-05-14T09:38:09Z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2052-6.5.2.8766</vt:lpwstr>
  </property>
  <property fmtid="{D5CDD505-2E9C-101B-9397-08002B2CF9AE}" pid="3" name="ICV">
    <vt:lpwstr>2BDCC0052B7D697265FC4166F634EFFD_41</vt:lpwstr>
  </property>
</Properties>
</file>