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Date: January 25, 2016</w:t>
      </w:r>
    </w:p>
    <w:p>
      <w:pPr>
        <w:pStyle w:val="TextBody"/>
        <w:rPr>
          <w:b/>
          <w:bCs/>
        </w:rPr>
      </w:pPr>
      <w:r>
        <w:rPr>
          <w:b/>
          <w:bCs/>
        </w:rPr>
        <w:t>Subject: Data Collection, Use, and Challenges for NYCHA Projects Concerning Community Sentiment</w:t>
      </w:r>
    </w:p>
    <w:p>
      <w:pPr>
        <w:pStyle w:val="TextBody"/>
        <w:rPr>
          <w:b/>
          <w:bCs/>
        </w:rPr>
      </w:pPr>
      <w:r>
        <w:rPr>
          <w:b/>
          <w:bCs/>
        </w:rPr>
        <w:t>From: Aaron Chalfin, Jason Lerner, Patrick Sharkey, and Thomas Laetsch</w:t>
      </w:r>
    </w:p>
    <w:p>
      <w:pPr>
        <w:pStyle w:val="TextBody"/>
        <w:rPr/>
      </w:pPr>
      <w:r>
        <w:rPr/>
      </w:r>
    </w:p>
    <w:p>
      <w:pPr>
        <w:pStyle w:val="TextBody"/>
        <w:rPr/>
      </w:pPr>
      <w:r>
        <w:rPr/>
        <w:t>1.  Introduction</w:t>
      </w:r>
    </w:p>
    <w:p>
      <w:pPr>
        <w:pStyle w:val="TextBody"/>
        <w:rPr/>
      </w:pPr>
      <w:r>
        <w:rPr/>
      </w:r>
    </w:p>
    <w:p>
      <w:pPr>
        <w:pStyle w:val="TextBody"/>
        <w:rPr/>
      </w:pPr>
      <w:r>
        <w:rPr/>
        <w:t>This is to outline  the various sources of data  near use, or being considered  for monitoring  senti- ment and perceptions  of those affected by public housing, particularly residence in these properties. In the following section, we lay out the specifics of each of the three main resources of data  currently in consideration: a cell-phone community survey, administrative data,  and online data  sources.</w:t>
      </w:r>
    </w:p>
    <w:p>
      <w:pPr>
        <w:pStyle w:val="TextBody"/>
        <w:rPr/>
      </w:pPr>
      <w:r>
        <w:rPr/>
      </w:r>
    </w:p>
    <w:p>
      <w:pPr>
        <w:pStyle w:val="TextBody"/>
        <w:rPr/>
      </w:pPr>
      <w:r>
        <w:rPr/>
        <w:t>2.  Data Sources</w:t>
      </w:r>
    </w:p>
    <w:p>
      <w:pPr>
        <w:pStyle w:val="TextBody"/>
        <w:rPr/>
      </w:pPr>
      <w:r>
        <w:rPr/>
        <w:t>2.1. Community Survey. We will disseminate  a short,  cell-phone  based,  two-cycle community survey  amongst  residence  of NYCHA  public  housing.   This  survey  will target  specific aspects  of individual  perceptions  and sentiment of the aforementioned residents:</w:t>
      </w:r>
    </w:p>
    <w:p>
      <w:pPr>
        <w:pStyle w:val="TextBody"/>
        <w:rPr/>
      </w:pPr>
      <w:r>
        <w:rPr/>
        <w:t xml:space="preserve">• </w:t>
      </w:r>
      <w:r>
        <w:rPr/>
        <w:t>Cycle 1 will be used to gauge:  individual  satisfaction within  the  neighborhood;  perceived violence in or near  the public housing unit;  interactions with police including  reporting  to the agency, or interacting directly  with officers; and collective efficacy.</w:t>
      </w:r>
    </w:p>
    <w:p>
      <w:pPr>
        <w:pStyle w:val="TextBody"/>
        <w:rPr/>
      </w:pPr>
      <w:r>
        <w:rPr/>
        <w:t xml:space="preserve">• </w:t>
      </w:r>
      <w:r>
        <w:rPr/>
        <w:t>Cycle 2 will be used to gauge:  individual  satisfaction within  the  neighborhood;  feelings of victimization or fear created  by either  previous  acts  of violence, or the  concern for future acts of violence; perceived disorder  including cleanliness in and near the housing unit,  and potentially deleterious activities  within public spaces; and perceptions  of police and policing with regards  to the public housing community.</w:t>
      </w:r>
    </w:p>
    <w:p>
      <w:pPr>
        <w:pStyle w:val="TextBody"/>
        <w:rPr/>
      </w:pPr>
      <w:r>
        <w:rPr/>
      </w:r>
    </w:p>
    <w:p>
      <w:pPr>
        <w:pStyle w:val="TextBody"/>
        <w:rPr/>
      </w:pPr>
      <w:r>
        <w:rPr/>
        <w:t>2.1.1.  Benefits. As these  surveys  will be responses  from  the  residence  of public  housing,  it  will provide  a direct  insight into  the  pulse  of this  community  which  might otherwise  not  be readily accessible.  The use of cell-phones as the medium to collect survey data streamlines  data acquisition, and  reduces  cost of conducting  such a survey.  Moreover,  the  results  from these  surveys  might be valuable  in validating sentiment  classifiers from less direct  methods,  such  as through  inferences made via social media data.</w:t>
      </w:r>
    </w:p>
    <w:p>
      <w:pPr>
        <w:pStyle w:val="TextBody"/>
        <w:rPr/>
      </w:pPr>
      <w:r>
        <w:rPr/>
      </w:r>
    </w:p>
    <w:p>
      <w:pPr>
        <w:pStyle w:val="TextBody"/>
        <w:rPr/>
      </w:pPr>
      <w:r>
        <w:rPr/>
        <w:t>2.1.2.  Challenges. To increase response rate  and willingness to participate, each survey given will only ask for responses  to  a small  subset  of questions  comprising  the  totality of the  survey;  this subsetting introduces  noise within  the  collected surveys and  possible difficulties in analysis  of the results  which are unknown  a priori.</w:t>
      </w:r>
    </w:p>
    <w:p>
      <w:pPr>
        <w:pStyle w:val="TextBody"/>
        <w:rPr/>
      </w:pPr>
      <w:r>
        <w:rPr/>
      </w:r>
    </w:p>
    <w:p>
      <w:pPr>
        <w:pStyle w:val="TextBody"/>
        <w:rPr/>
      </w:pPr>
      <w:r>
        <w:rPr/>
        <w:t>2.2.  Administrative Data. Administrative data will be central in moving forward with this effort. Combining  several publicly  available  city-service  related  data  sources, working to understand how to link them  spatially  and/or temporally and  correlating  the  resulting  corpus  to our results  from other  avenues of inquiry,  may result  in a predictor  of several facets of community  sentiment based on readily available public data  (perhaps  in combination with alternate publicly available data  from online sources).  The sources of administrative data  currently in consideration are the following.</w:t>
      </w:r>
    </w:p>
    <w:p>
      <w:pPr>
        <w:pStyle w:val="TextBody"/>
        <w:rPr/>
      </w:pPr>
      <w:r>
        <w:rPr/>
      </w:r>
    </w:p>
    <w:p>
      <w:pPr>
        <w:pStyle w:val="TextBody"/>
        <w:rPr/>
      </w:pPr>
      <w:r>
        <w:rPr/>
        <w:t>2.2.1.  311.  Data from 311, a resource for non-emergency services to NYC residents,  is made publicly available through  the NYC developers portal API system (</w:t>
      </w:r>
      <w:hyperlink r:id="rId2">
        <w:r>
          <w:rPr>
            <w:rStyle w:val="InternetLink"/>
          </w:rPr>
          <w:t>https://developer.cityofnewyork.us/api/).</w:t>
        </w:r>
      </w:hyperlink>
      <w:r>
        <w:rPr/>
        <w:t xml:space="preserve"> An ostensibly  valuable  direction  to  take  with  this  data  is to  correlate  use of and  types of non- emergency  service calls/responses to  perceived  neighborhood  disorder  (such  as mentioned  in the community  survey).</w:t>
      </w:r>
    </w:p>
    <w:p>
      <w:pPr>
        <w:pStyle w:val="TextBody"/>
        <w:rPr/>
      </w:pPr>
      <w:r>
        <w:rPr/>
      </w:r>
    </w:p>
    <w:p>
      <w:pPr>
        <w:pStyle w:val="TextBody"/>
        <w:rPr/>
      </w:pPr>
      <w:r>
        <w:rPr/>
        <w:t>2.2.2.  911.</w:t>
      </w:r>
    </w:p>
    <w:p>
      <w:pPr>
        <w:pStyle w:val="TextBody"/>
        <w:rPr/>
      </w:pPr>
      <w:r>
        <w:rPr/>
      </w:r>
    </w:p>
    <w:p>
      <w:pPr>
        <w:pStyle w:val="TextBody"/>
        <w:rPr/>
      </w:pPr>
      <w:r>
        <w:rPr/>
      </w:r>
    </w:p>
    <w:p>
      <w:pPr>
        <w:pStyle w:val="TextBody"/>
        <w:rPr/>
      </w:pPr>
      <w:r>
        <w:rPr/>
        <w:t>2.2.3.  Arrest and Complaint Records.</w:t>
      </w:r>
    </w:p>
    <w:p>
      <w:pPr>
        <w:pStyle w:val="TextBody"/>
        <w:rPr/>
      </w:pPr>
      <w:r>
        <w:rPr/>
      </w:r>
    </w:p>
    <w:p>
      <w:pPr>
        <w:pStyle w:val="TextBody"/>
        <w:rPr/>
      </w:pPr>
      <w:r>
        <w:rPr/>
      </w:r>
    </w:p>
    <w:p>
      <w:pPr>
        <w:pStyle w:val="TextBody"/>
        <w:rPr/>
      </w:pPr>
      <w:r>
        <w:rPr/>
        <w:t>2.3.  Online Repositories.</w:t>
      </w:r>
    </w:p>
    <w:p>
      <w:pPr>
        <w:pStyle w:val="TextBody"/>
        <w:rPr/>
      </w:pPr>
      <w:r>
        <w:rPr/>
      </w:r>
    </w:p>
    <w:p>
      <w:pPr>
        <w:pStyle w:val="TextBody"/>
        <w:rPr/>
      </w:pPr>
      <w:r>
        <w:rPr/>
      </w:r>
    </w:p>
    <w:p>
      <w:pPr>
        <w:pStyle w:val="TextBody"/>
        <w:rPr/>
      </w:pPr>
      <w:r>
        <w:rPr/>
        <w:t>2.3.1.  Twitter.   Twitter is a tempting resource  in part  because  of the  ubiquity  of its use, in part because  it  is apparent that sentiment is often  expressed  within  tweets,  in  part  because  of the availability of large amounts  of Twitter data  through  Twitter’s  API, and in part  because there  has already  been a push by researchers  to distil and understand sentiment content from Twitter data.</w:t>
      </w:r>
    </w:p>
    <w:p>
      <w:pPr>
        <w:pStyle w:val="TextBody"/>
        <w:rPr/>
      </w:pPr>
      <w:r>
        <w:rPr/>
        <w:t>Nonetheless,  the  difficulty of the  latter task,  distilling  and  understanding sentimental data  from Twitter, has been an elusive goal. The  work of the  Computational Story  Lab [3, 5], part  of the  University  of Vermont,  has made some strides with their hedonometer  which, based on surveys, assigns a “happiness” rating  one each word acontextually.  Unfortunately, the  hedonometer approach appears  to  only be a statistically useful device for large collections  of words,  making  inferences about  collections  of words (on the order  of 10000 words,  in  fact)  together   – this  method  would  not  be  useful  at  the  level of an individual  tweet, nor a small collection of individual  tweets.  As our goal is to grab  spacially  and temporally fine (localized) data,  we are unlikely to have the ability  to retrieve  such large bodies of words with which to make inferences.  That said, it might be possible to observe some trends  in a less localized setting;  e.g., time evolution  of the hedonometric sentiment for all residence of public housing combined.</w:t>
      </w:r>
    </w:p>
    <w:p>
      <w:pPr>
        <w:pStyle w:val="TextBody"/>
        <w:rPr/>
      </w:pPr>
      <w:r>
        <w:rPr/>
        <w:t>Some work which seems better  suited  to the  spatial  and  temporal  localization  we seek can be found in [2, 1, 4]. A general theme  in this work is to train  a tweet sentiment classifier, training  on those  tweets with  emoticons  expressing  sentiment.  In fact,  a sentiment map  of New York City  is offered in [2], created  with  the  output of their  sentiment classifier, which purportedly is spatially and temporally localized at levels appropriate for our interests. However, each of these works was done in the Twitter vacuum,  without  other  means to confirm or gauge accuracy  of their  findings.</w:t>
      </w:r>
    </w:p>
    <w:p>
      <w:pPr>
        <w:pStyle w:val="TextBody"/>
        <w:rPr/>
      </w:pPr>
      <w:r>
        <w:rPr/>
        <w:t>What  seems to be a prudent course of action  is to mine and use Twitter data  influenced by the methods  of [2, 1, 4] and use the confluence of data  sources, particularly the community  survey,  to test  the  reliability  of the  Twitter-based sentimental classifier.  As a future  goal, given a reliable localized  sentiment classifier,  we could  attempt to  find global  trends  and  compare  these  to  the hedonometric-style methods  of [3, 5].</w:t>
      </w:r>
    </w:p>
    <w:p>
      <w:pPr>
        <w:pStyle w:val="TextBody"/>
        <w:rPr/>
      </w:pPr>
      <w:r>
        <w:rPr/>
      </w:r>
    </w:p>
    <w:p>
      <w:pPr>
        <w:pStyle w:val="TextBody"/>
        <w:rPr/>
      </w:pPr>
      <w:r>
        <w:rPr/>
        <w:t>2.3.2.  Other  Possibilities.</w:t>
      </w:r>
    </w:p>
    <w:p>
      <w:pPr>
        <w:pStyle w:val="TextBody"/>
        <w:rPr/>
      </w:pPr>
      <w:r>
        <w:rPr/>
      </w:r>
    </w:p>
    <w:p>
      <w:pPr>
        <w:pStyle w:val="TextBody"/>
        <w:rPr/>
      </w:pPr>
      <w:r>
        <w:rPr/>
        <w:t xml:space="preserve">• </w:t>
      </w:r>
      <w:r>
        <w:rPr/>
        <w:t>Twitter  Survey.</w:t>
      </w:r>
    </w:p>
    <w:p>
      <w:pPr>
        <w:pStyle w:val="TextBody"/>
        <w:rPr/>
      </w:pPr>
      <w:r>
        <w:rPr/>
      </w:r>
    </w:p>
    <w:p>
      <w:pPr>
        <w:pStyle w:val="TextBody"/>
        <w:rPr/>
      </w:pPr>
      <w:r>
        <w:rPr/>
        <w:t xml:space="preserve">• </w:t>
      </w:r>
      <w:r>
        <w:rPr/>
        <w:t xml:space="preserve">Facebook.  There are Facebook pages set up for several specific NYCHA public housing units; seemingly those participating in posts and/or are members  of these pages are persons who are  residents  of, or closely interactive with  residents  of these  units.   The  fact  that these pages are directed  at specific housing units is appealing  since posts to these pages give us a timestamped insight into the particular housing units.  The challenge is discerning whether these  posts  are  translatable into  inferentially  meaningful  sources  of localized  sentiment. Within  Manhattan, the  three  most active  pages  are  for the  Alfred  E Smith  Houses,  the corresponding  Facebook  page </w:t>
      </w:r>
      <w:hyperlink r:id="rId3">
        <w:r>
          <w:rPr>
            <w:rStyle w:val="InternetLink"/>
          </w:rPr>
          <w:t>here h</w:t>
        </w:r>
      </w:hyperlink>
      <w:r>
        <w:rPr/>
        <w:t xml:space="preserve">aving  1025 members;  the  Frederick  Douglass Houses, the  Facebook  page </w:t>
      </w:r>
      <w:hyperlink r:id="rId4">
        <w:r>
          <w:rPr>
            <w:rStyle w:val="InternetLink"/>
          </w:rPr>
          <w:t>here h</w:t>
        </w:r>
      </w:hyperlink>
      <w:r>
        <w:rPr/>
        <w:t xml:space="preserve">aving  1645 members;  and  the  Jacob  Riis Houses, the  Facebook page  </w:t>
      </w:r>
      <w:hyperlink r:id="rId5">
        <w:r>
          <w:rPr>
            <w:rStyle w:val="InternetLink"/>
          </w:rPr>
          <w:t>here h</w:t>
        </w:r>
      </w:hyperlink>
      <w:r>
        <w:rPr/>
        <w:t>aving  1694 members.   A first  step  in this  direction  would be to  examine  and understand how (if at  all possible)  to  use the  Facebook  data  on these  extremely  active pages  and  from  there,  work  to  address  whether  those  methods  can  be used  for the  less active  pages.</w:t>
      </w:r>
    </w:p>
    <w:p>
      <w:pPr>
        <w:pStyle w:val="TextBody"/>
        <w:rPr/>
      </w:pPr>
      <w:r>
        <w:rPr/>
        <w:t xml:space="preserve">• </w:t>
      </w:r>
      <w:r>
        <w:rPr/>
        <w:t xml:space="preserve">Yelp. </w:t>
      </w:r>
    </w:p>
    <w:p>
      <w:pPr>
        <w:pStyle w:val="TextBody"/>
        <w:rPr/>
      </w:pPr>
      <w:r>
        <w:rPr/>
      </w:r>
    </w:p>
    <w:p>
      <w:pPr>
        <w:pStyle w:val="TextBody"/>
        <w:rPr/>
      </w:pPr>
      <w:r>
        <w:rPr/>
        <w:t xml:space="preserve">• </w:t>
      </w:r>
      <w:r>
        <w:rPr/>
        <w:t>Google Searches.</w:t>
      </w:r>
    </w:p>
    <w:p>
      <w:pPr>
        <w:pStyle w:val="TextBody"/>
        <w:rPr/>
      </w:pPr>
      <w:r>
        <w:rPr/>
      </w:r>
    </w:p>
    <w:p>
      <w:pPr>
        <w:pStyle w:val="TextBody"/>
        <w:rPr/>
      </w:pPr>
      <w:r>
        <w:rPr/>
        <w:t xml:space="preserve">• </w:t>
      </w:r>
      <w:r>
        <w:rPr/>
        <w:t>Message Boards.</w:t>
      </w:r>
    </w:p>
    <w:p>
      <w:pPr>
        <w:pStyle w:val="TextBody"/>
        <w:rPr/>
      </w:pPr>
      <w:r>
        <w:rPr/>
      </w:r>
    </w:p>
    <w:p>
      <w:pPr>
        <w:pStyle w:val="TextBody"/>
        <w:rPr/>
      </w:pPr>
      <w:r>
        <w:rPr/>
        <w:t>References</w:t>
      </w:r>
    </w:p>
    <w:p>
      <w:pPr>
        <w:pStyle w:val="TextBody"/>
        <w:rPr/>
      </w:pPr>
      <w:r>
        <w:rPr/>
        <w:t>[1] Apoorv  Agarwal,  Boyi Xie, Ilia Vovsha,  Owen Rambow, and  Rebecca  Passonneau. Sentiment analysis  of Twitter data. Association for Computational Linguistics, pages  30–38, 2011.</w:t>
      </w:r>
    </w:p>
    <w:p>
      <w:pPr>
        <w:pStyle w:val="TextBody"/>
        <w:rPr/>
      </w:pPr>
      <w:r>
        <w:rPr/>
        <w:t>[2] Kz Bertrand, Maya  Bialik,  and  Kawandeep Virdee.  Sentiment in New York City:  A High Resolution Spatial and Temporal View. arXiv  preprint arXiv:  . . . , pages  1–12, 2013.</w:t>
      </w:r>
    </w:p>
    <w:p>
      <w:pPr>
        <w:pStyle w:val="TextBody"/>
        <w:rPr/>
      </w:pPr>
      <w:r>
        <w:rPr/>
        <w:t>[3] Morgan  R.  Frank, Lewis  Mitchell,   Peter  Sheridan Dodds,   and  Christopher M.  Danforth.  Happiness and  the Patterns of Life: A Study of Geolocated Tweets. Scientific  Reports, 3:1–9, 2013.</w:t>
      </w:r>
    </w:p>
    <w:p>
      <w:pPr>
        <w:pStyle w:val="TextBody"/>
        <w:rPr/>
      </w:pPr>
      <w:r>
        <w:rPr/>
        <w:t>[4] Alec Go, Richa  Bhayani, and  Lei Huang.  Twitter Sentiment Classification using Distant Supervision. Processing, 150(12):1–6,  2009.</w:t>
      </w:r>
    </w:p>
    <w:p>
      <w:pPr>
        <w:pStyle w:val="TextBody"/>
        <w:spacing w:lineRule="auto" w:line="288" w:before="0" w:after="140"/>
        <w:rPr/>
      </w:pPr>
      <w:r>
        <w:rPr/>
        <w:t>[5] Andrew  Reagan, Brian  Tivnan, Jake  Ryland Williams, Christopher  M  Danforth, and  Peter Sheridan Dodds. Benchmarking sentiment  analysis  methods for large-scale  texts:  A case  for using  continuum-scored words  and word shift  graphs. 2015.</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cityofnewyork.us/api/" TargetMode="External"/><Relationship Id="rId3" Type="http://schemas.openxmlformats.org/officeDocument/2006/relationships/hyperlink" Target="https://www.facebook.com/groups/42049093460/" TargetMode="External"/><Relationship Id="rId4" Type="http://schemas.openxmlformats.org/officeDocument/2006/relationships/hyperlink" Target="https://www.facebook.com/groups/104654293240/" TargetMode="External"/><Relationship Id="rId5" Type="http://schemas.openxmlformats.org/officeDocument/2006/relationships/hyperlink" Target="https://www.facebook.com/groups/234063750053/"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2016-01-25T13:41:21Z</dcterms:created>
  <dc:language>en-US</dc:language>
  <cp:revision>0</cp:revision>
</cp:coreProperties>
</file>