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3DB" w:rsidRPr="005136FA" w:rsidRDefault="001563DB" w:rsidP="005136FA">
      <w:pPr>
        <w:pStyle w:val="Nagwek1"/>
        <w:jc w:val="center"/>
        <w:rPr>
          <w:sz w:val="32"/>
          <w:szCs w:val="32"/>
        </w:rPr>
      </w:pPr>
      <w:bookmarkStart w:id="0" w:name="_GoBack"/>
      <w:bookmarkEnd w:id="0"/>
      <w:r w:rsidRPr="005136FA">
        <w:rPr>
          <w:sz w:val="32"/>
          <w:szCs w:val="32"/>
        </w:rPr>
        <w:t xml:space="preserve">Sprawozdanie z </w:t>
      </w:r>
      <w:r w:rsidR="005136FA" w:rsidRPr="005136FA">
        <w:rPr>
          <w:sz w:val="32"/>
          <w:szCs w:val="32"/>
        </w:rPr>
        <w:t>testowania aplikacji</w:t>
      </w:r>
    </w:p>
    <w:p w:rsidR="005136FA" w:rsidRDefault="00543E9E" w:rsidP="00543E9E">
      <w:pPr>
        <w:pStyle w:val="Nagwek2"/>
        <w:numPr>
          <w:ilvl w:val="0"/>
          <w:numId w:val="1"/>
        </w:numPr>
      </w:pPr>
      <w:r>
        <w:t>Wstęp</w:t>
      </w:r>
    </w:p>
    <w:p w:rsidR="00543E9E" w:rsidRDefault="00543E9E" w:rsidP="00543E9E">
      <w:r>
        <w:t>Głównym</w:t>
      </w:r>
      <w:r w:rsidR="00F171AC">
        <w:t xml:space="preserve">i celami testowania oprogramowania jest poprawianie jakości kodu programu, weryfikacja oraz walidacja. W dzisiejszych czasach każdy większy wdrażany projekt informatyczny posiada zaplecze ludzi zajmujących się testowaniem. Tester dostarcza informacji o stabilności </w:t>
      </w:r>
      <w:r w:rsidR="00515652">
        <w:t xml:space="preserve">i zgodności z wymaganiami, </w:t>
      </w:r>
      <w:r w:rsidR="00F171AC">
        <w:t>lub w bardzo rzadkich przy</w:t>
      </w:r>
      <w:r w:rsidR="00515652">
        <w:t>padkach, oczekiwaniami klienta. Celem testera jest wykrycie defektów aplikacji w jak najwcześniejszym etapie</w:t>
      </w:r>
      <w:r w:rsidR="000606A0">
        <w:t xml:space="preserve"> implementacji</w:t>
      </w:r>
      <w:r w:rsidR="00515652">
        <w:t>.</w:t>
      </w:r>
    </w:p>
    <w:p w:rsidR="00515652" w:rsidRDefault="00515652" w:rsidP="00543E9E">
      <w:r>
        <w:t>Oprogramowanie, które zostało poddane testom to Projekt Zespolowy CalcSheet.</w:t>
      </w:r>
    </w:p>
    <w:p w:rsidR="006208E5" w:rsidRDefault="006208E5" w:rsidP="001563DB">
      <w:pPr>
        <w:pStyle w:val="Nagwek2"/>
        <w:numPr>
          <w:ilvl w:val="0"/>
          <w:numId w:val="1"/>
        </w:numPr>
      </w:pPr>
      <w:r>
        <w:t>Porównanie wyników testowania</w:t>
      </w:r>
    </w:p>
    <w:p w:rsidR="006208E5" w:rsidRPr="006208E5" w:rsidRDefault="006208E5" w:rsidP="00B43929">
      <w:pPr>
        <w:pStyle w:val="Nagwek3"/>
      </w:pPr>
    </w:p>
    <w:p w:rsidR="006208E5" w:rsidRDefault="006208E5" w:rsidP="006208E5">
      <w:pPr>
        <w:keepNext/>
        <w:jc w:val="center"/>
      </w:pPr>
      <w:r>
        <w:rPr>
          <w:noProof/>
          <w:lang w:eastAsia="pl-PL"/>
        </w:rPr>
        <w:drawing>
          <wp:inline distT="0" distB="0" distL="0" distR="0" wp14:anchorId="4DCE757C" wp14:editId="047DE852">
            <wp:extent cx="4800600" cy="2986088"/>
            <wp:effectExtent l="0" t="0" r="19050" b="2413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08E5" w:rsidRPr="006208E5" w:rsidRDefault="006208E5" w:rsidP="006208E5">
      <w:pPr>
        <w:pStyle w:val="Legenda"/>
        <w:jc w:val="center"/>
      </w:pPr>
      <w:r>
        <w:t xml:space="preserve">Rysunek </w:t>
      </w:r>
      <w:r w:rsidR="00F66FE4">
        <w:fldChar w:fldCharType="begin"/>
      </w:r>
      <w:r w:rsidR="00F66FE4">
        <w:instrText xml:space="preserve"> SEQ Rysunek \* ARABIC </w:instrText>
      </w:r>
      <w:r w:rsidR="00F66FE4">
        <w:fldChar w:fldCharType="separate"/>
      </w:r>
      <w:r w:rsidR="0073795C">
        <w:rPr>
          <w:noProof/>
        </w:rPr>
        <w:t>1</w:t>
      </w:r>
      <w:r w:rsidR="00F66FE4">
        <w:rPr>
          <w:noProof/>
        </w:rPr>
        <w:fldChar w:fldCharType="end"/>
      </w:r>
      <w:r>
        <w:t>: Wykres przeprowadzonych testów T1-T16</w:t>
      </w:r>
    </w:p>
    <w:p w:rsidR="00612B0B" w:rsidRDefault="00612B0B" w:rsidP="001563DB">
      <w:r>
        <w:t>Przetestowane punkty z zakresu testowego</w:t>
      </w:r>
    </w:p>
    <w:p w:rsidR="00612B0B" w:rsidRDefault="00612B0B" w:rsidP="00612B0B">
      <w:pPr>
        <w:spacing w:after="0" w:line="240" w:lineRule="auto"/>
      </w:pPr>
      <w:r>
        <w:t>ZT 1.0 – Dodawanie nowego arkusza kalkulacyjnego</w:t>
      </w:r>
    </w:p>
    <w:p w:rsidR="00612B0B" w:rsidRDefault="00612B0B" w:rsidP="00612B0B">
      <w:pPr>
        <w:spacing w:after="0" w:line="240" w:lineRule="auto"/>
      </w:pPr>
      <w:r>
        <w:t>ZT 2.0 – Usuwanie arkusza kalkulacyjnego</w:t>
      </w:r>
    </w:p>
    <w:p w:rsidR="00612B0B" w:rsidRDefault="00612B0B" w:rsidP="00612B0B">
      <w:pPr>
        <w:spacing w:after="0" w:line="240" w:lineRule="auto"/>
      </w:pPr>
      <w:r>
        <w:t>ZT 3.0 – Zmiana rozmiaru arkusza</w:t>
      </w:r>
    </w:p>
    <w:p w:rsidR="00612B0B" w:rsidRDefault="00612B0B" w:rsidP="00612B0B">
      <w:pPr>
        <w:spacing w:after="0" w:line="240" w:lineRule="auto"/>
      </w:pPr>
      <w:r>
        <w:t>ZT 5.5 –</w:t>
      </w:r>
      <w:r w:rsidRPr="00612B0B">
        <w:t xml:space="preserve"> </w:t>
      </w:r>
      <w:r>
        <w:t>Odwołanie komórki do samej siebie</w:t>
      </w:r>
    </w:p>
    <w:p w:rsidR="00612B0B" w:rsidRDefault="00612B0B" w:rsidP="00AA61C5">
      <w:pPr>
        <w:spacing w:after="0" w:line="240" w:lineRule="auto"/>
      </w:pPr>
      <w:r>
        <w:t xml:space="preserve">ZT 5.8 – Odwołanie do nieistniejącej komórki </w:t>
      </w:r>
    </w:p>
    <w:p w:rsidR="001563DB" w:rsidRDefault="001563DB" w:rsidP="00AA61C5">
      <w:pPr>
        <w:spacing w:before="240" w:after="240" w:line="240" w:lineRule="auto"/>
      </w:pPr>
      <w:r>
        <w:t xml:space="preserve">Na </w:t>
      </w:r>
      <w:r w:rsidR="00C6449C">
        <w:t>16</w:t>
      </w:r>
      <w:r>
        <w:t xml:space="preserve"> przeprowadzonych scenariuszy testowych:</w:t>
      </w:r>
    </w:p>
    <w:p w:rsidR="001563DB" w:rsidRDefault="001563DB" w:rsidP="00AA61C5">
      <w:pPr>
        <w:spacing w:after="0" w:line="240" w:lineRule="auto"/>
      </w:pPr>
      <w:r>
        <w:t xml:space="preserve">- </w:t>
      </w:r>
      <w:r w:rsidR="00C6449C">
        <w:t>9</w:t>
      </w:r>
      <w:r>
        <w:t xml:space="preserve"> testów zakończonych z wynikiem pozytywnym</w:t>
      </w:r>
    </w:p>
    <w:p w:rsidR="001563DB" w:rsidRDefault="001563DB" w:rsidP="00AA61C5">
      <w:pPr>
        <w:spacing w:after="0" w:line="240" w:lineRule="auto"/>
      </w:pPr>
      <w:r>
        <w:t xml:space="preserve">- </w:t>
      </w:r>
      <w:r w:rsidR="00C6449C">
        <w:t>7</w:t>
      </w:r>
      <w:r>
        <w:t xml:space="preserve"> test</w:t>
      </w:r>
      <w:r w:rsidR="00C6449C">
        <w:t>ów</w:t>
      </w:r>
      <w:r>
        <w:t xml:space="preserve"> zakończony</w:t>
      </w:r>
      <w:r w:rsidR="00B71C38">
        <w:t>ch</w:t>
      </w:r>
      <w:r>
        <w:t xml:space="preserve"> z wynikiem negatywnym w którym:</w:t>
      </w:r>
    </w:p>
    <w:p w:rsidR="001563DB" w:rsidRDefault="001563DB" w:rsidP="00AA61C5">
      <w:pPr>
        <w:spacing w:after="0" w:line="240" w:lineRule="auto"/>
      </w:pPr>
      <w:r>
        <w:tab/>
        <w:t xml:space="preserve">- </w:t>
      </w:r>
      <w:r w:rsidR="00C6449C">
        <w:t>4</w:t>
      </w:r>
      <w:r w:rsidR="005136FA">
        <w:t xml:space="preserve"> zakończon</w:t>
      </w:r>
      <w:r w:rsidR="00C6449C">
        <w:t>e</w:t>
      </w:r>
      <w:r>
        <w:t xml:space="preserve"> z błędem niskim</w:t>
      </w:r>
    </w:p>
    <w:p w:rsidR="00C6449C" w:rsidRDefault="00C6449C" w:rsidP="00AA61C5">
      <w:pPr>
        <w:spacing w:after="0" w:line="240" w:lineRule="auto"/>
      </w:pPr>
      <w:r>
        <w:tab/>
        <w:t>- 2 zakończone z błędem normalnym</w:t>
      </w:r>
    </w:p>
    <w:p w:rsidR="00C6449C" w:rsidRDefault="00C6449C" w:rsidP="00AA61C5">
      <w:pPr>
        <w:spacing w:after="0" w:line="240" w:lineRule="auto"/>
      </w:pPr>
      <w:r>
        <w:lastRenderedPageBreak/>
        <w:tab/>
        <w:t>- 1 zakończone z blędem krytycznym</w:t>
      </w:r>
    </w:p>
    <w:p w:rsidR="005136FA" w:rsidRDefault="005136FA" w:rsidP="001563DB"/>
    <w:p w:rsidR="001563DB" w:rsidRDefault="00B43929" w:rsidP="001563DB">
      <w:r>
        <w:t xml:space="preserve">W pierwszej kolejności zaleceniem było </w:t>
      </w:r>
      <w:r w:rsidR="001563DB">
        <w:t>zlikwidowanie błędu krytycznego, polegającego na zamienionej liczbie kolumn i liczbie wierszy</w:t>
      </w:r>
      <w:r>
        <w:t>. Dotyczyło to testu T3 ze scenariusza testów</w:t>
      </w:r>
    </w:p>
    <w:p w:rsidR="001563DB" w:rsidRDefault="00B43929" w:rsidP="001563DB">
      <w:r>
        <w:t>W drugiej kolejności zaleceniem było</w:t>
      </w:r>
      <w:r w:rsidR="001563DB">
        <w:t xml:space="preserve"> zlikwidowanie </w:t>
      </w:r>
      <w:r>
        <w:t>błędów normalnych, które dotyczyły</w:t>
      </w:r>
      <w:r w:rsidR="001563DB">
        <w:t xml:space="preserve"> testu T8 i T9. Wynik negatywny został oparty o wymaganie niefunkcjonalne pkt 3 w specyfikacji wymagań. Należy zablokować możliwość tworzenia liczby komórek poza zakres (1000x1000)</w:t>
      </w:r>
    </w:p>
    <w:p w:rsidR="001563DB" w:rsidRDefault="00B43929" w:rsidP="001563DB">
      <w:r>
        <w:t xml:space="preserve">W ostatniej kolejności zaleceniem była likwidacja 4 błędów niskich. Były </w:t>
      </w:r>
      <w:r w:rsidR="001563DB">
        <w:t xml:space="preserve"> to </w:t>
      </w:r>
      <w:r>
        <w:t>defekty</w:t>
      </w:r>
      <w:r w:rsidR="001563DB">
        <w:t xml:space="preserve"> mające minimalny wpływ na ko</w:t>
      </w:r>
      <w:r>
        <w:t>rzystanie z aplikacji, choć mogły</w:t>
      </w:r>
      <w:r w:rsidR="001563DB">
        <w:t xml:space="preserve"> być uciążliwe dla użytkownika:</w:t>
      </w:r>
    </w:p>
    <w:p w:rsidR="001563DB" w:rsidRDefault="001563DB" w:rsidP="001563DB">
      <w:r>
        <w:t>- W teście T2 po wprowadzeniu liczby kolumn 100</w:t>
      </w:r>
      <w:r w:rsidR="00612B0B">
        <w:t>0 i liczby wierszy 1000 powodowały</w:t>
      </w:r>
      <w:r>
        <w:t xml:space="preserve"> pokazanie nieprawidłowego komunikatu „Wprowadzona wartość jest zbyt duża”. Aplikacja tworzy prawidłową liczbę kolumn i wierszy.</w:t>
      </w:r>
    </w:p>
    <w:p w:rsidR="001563DB" w:rsidRDefault="001563DB" w:rsidP="001563DB">
      <w:r>
        <w:t>- W teście T10 i T12 nie zawsze prawidłowo działa</w:t>
      </w:r>
      <w:r w:rsidR="00612B0B">
        <w:t>ł</w:t>
      </w:r>
      <w:r>
        <w:t xml:space="preserve"> przycisk „+” w dolnej części aplikacji na zakładce arkuszy. </w:t>
      </w:r>
    </w:p>
    <w:p w:rsidR="001563DB" w:rsidRDefault="001563DB" w:rsidP="001563DB">
      <w:r>
        <w:t>- W teście T16 przy odwoływaniu się do nieistniejącej komórki arkusza kalku</w:t>
      </w:r>
      <w:r w:rsidR="00612B0B">
        <w:t>lacyjnego aplikacja nie wykazywała</w:t>
      </w:r>
      <w:r>
        <w:t xml:space="preserve"> żadnej reakcji. Jednocześnie zwracany </w:t>
      </w:r>
      <w:r w:rsidR="00612B0B">
        <w:t>był</w:t>
      </w:r>
      <w:r>
        <w:t xml:space="preserve"> wyjątek w logu a</w:t>
      </w:r>
      <w:r w:rsidR="00AA61C5">
        <w:t>plikacji ArrayIndexOutOfBounds.</w:t>
      </w:r>
    </w:p>
    <w:p w:rsidR="00612B0B" w:rsidRDefault="00EE4EDF" w:rsidP="00612B0B">
      <w:pPr>
        <w:keepNext/>
        <w:jc w:val="center"/>
      </w:pPr>
      <w:r>
        <w:rPr>
          <w:noProof/>
          <w:lang w:eastAsia="pl-PL"/>
        </w:rPr>
        <w:drawing>
          <wp:inline distT="0" distB="0" distL="0" distR="0" wp14:anchorId="51FE27A3" wp14:editId="1CC051A8">
            <wp:extent cx="4800600" cy="2986088"/>
            <wp:effectExtent l="0" t="0" r="19050" b="2413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pl-PL"/>
        </w:rPr>
        <w:t xml:space="preserve"> </w:t>
      </w:r>
    </w:p>
    <w:p w:rsidR="00612B0B" w:rsidRDefault="00612B0B" w:rsidP="00612B0B">
      <w:pPr>
        <w:pStyle w:val="Legenda"/>
        <w:jc w:val="center"/>
      </w:pPr>
      <w:r>
        <w:t xml:space="preserve">Rysunek </w:t>
      </w:r>
      <w:r w:rsidR="00F66FE4">
        <w:fldChar w:fldCharType="begin"/>
      </w:r>
      <w:r w:rsidR="00F66FE4">
        <w:instrText xml:space="preserve"> SEQ Rysunek \* ARABIC </w:instrText>
      </w:r>
      <w:r w:rsidR="00F66FE4">
        <w:fldChar w:fldCharType="separate"/>
      </w:r>
      <w:r w:rsidR="0073795C">
        <w:rPr>
          <w:noProof/>
        </w:rPr>
        <w:t>2</w:t>
      </w:r>
      <w:r w:rsidR="00F66FE4">
        <w:rPr>
          <w:noProof/>
        </w:rPr>
        <w:fldChar w:fldCharType="end"/>
      </w:r>
      <w:r>
        <w:t>: Wykres przeprowadzonych testów T17-T25</w:t>
      </w:r>
    </w:p>
    <w:p w:rsidR="00AA61C5" w:rsidRDefault="00AA61C5" w:rsidP="00AA61C5">
      <w:r>
        <w:t>Przetestowane punkty z zakresu testowego</w:t>
      </w:r>
      <w:r w:rsidR="00B71C38">
        <w:t>:</w:t>
      </w:r>
    </w:p>
    <w:p w:rsidR="00AA61C5" w:rsidRDefault="00AA61C5" w:rsidP="00AA61C5">
      <w:pPr>
        <w:spacing w:after="0" w:line="240" w:lineRule="auto"/>
      </w:pPr>
      <w:r>
        <w:t>ZT 4.0 – Zapisanie wartości komórek do pliku</w:t>
      </w:r>
      <w:r w:rsidR="00B71C38">
        <w:t>.</w:t>
      </w:r>
    </w:p>
    <w:p w:rsidR="00AA61C5" w:rsidRDefault="00AA61C5" w:rsidP="00AA61C5">
      <w:pPr>
        <w:spacing w:after="0" w:line="240" w:lineRule="auto"/>
      </w:pPr>
      <w:r>
        <w:t>ZT 5.6 – Zachowanie aplikacji po usunięciu zawartości komórki, do której odwoływała się inna komórka</w:t>
      </w:r>
      <w:r w:rsidR="00B71C38">
        <w:t>.</w:t>
      </w:r>
    </w:p>
    <w:p w:rsidR="00AA61C5" w:rsidRDefault="00AA61C5" w:rsidP="00AA61C5">
      <w:pPr>
        <w:spacing w:after="0" w:line="240" w:lineRule="auto"/>
      </w:pPr>
      <w:r>
        <w:lastRenderedPageBreak/>
        <w:t>ZT 5.7 – Zachowanie aplikacji po usunięciu zawartości komórki, do której odwoływała się inna komórka</w:t>
      </w:r>
      <w:r w:rsidR="00B71C38">
        <w:t>.</w:t>
      </w:r>
    </w:p>
    <w:p w:rsidR="00AA61C5" w:rsidRDefault="00AA61C5" w:rsidP="00AA61C5">
      <w:pPr>
        <w:spacing w:after="0" w:line="240" w:lineRule="auto"/>
      </w:pPr>
      <w:r>
        <w:t>ZT 6.0 –</w:t>
      </w:r>
      <w:r w:rsidRPr="00612B0B">
        <w:t xml:space="preserve"> </w:t>
      </w:r>
      <w:r>
        <w:t>Zachowanie aplikacji podczas wykonywania operacji na znakach</w:t>
      </w:r>
      <w:r w:rsidR="00B71C38">
        <w:t>.</w:t>
      </w:r>
    </w:p>
    <w:p w:rsidR="00AA61C5" w:rsidRDefault="00AA61C5" w:rsidP="00AA61C5">
      <w:pPr>
        <w:spacing w:before="240" w:after="240" w:line="240" w:lineRule="auto"/>
      </w:pPr>
      <w:r>
        <w:t>Na 9 przeprowadzonych scenariuszy testowych:</w:t>
      </w:r>
    </w:p>
    <w:p w:rsidR="00AA61C5" w:rsidRDefault="00AA61C5" w:rsidP="00AA61C5">
      <w:pPr>
        <w:spacing w:after="0" w:line="240" w:lineRule="auto"/>
      </w:pPr>
      <w:r>
        <w:t>- 8 testów zakończonych z wynikiem pozytywnym</w:t>
      </w:r>
    </w:p>
    <w:p w:rsidR="00AA61C5" w:rsidRDefault="00AA61C5" w:rsidP="00AA61C5">
      <w:pPr>
        <w:spacing w:after="0" w:line="240" w:lineRule="auto"/>
      </w:pPr>
      <w:r>
        <w:t>- 1 test zakończony z wynikiem negatywnym w którym:</w:t>
      </w:r>
    </w:p>
    <w:p w:rsidR="00AA61C5" w:rsidRDefault="00AA61C5" w:rsidP="00AA61C5">
      <w:pPr>
        <w:spacing w:after="0" w:line="240" w:lineRule="auto"/>
      </w:pPr>
      <w:r>
        <w:tab/>
        <w:t>- 1 zakończony z błędem niskim</w:t>
      </w:r>
    </w:p>
    <w:p w:rsidR="00AA61C5" w:rsidRDefault="00AA61C5" w:rsidP="00AA61C5">
      <w:pPr>
        <w:spacing w:after="0" w:line="240" w:lineRule="auto"/>
      </w:pPr>
    </w:p>
    <w:p w:rsidR="001563DB" w:rsidRDefault="00AA61C5" w:rsidP="001563DB">
      <w:r>
        <w:t xml:space="preserve">- </w:t>
      </w:r>
      <w:r w:rsidR="001563DB">
        <w:t>W teście T18 do pliku został zapisany tylko jeden aktualnie zaznaczony arkusz. Zapis do pliku prawidłowy. Grupa projektowa powinna przedyskutować czy powinien być zapisywany jeden arkusz, wszystkie arkusze lub użytkownik sam powinien decydować, które arkusze powinny zostać zapisane w pliku</w:t>
      </w:r>
      <w:r w:rsidR="00DA096F">
        <w:t>.</w:t>
      </w:r>
    </w:p>
    <w:p w:rsidR="00DA096F" w:rsidRDefault="00DA096F" w:rsidP="001563DB">
      <w:r>
        <w:t>Aplikacja działała zgodnie z założeniami podczas manipulacji(zmiana, usuwanie zawartości) na wartościach komórek.</w:t>
      </w:r>
    </w:p>
    <w:p w:rsidR="00DA096F" w:rsidRDefault="00EE4EDF" w:rsidP="00DA096F">
      <w:pPr>
        <w:keepNext/>
        <w:jc w:val="center"/>
      </w:pPr>
      <w:r>
        <w:rPr>
          <w:noProof/>
          <w:lang w:eastAsia="pl-PL"/>
        </w:rPr>
        <w:drawing>
          <wp:inline distT="0" distB="0" distL="0" distR="0" wp14:anchorId="42379794" wp14:editId="59111C9C">
            <wp:extent cx="4800600" cy="2986088"/>
            <wp:effectExtent l="0" t="0" r="19050" b="2413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61C5" w:rsidRDefault="00DA096F" w:rsidP="00DA096F">
      <w:pPr>
        <w:pStyle w:val="Legenda"/>
        <w:jc w:val="center"/>
      </w:pPr>
      <w:r>
        <w:t xml:space="preserve">Rysunek </w:t>
      </w:r>
      <w:r w:rsidR="00F66FE4">
        <w:fldChar w:fldCharType="begin"/>
      </w:r>
      <w:r w:rsidR="00F66FE4">
        <w:instrText xml:space="preserve"> SEQ Rysunek \* ARABIC </w:instrText>
      </w:r>
      <w:r w:rsidR="00F66FE4">
        <w:fldChar w:fldCharType="separate"/>
      </w:r>
      <w:r w:rsidR="0073795C">
        <w:rPr>
          <w:noProof/>
        </w:rPr>
        <w:t>3</w:t>
      </w:r>
      <w:r w:rsidR="00F66FE4">
        <w:rPr>
          <w:noProof/>
        </w:rPr>
        <w:fldChar w:fldCharType="end"/>
      </w:r>
      <w:r>
        <w:t>: Wykres przeprowadzonych testów T26</w:t>
      </w:r>
      <w:r>
        <w:rPr>
          <w:noProof/>
        </w:rPr>
        <w:t xml:space="preserve"> - T47</w:t>
      </w:r>
    </w:p>
    <w:p w:rsidR="00DA096F" w:rsidRDefault="00DA096F" w:rsidP="00DA096F">
      <w:r>
        <w:t>Przetestowane punkty z zakresu testowego</w:t>
      </w:r>
      <w:r w:rsidR="00B71C38">
        <w:t>:</w:t>
      </w:r>
    </w:p>
    <w:p w:rsidR="00DA096F" w:rsidRDefault="00DA096F" w:rsidP="00DA096F">
      <w:pPr>
        <w:spacing w:after="0" w:line="240" w:lineRule="auto"/>
      </w:pPr>
      <w:r>
        <w:t>ZT 5.0 – Operacje dodawania na komórkach za pomocą formuł</w:t>
      </w:r>
    </w:p>
    <w:p w:rsidR="00DA096F" w:rsidRDefault="00DA096F" w:rsidP="00DA096F">
      <w:pPr>
        <w:spacing w:after="0" w:line="240" w:lineRule="auto"/>
      </w:pPr>
      <w:r>
        <w:t xml:space="preserve">ZT 5.1 – Operacje odejmowania na komórkach za pomocą formuł </w:t>
      </w:r>
    </w:p>
    <w:p w:rsidR="00DA096F" w:rsidRDefault="00DA096F" w:rsidP="00DA096F">
      <w:pPr>
        <w:spacing w:after="0" w:line="240" w:lineRule="auto"/>
      </w:pPr>
      <w:r>
        <w:t>ZT 5.2 – Operacje mnożenia na komórkach za pomocą formuł</w:t>
      </w:r>
    </w:p>
    <w:p w:rsidR="00DA096F" w:rsidRDefault="00DA096F" w:rsidP="00DA096F">
      <w:pPr>
        <w:spacing w:after="0" w:line="240" w:lineRule="auto"/>
      </w:pPr>
      <w:r>
        <w:t>ZT 5.3 –</w:t>
      </w:r>
      <w:r w:rsidRPr="00612B0B">
        <w:t xml:space="preserve"> </w:t>
      </w:r>
      <w:r>
        <w:t xml:space="preserve">Operacje dzielenia na komórkach za pomocą formuł </w:t>
      </w:r>
    </w:p>
    <w:p w:rsidR="00DA096F" w:rsidRPr="00DA096F" w:rsidRDefault="00DA096F" w:rsidP="00DA096F">
      <w:pPr>
        <w:spacing w:after="0" w:line="240" w:lineRule="auto"/>
        <w:rPr>
          <w:lang w:val="en-US"/>
        </w:rPr>
      </w:pPr>
      <w:r w:rsidRPr="00DA096F">
        <w:rPr>
          <w:lang w:val="en-US"/>
        </w:rPr>
        <w:t>ZT 5.4 – Operacje trygonometryczne (Sinus,cosinus,tanges,cotanges)</w:t>
      </w:r>
    </w:p>
    <w:p w:rsidR="00DA096F" w:rsidRDefault="00DA096F" w:rsidP="00DA096F">
      <w:pPr>
        <w:spacing w:after="0" w:line="240" w:lineRule="auto"/>
      </w:pPr>
      <w:r>
        <w:t>ZT 5.9 – Obliczenie sumy zaznaczonych komórek</w:t>
      </w:r>
    </w:p>
    <w:p w:rsidR="00DA096F" w:rsidRDefault="00DA096F" w:rsidP="00DA096F">
      <w:pPr>
        <w:spacing w:after="0" w:line="240" w:lineRule="auto"/>
      </w:pPr>
      <w:r>
        <w:t>ZT 8.0 – Test generowanych wykresów</w:t>
      </w:r>
    </w:p>
    <w:p w:rsidR="00DA096F" w:rsidRDefault="00DA096F" w:rsidP="00DA096F">
      <w:pPr>
        <w:spacing w:before="240" w:after="240" w:line="240" w:lineRule="auto"/>
      </w:pPr>
      <w:r>
        <w:t>Na 22 przeprowadzonych scenariuszy testowych:</w:t>
      </w:r>
    </w:p>
    <w:p w:rsidR="00AA61C5" w:rsidRDefault="00DA096F" w:rsidP="00DA096F">
      <w:pPr>
        <w:spacing w:after="0" w:line="240" w:lineRule="auto"/>
      </w:pPr>
      <w:r>
        <w:t>- 22 testy zakończone z wynikiem pozytywnym</w:t>
      </w:r>
    </w:p>
    <w:p w:rsidR="00DA096F" w:rsidRDefault="00EE4EDF" w:rsidP="00EE4EDF">
      <w:pPr>
        <w:pStyle w:val="Nagwek2"/>
      </w:pPr>
      <w:r>
        <w:lastRenderedPageBreak/>
        <w:t xml:space="preserve">3. </w:t>
      </w:r>
      <w:r w:rsidRPr="00EE4EDF">
        <w:rPr>
          <w:rStyle w:val="Nagwek2Znak"/>
          <w:b/>
        </w:rPr>
        <w:t>Podsumowanie testowania</w:t>
      </w:r>
    </w:p>
    <w:p w:rsidR="00277477" w:rsidRDefault="008A543E" w:rsidP="001563DB">
      <w:r>
        <w:t xml:space="preserve">W wyżej wymienionej aplikacji razem zostało przeprowadzonych 47 scenariuszy testowych. Zdarzyły się przypadki nieprawidłowego działania aplikacji. Zgodnie z zaleceniami testera, programiści najpierw </w:t>
      </w:r>
      <w:r w:rsidR="00277477">
        <w:t>poprawili</w:t>
      </w:r>
      <w:r>
        <w:t xml:space="preserve"> błąd krytyczny, w którym ilość kolumn była zamieniona z ilością wierszy.</w:t>
      </w:r>
      <w:r w:rsidR="00277477">
        <w:t xml:space="preserve"> Powodem były zamienione argumenty funkcji</w:t>
      </w:r>
      <w:r>
        <w:t xml:space="preserve"> Bardzo źle wpływało to na komfort pracy z aplikacją.</w:t>
      </w:r>
    </w:p>
    <w:p w:rsidR="00277477" w:rsidRDefault="00277477" w:rsidP="001563DB">
      <w:r>
        <w:t>W następnej kolejności programiści naprawili 2 błędy normalne, które nie spełniały wymagania niefunkcjonalnego pkt. 3 . Powodem był nieprawidłowy warunek logiczny.</w:t>
      </w:r>
    </w:p>
    <w:p w:rsidR="0074073E" w:rsidRDefault="0074073E" w:rsidP="001563DB">
      <w:r>
        <w:t>W tym czasie wykonywane były kolejne testy T17-T25, gdzie tylko jeden test T18 był z błędem niskim</w:t>
      </w:r>
      <w:r w:rsidR="00B71C38">
        <w:t>.</w:t>
      </w:r>
    </w:p>
    <w:p w:rsidR="0074073E" w:rsidRDefault="0074073E" w:rsidP="001563DB">
      <w:r>
        <w:t>W ostatniej kolejności usunięto błędy niskie z testów T1-T16</w:t>
      </w:r>
      <w:r w:rsidR="00B71C38">
        <w:t>.</w:t>
      </w:r>
    </w:p>
    <w:p w:rsidR="00277477" w:rsidRDefault="00277477" w:rsidP="001563DB">
      <w:r>
        <w:t>W grupie projektowej dyskutowa</w:t>
      </w:r>
      <w:r w:rsidR="0074073E">
        <w:t xml:space="preserve">liśmy na temat testu </w:t>
      </w:r>
      <w:r>
        <w:t>T14</w:t>
      </w:r>
      <w:r w:rsidR="0074073E">
        <w:t xml:space="preserve"> i T18</w:t>
      </w:r>
      <w:r>
        <w:t>, p</w:t>
      </w:r>
      <w:r w:rsidR="0074073E">
        <w:t>onieważ pojawiły się wątpliwość</w:t>
      </w:r>
      <w:r>
        <w:t>:</w:t>
      </w:r>
    </w:p>
    <w:p w:rsidR="001563DB" w:rsidRDefault="0074073E" w:rsidP="001563DB">
      <w:r>
        <w:t xml:space="preserve">Test </w:t>
      </w:r>
      <w:r w:rsidR="001563DB">
        <w:t xml:space="preserve">T14 – Wynik testu pozytywny, ale po usunięciu pierwszego arkusza nie jest wyświetlany żaden istniejący arkusz. </w:t>
      </w:r>
      <w:r>
        <w:t>Wątpliwość została przedyskutowana. Użytkownik sam powinien wybrać istniejący arkusz</w:t>
      </w:r>
      <w:r w:rsidR="00B71C38">
        <w:t>.</w:t>
      </w:r>
    </w:p>
    <w:p w:rsidR="0074073E" w:rsidRDefault="0074073E" w:rsidP="001563DB">
      <w:r>
        <w:t>Test T18 – Wynik testu negatywny. Zapisywany do pliku jest jeden aktualnie zaznaczony arkusz. Wątpliwość została przedyskutowana. Użytkownik do jednego pliku może zapisać tylko jeden arkusz.</w:t>
      </w:r>
    </w:p>
    <w:p w:rsidR="0074073E" w:rsidRDefault="0074073E" w:rsidP="001563DB">
      <w:r>
        <w:t>Kolejne testy T26-T47 zostały zakończone z wynikiem pozytywnym.</w:t>
      </w:r>
    </w:p>
    <w:p w:rsidR="0074073E" w:rsidRDefault="00B71C38" w:rsidP="001563DB">
      <w:r>
        <w:t>Po poprawieniu defektów przez programistów przeprowadzono ponownie wszystkie scenariusze testowe:</w:t>
      </w:r>
    </w:p>
    <w:p w:rsidR="00B71C38" w:rsidRDefault="00B71C38" w:rsidP="00B71C38">
      <w:pPr>
        <w:keepNext/>
        <w:jc w:val="center"/>
      </w:pPr>
      <w:r>
        <w:rPr>
          <w:noProof/>
          <w:lang w:eastAsia="pl-PL"/>
        </w:rPr>
        <w:drawing>
          <wp:inline distT="0" distB="0" distL="0" distR="0" wp14:anchorId="00E4A639" wp14:editId="5EC99300">
            <wp:extent cx="4800600" cy="2986088"/>
            <wp:effectExtent l="0" t="0" r="19050" b="241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1C38" w:rsidRDefault="00B71C38" w:rsidP="00B71C38">
      <w:pPr>
        <w:pStyle w:val="Legenda"/>
        <w:jc w:val="center"/>
      </w:pPr>
      <w:r>
        <w:t xml:space="preserve">Rysunek </w:t>
      </w:r>
      <w:r w:rsidR="00F66FE4">
        <w:fldChar w:fldCharType="begin"/>
      </w:r>
      <w:r w:rsidR="00F66FE4">
        <w:instrText xml:space="preserve"> SEQ Rysunek \* ARABIC </w:instrText>
      </w:r>
      <w:r w:rsidR="00F66FE4">
        <w:fldChar w:fldCharType="separate"/>
      </w:r>
      <w:r w:rsidR="0073795C">
        <w:rPr>
          <w:noProof/>
        </w:rPr>
        <w:t>4</w:t>
      </w:r>
      <w:r w:rsidR="00F66FE4">
        <w:rPr>
          <w:noProof/>
        </w:rPr>
        <w:fldChar w:fldCharType="end"/>
      </w:r>
      <w:r>
        <w:t>: Wykres wszystkich przeprowadzonych testów</w:t>
      </w:r>
    </w:p>
    <w:p w:rsidR="00B71C38" w:rsidRDefault="00B71C38"/>
    <w:p w:rsidR="00B71C38" w:rsidRDefault="00B71C38"/>
    <w:p w:rsidR="00997569" w:rsidRDefault="00997569" w:rsidP="00997569">
      <w:pPr>
        <w:pStyle w:val="Nagwek2"/>
        <w:numPr>
          <w:ilvl w:val="0"/>
          <w:numId w:val="2"/>
        </w:numPr>
      </w:pPr>
      <w:r>
        <w:lastRenderedPageBreak/>
        <w:t>Wnioski</w:t>
      </w:r>
    </w:p>
    <w:p w:rsidR="00997569" w:rsidRDefault="00997569"/>
    <w:p w:rsidR="00B71C38" w:rsidRDefault="00B71C38">
      <w:r>
        <w:t>Obliczenia matematyczne za pomocą formuł w arkuszu kalkulacyjnym są liczone prawidłowo. Nie stwierdzono</w:t>
      </w:r>
      <w:r w:rsidR="00997569">
        <w:t xml:space="preserve"> problemów z interpreterem.</w:t>
      </w:r>
    </w:p>
    <w:p w:rsidR="00997569" w:rsidRDefault="00997569">
      <w:r>
        <w:t>Nie stwierdzono problemów z interpreterem podczas manipulacji na wartościach komórek, do których odwołują się inne komórki.</w:t>
      </w:r>
    </w:p>
    <w:p w:rsidR="00997569" w:rsidRDefault="00997569">
      <w:r>
        <w:t>Przy generowaniu wykresów można zaznaczać komórki, w których zapisane są formuły.</w:t>
      </w:r>
    </w:p>
    <w:p w:rsidR="00997569" w:rsidRDefault="00997569">
      <w:r>
        <w:t>Użytkownik nie może zapisać kilku arkuszy do jednego pliku.</w:t>
      </w:r>
    </w:p>
    <w:p w:rsidR="00F632C5" w:rsidRDefault="001563DB">
      <w:r>
        <w:t>Aplikacja na stanowisku testowym działała płynnie, nie stwierdzono żadnych spadków wydajności w działaniu aplikacji.</w:t>
      </w:r>
      <w:r w:rsidR="00B71C38">
        <w:t xml:space="preserve"> Możliwe są minimalne spadki wydajności przy dużej ilości arkuszy z dużą ilością komórek.</w:t>
      </w:r>
    </w:p>
    <w:sectPr w:rsidR="00F632C5">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FE4" w:rsidRDefault="00F66FE4" w:rsidP="00B71C38">
      <w:pPr>
        <w:spacing w:after="0" w:line="240" w:lineRule="auto"/>
      </w:pPr>
      <w:r>
        <w:separator/>
      </w:r>
    </w:p>
  </w:endnote>
  <w:endnote w:type="continuationSeparator" w:id="0">
    <w:p w:rsidR="00F66FE4" w:rsidRDefault="00F66FE4" w:rsidP="00B7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1"/>
      <w:gridCol w:w="1066"/>
      <w:gridCol w:w="4111"/>
    </w:tblGrid>
    <w:tr w:rsidR="00E72AEB">
      <w:trPr>
        <w:trHeight w:val="151"/>
      </w:trPr>
      <w:tc>
        <w:tcPr>
          <w:tcW w:w="2250" w:type="pct"/>
          <w:tcBorders>
            <w:bottom w:val="single" w:sz="4" w:space="0" w:color="4F81BD" w:themeColor="accent1"/>
          </w:tcBorders>
        </w:tcPr>
        <w:p w:rsidR="00E72AEB" w:rsidRDefault="00F66FE4">
          <w:pPr>
            <w:pStyle w:val="Nagwek"/>
            <w:rPr>
              <w:rFonts w:asciiTheme="majorHAnsi" w:eastAsiaTheme="majorEastAsia" w:hAnsiTheme="majorHAnsi" w:cstheme="majorBidi"/>
              <w:b/>
              <w:bCs/>
            </w:rPr>
          </w:pPr>
        </w:p>
      </w:tc>
      <w:tc>
        <w:tcPr>
          <w:tcW w:w="500" w:type="pct"/>
          <w:vMerge w:val="restart"/>
          <w:noWrap/>
          <w:vAlign w:val="center"/>
        </w:tcPr>
        <w:p w:rsidR="00E72AEB" w:rsidRDefault="006C2C20">
          <w:pPr>
            <w:pStyle w:val="Bezodstpw"/>
            <w:rPr>
              <w:rFonts w:asciiTheme="majorHAnsi" w:eastAsiaTheme="majorEastAsia" w:hAnsiTheme="majorHAnsi" w:cstheme="majorBidi"/>
            </w:rPr>
          </w:pPr>
          <w:r>
            <w:rPr>
              <w:rFonts w:asciiTheme="majorHAnsi" w:eastAsiaTheme="majorEastAsia" w:hAnsiTheme="majorHAnsi" w:cstheme="majorBidi"/>
              <w:b/>
              <w:bCs/>
            </w:rPr>
            <w:t xml:space="preserve">Strona </w:t>
          </w:r>
          <w:r>
            <w:fldChar w:fldCharType="begin"/>
          </w:r>
          <w:r>
            <w:instrText>PAGE  \* MERGEFORMAT</w:instrText>
          </w:r>
          <w:r>
            <w:fldChar w:fldCharType="separate"/>
          </w:r>
          <w:r w:rsidR="0073795C" w:rsidRPr="0073795C">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E72AEB" w:rsidRDefault="006C2C20" w:rsidP="00AD3580">
          <w:pPr>
            <w:pStyle w:val="Nagwek"/>
            <w:jc w:val="right"/>
            <w:rPr>
              <w:rFonts w:asciiTheme="majorHAnsi" w:eastAsiaTheme="majorEastAsia" w:hAnsiTheme="majorHAnsi" w:cstheme="majorBidi"/>
              <w:b/>
              <w:bCs/>
            </w:rPr>
          </w:pPr>
          <w:r>
            <w:rPr>
              <w:rFonts w:asciiTheme="majorHAnsi" w:eastAsiaTheme="majorEastAsia" w:hAnsiTheme="majorHAnsi" w:cstheme="majorBidi"/>
              <w:b/>
              <w:bCs/>
            </w:rPr>
            <w:t>Bartosz Zabielski</w:t>
          </w:r>
        </w:p>
      </w:tc>
    </w:tr>
    <w:tr w:rsidR="00E72AEB">
      <w:trPr>
        <w:trHeight w:val="150"/>
      </w:trPr>
      <w:tc>
        <w:tcPr>
          <w:tcW w:w="2250" w:type="pct"/>
          <w:tcBorders>
            <w:top w:val="single" w:sz="4" w:space="0" w:color="4F81BD" w:themeColor="accent1"/>
          </w:tcBorders>
        </w:tcPr>
        <w:p w:rsidR="00E72AEB" w:rsidRDefault="00F66FE4">
          <w:pPr>
            <w:pStyle w:val="Nagwek"/>
            <w:rPr>
              <w:rFonts w:asciiTheme="majorHAnsi" w:eastAsiaTheme="majorEastAsia" w:hAnsiTheme="majorHAnsi" w:cstheme="majorBidi"/>
              <w:b/>
              <w:bCs/>
            </w:rPr>
          </w:pPr>
        </w:p>
      </w:tc>
      <w:tc>
        <w:tcPr>
          <w:tcW w:w="500" w:type="pct"/>
          <w:vMerge/>
        </w:tcPr>
        <w:p w:rsidR="00E72AEB" w:rsidRDefault="00F66FE4">
          <w:pPr>
            <w:pStyle w:val="Nagwek"/>
            <w:jc w:val="center"/>
            <w:rPr>
              <w:rFonts w:asciiTheme="majorHAnsi" w:eastAsiaTheme="majorEastAsia" w:hAnsiTheme="majorHAnsi" w:cstheme="majorBidi"/>
              <w:b/>
              <w:bCs/>
            </w:rPr>
          </w:pPr>
        </w:p>
      </w:tc>
      <w:tc>
        <w:tcPr>
          <w:tcW w:w="2250" w:type="pct"/>
          <w:tcBorders>
            <w:top w:val="single" w:sz="4" w:space="0" w:color="4F81BD" w:themeColor="accent1"/>
          </w:tcBorders>
        </w:tcPr>
        <w:p w:rsidR="00E72AEB" w:rsidRDefault="00F66FE4">
          <w:pPr>
            <w:pStyle w:val="Nagwek"/>
            <w:rPr>
              <w:rFonts w:asciiTheme="majorHAnsi" w:eastAsiaTheme="majorEastAsia" w:hAnsiTheme="majorHAnsi" w:cstheme="majorBidi"/>
              <w:b/>
              <w:bCs/>
            </w:rPr>
          </w:pPr>
        </w:p>
      </w:tc>
    </w:tr>
  </w:tbl>
  <w:p w:rsidR="00E72AEB" w:rsidRDefault="00F66FE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FE4" w:rsidRDefault="00F66FE4" w:rsidP="00B71C38">
      <w:pPr>
        <w:spacing w:after="0" w:line="240" w:lineRule="auto"/>
      </w:pPr>
      <w:r>
        <w:separator/>
      </w:r>
    </w:p>
  </w:footnote>
  <w:footnote w:type="continuationSeparator" w:id="0">
    <w:p w:rsidR="00F66FE4" w:rsidRDefault="00F66FE4" w:rsidP="00B71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ytuł"/>
      <w:id w:val="77547040"/>
      <w:dataBinding w:prefixMappings="xmlns:ns0='http://schemas.openxmlformats.org/package/2006/metadata/core-properties' xmlns:ns1='http://purl.org/dc/elements/1.1/'" w:xpath="/ns0:coreProperties[1]/ns1:title[1]" w:storeItemID="{6C3C8BC8-F283-45AE-878A-BAB7291924A1}"/>
      <w:text/>
    </w:sdtPr>
    <w:sdtEndPr/>
    <w:sdtContent>
      <w:p w:rsidR="00E72AEB" w:rsidRDefault="00B71C38">
        <w:pPr>
          <w:pStyle w:val="Nagwek"/>
          <w:pBdr>
            <w:between w:val="single" w:sz="4" w:space="1" w:color="4F81BD" w:themeColor="accent1"/>
          </w:pBdr>
          <w:spacing w:line="276" w:lineRule="auto"/>
          <w:jc w:val="center"/>
        </w:pPr>
        <w:r>
          <w:t>Projekt Zespołowy „CalcSheet” – Sprawozdanie z testowania aplikacji</w:t>
        </w:r>
      </w:p>
    </w:sdtContent>
  </w:sdt>
  <w:sdt>
    <w:sdtPr>
      <w:alias w:val="Data"/>
      <w:id w:val="77547044"/>
      <w:dataBinding w:prefixMappings="xmlns:ns0='http://schemas.microsoft.com/office/2006/coverPageProps'" w:xpath="/ns0:CoverPageProperties[1]/ns0:PublishDate[1]" w:storeItemID="{55AF091B-3C7A-41E3-B477-F2FDAA23CFDA}"/>
      <w:date w:fullDate="2015-05-25T00:00:00Z">
        <w:dateFormat w:val="d MMMM yyyy"/>
        <w:lid w:val="pl-PL"/>
        <w:storeMappedDataAs w:val="dateTime"/>
        <w:calendar w:val="gregorian"/>
      </w:date>
    </w:sdtPr>
    <w:sdtEndPr/>
    <w:sdtContent>
      <w:p w:rsidR="00E72AEB" w:rsidRDefault="00B71C38">
        <w:pPr>
          <w:pStyle w:val="Nagwek"/>
          <w:pBdr>
            <w:between w:val="single" w:sz="4" w:space="1" w:color="4F81BD" w:themeColor="accent1"/>
          </w:pBdr>
          <w:spacing w:line="276" w:lineRule="auto"/>
          <w:jc w:val="center"/>
        </w:pPr>
        <w:r>
          <w:t>25 maja 2015</w:t>
        </w:r>
      </w:p>
    </w:sdtContent>
  </w:sdt>
  <w:p w:rsidR="00E72AEB" w:rsidRDefault="00F66FE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01D"/>
    <w:multiLevelType w:val="hybridMultilevel"/>
    <w:tmpl w:val="730ACA66"/>
    <w:lvl w:ilvl="0" w:tplc="313C327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6DF4405"/>
    <w:multiLevelType w:val="hybridMultilevel"/>
    <w:tmpl w:val="724E9A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3DB"/>
    <w:rsid w:val="000606A0"/>
    <w:rsid w:val="000F5774"/>
    <w:rsid w:val="001563DB"/>
    <w:rsid w:val="00277477"/>
    <w:rsid w:val="005136FA"/>
    <w:rsid w:val="00515652"/>
    <w:rsid w:val="00543E9E"/>
    <w:rsid w:val="00612B0B"/>
    <w:rsid w:val="006208E5"/>
    <w:rsid w:val="006A078A"/>
    <w:rsid w:val="006C2C20"/>
    <w:rsid w:val="0073795C"/>
    <w:rsid w:val="0074073E"/>
    <w:rsid w:val="008A543E"/>
    <w:rsid w:val="00997569"/>
    <w:rsid w:val="00AA61C5"/>
    <w:rsid w:val="00B43929"/>
    <w:rsid w:val="00B71C38"/>
    <w:rsid w:val="00C6449C"/>
    <w:rsid w:val="00DA096F"/>
    <w:rsid w:val="00EE4EDF"/>
    <w:rsid w:val="00EF5D43"/>
    <w:rsid w:val="00F171AC"/>
    <w:rsid w:val="00F66F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63DB"/>
  </w:style>
  <w:style w:type="paragraph" w:styleId="Nagwek1">
    <w:name w:val="heading 1"/>
    <w:basedOn w:val="Normalny"/>
    <w:next w:val="Normalny"/>
    <w:link w:val="Nagwek1Znak"/>
    <w:uiPriority w:val="9"/>
    <w:qFormat/>
    <w:rsid w:val="00156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43E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43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563DB"/>
    <w:rPr>
      <w:rFonts w:asciiTheme="majorHAnsi" w:eastAsiaTheme="majorEastAsia" w:hAnsiTheme="majorHAnsi" w:cstheme="majorBidi"/>
      <w:b/>
      <w:bCs/>
      <w:color w:val="365F91" w:themeColor="accent1" w:themeShade="BF"/>
      <w:sz w:val="28"/>
      <w:szCs w:val="28"/>
    </w:rPr>
  </w:style>
  <w:style w:type="paragraph" w:styleId="Nagwek">
    <w:name w:val="header"/>
    <w:basedOn w:val="Normalny"/>
    <w:link w:val="NagwekZnak"/>
    <w:uiPriority w:val="99"/>
    <w:unhideWhenUsed/>
    <w:rsid w:val="001563D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63DB"/>
  </w:style>
  <w:style w:type="paragraph" w:styleId="Stopka">
    <w:name w:val="footer"/>
    <w:basedOn w:val="Normalny"/>
    <w:link w:val="StopkaZnak"/>
    <w:uiPriority w:val="99"/>
    <w:unhideWhenUsed/>
    <w:rsid w:val="001563D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63DB"/>
  </w:style>
  <w:style w:type="paragraph" w:styleId="Bezodstpw">
    <w:name w:val="No Spacing"/>
    <w:link w:val="BezodstpwZnak"/>
    <w:uiPriority w:val="1"/>
    <w:qFormat/>
    <w:rsid w:val="001563D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563DB"/>
    <w:rPr>
      <w:rFonts w:eastAsiaTheme="minorEastAsia"/>
      <w:lang w:eastAsia="pl-PL"/>
    </w:rPr>
  </w:style>
  <w:style w:type="paragraph" w:styleId="Tekstdymka">
    <w:name w:val="Balloon Text"/>
    <w:basedOn w:val="Normalny"/>
    <w:link w:val="TekstdymkaZnak"/>
    <w:uiPriority w:val="99"/>
    <w:semiHidden/>
    <w:unhideWhenUsed/>
    <w:rsid w:val="001563D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563DB"/>
    <w:rPr>
      <w:rFonts w:ascii="Tahoma" w:hAnsi="Tahoma" w:cs="Tahoma"/>
      <w:sz w:val="16"/>
      <w:szCs w:val="16"/>
    </w:rPr>
  </w:style>
  <w:style w:type="paragraph" w:styleId="Legenda">
    <w:name w:val="caption"/>
    <w:basedOn w:val="Normalny"/>
    <w:next w:val="Normalny"/>
    <w:uiPriority w:val="35"/>
    <w:unhideWhenUsed/>
    <w:qFormat/>
    <w:rsid w:val="005136FA"/>
    <w:pPr>
      <w:spacing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543E9E"/>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439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63DB"/>
  </w:style>
  <w:style w:type="paragraph" w:styleId="Nagwek1">
    <w:name w:val="heading 1"/>
    <w:basedOn w:val="Normalny"/>
    <w:next w:val="Normalny"/>
    <w:link w:val="Nagwek1Znak"/>
    <w:uiPriority w:val="9"/>
    <w:qFormat/>
    <w:rsid w:val="00156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43E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43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563DB"/>
    <w:rPr>
      <w:rFonts w:asciiTheme="majorHAnsi" w:eastAsiaTheme="majorEastAsia" w:hAnsiTheme="majorHAnsi" w:cstheme="majorBidi"/>
      <w:b/>
      <w:bCs/>
      <w:color w:val="365F91" w:themeColor="accent1" w:themeShade="BF"/>
      <w:sz w:val="28"/>
      <w:szCs w:val="28"/>
    </w:rPr>
  </w:style>
  <w:style w:type="paragraph" w:styleId="Nagwek">
    <w:name w:val="header"/>
    <w:basedOn w:val="Normalny"/>
    <w:link w:val="NagwekZnak"/>
    <w:uiPriority w:val="99"/>
    <w:unhideWhenUsed/>
    <w:rsid w:val="001563D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63DB"/>
  </w:style>
  <w:style w:type="paragraph" w:styleId="Stopka">
    <w:name w:val="footer"/>
    <w:basedOn w:val="Normalny"/>
    <w:link w:val="StopkaZnak"/>
    <w:uiPriority w:val="99"/>
    <w:unhideWhenUsed/>
    <w:rsid w:val="001563D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63DB"/>
  </w:style>
  <w:style w:type="paragraph" w:styleId="Bezodstpw">
    <w:name w:val="No Spacing"/>
    <w:link w:val="BezodstpwZnak"/>
    <w:uiPriority w:val="1"/>
    <w:qFormat/>
    <w:rsid w:val="001563D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563DB"/>
    <w:rPr>
      <w:rFonts w:eastAsiaTheme="minorEastAsia"/>
      <w:lang w:eastAsia="pl-PL"/>
    </w:rPr>
  </w:style>
  <w:style w:type="paragraph" w:styleId="Tekstdymka">
    <w:name w:val="Balloon Text"/>
    <w:basedOn w:val="Normalny"/>
    <w:link w:val="TekstdymkaZnak"/>
    <w:uiPriority w:val="99"/>
    <w:semiHidden/>
    <w:unhideWhenUsed/>
    <w:rsid w:val="001563D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563DB"/>
    <w:rPr>
      <w:rFonts w:ascii="Tahoma" w:hAnsi="Tahoma" w:cs="Tahoma"/>
      <w:sz w:val="16"/>
      <w:szCs w:val="16"/>
    </w:rPr>
  </w:style>
  <w:style w:type="paragraph" w:styleId="Legenda">
    <w:name w:val="caption"/>
    <w:basedOn w:val="Normalny"/>
    <w:next w:val="Normalny"/>
    <w:uiPriority w:val="35"/>
    <w:unhideWhenUsed/>
    <w:qFormat/>
    <w:rsid w:val="005136FA"/>
    <w:pPr>
      <w:spacing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543E9E"/>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439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rtosz\Documents\Zeszy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osz\Documents\Zeszy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osz\Documents\Zeszyt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osz\Documents\Zeszy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Wykres przeprowadzonych testów</a:t>
            </a:r>
          </a:p>
          <a:p>
            <a:pPr>
              <a:defRPr/>
            </a:pPr>
            <a:r>
              <a:rPr lang="pl-PL"/>
              <a:t>T1-T16</a:t>
            </a:r>
          </a:p>
        </c:rich>
      </c:tx>
      <c:overlay val="0"/>
    </c:title>
    <c:autoTitleDeleted val="0"/>
    <c:plotArea>
      <c:layout/>
      <c:barChart>
        <c:barDir val="col"/>
        <c:grouping val="clustered"/>
        <c:varyColors val="0"/>
        <c:ser>
          <c:idx val="0"/>
          <c:order val="0"/>
          <c:tx>
            <c:strRef>
              <c:f>Arkusz1!$F$2</c:f>
              <c:strCache>
                <c:ptCount val="1"/>
                <c:pt idx="0">
                  <c:v>Pozytywny</c:v>
                </c:pt>
              </c:strCache>
            </c:strRef>
          </c:tx>
          <c:spPr>
            <a:solidFill>
              <a:srgbClr val="00B050"/>
            </a:solidFill>
          </c:spPr>
          <c:invertIfNegative val="0"/>
          <c:val>
            <c:numRef>
              <c:f>Arkusz1!$E$2</c:f>
              <c:numCache>
                <c:formatCode>General</c:formatCode>
                <c:ptCount val="1"/>
                <c:pt idx="0">
                  <c:v>9</c:v>
                </c:pt>
              </c:numCache>
            </c:numRef>
          </c:val>
        </c:ser>
        <c:ser>
          <c:idx val="1"/>
          <c:order val="1"/>
          <c:tx>
            <c:v>Błąd niski</c:v>
          </c:tx>
          <c:spPr>
            <a:solidFill>
              <a:schemeClr val="accent6">
                <a:lumMod val="75000"/>
              </a:schemeClr>
            </a:solidFill>
          </c:spPr>
          <c:invertIfNegative val="0"/>
          <c:val>
            <c:numRef>
              <c:f>Arkusz1!$E$3</c:f>
              <c:numCache>
                <c:formatCode>General</c:formatCode>
                <c:ptCount val="1"/>
                <c:pt idx="0">
                  <c:v>4</c:v>
                </c:pt>
              </c:numCache>
            </c:numRef>
          </c:val>
        </c:ser>
        <c:ser>
          <c:idx val="2"/>
          <c:order val="2"/>
          <c:tx>
            <c:strRef>
              <c:f>Arkusz1!$F$4</c:f>
              <c:strCache>
                <c:ptCount val="1"/>
                <c:pt idx="0">
                  <c:v>Błąd normalny</c:v>
                </c:pt>
              </c:strCache>
            </c:strRef>
          </c:tx>
          <c:spPr>
            <a:solidFill>
              <a:srgbClr val="C00000"/>
            </a:solidFill>
          </c:spPr>
          <c:invertIfNegative val="0"/>
          <c:val>
            <c:numRef>
              <c:f>Arkusz1!$E$4</c:f>
              <c:numCache>
                <c:formatCode>General</c:formatCode>
                <c:ptCount val="1"/>
                <c:pt idx="0">
                  <c:v>2</c:v>
                </c:pt>
              </c:numCache>
            </c:numRef>
          </c:val>
        </c:ser>
        <c:ser>
          <c:idx val="3"/>
          <c:order val="3"/>
          <c:tx>
            <c:strRef>
              <c:f>Arkusz1!$F$5</c:f>
              <c:strCache>
                <c:ptCount val="1"/>
                <c:pt idx="0">
                  <c:v>Błąd krytyczny</c:v>
                </c:pt>
              </c:strCache>
            </c:strRef>
          </c:tx>
          <c:spPr>
            <a:solidFill>
              <a:srgbClr val="FF0000"/>
            </a:solidFill>
          </c:spPr>
          <c:invertIfNegative val="0"/>
          <c:val>
            <c:numRef>
              <c:f>Arkusz1!$E$5</c:f>
              <c:numCache>
                <c:formatCode>General</c:formatCode>
                <c:ptCount val="1"/>
                <c:pt idx="0">
                  <c:v>1</c:v>
                </c:pt>
              </c:numCache>
            </c:numRef>
          </c:val>
        </c:ser>
        <c:dLbls>
          <c:showLegendKey val="0"/>
          <c:showVal val="0"/>
          <c:showCatName val="0"/>
          <c:showSerName val="0"/>
          <c:showPercent val="0"/>
          <c:showBubbleSize val="0"/>
        </c:dLbls>
        <c:gapWidth val="150"/>
        <c:axId val="165639168"/>
        <c:axId val="165457280"/>
      </c:barChart>
      <c:catAx>
        <c:axId val="165639168"/>
        <c:scaling>
          <c:orientation val="minMax"/>
        </c:scaling>
        <c:delete val="1"/>
        <c:axPos val="b"/>
        <c:majorTickMark val="out"/>
        <c:minorTickMark val="none"/>
        <c:tickLblPos val="nextTo"/>
        <c:crossAx val="165457280"/>
        <c:crosses val="autoZero"/>
        <c:auto val="1"/>
        <c:lblAlgn val="ctr"/>
        <c:lblOffset val="100"/>
        <c:noMultiLvlLbl val="0"/>
      </c:catAx>
      <c:valAx>
        <c:axId val="165457280"/>
        <c:scaling>
          <c:orientation val="minMax"/>
        </c:scaling>
        <c:delete val="0"/>
        <c:axPos val="l"/>
        <c:majorGridlines/>
        <c:title>
          <c:tx>
            <c:rich>
              <a:bodyPr rot="-5400000" vert="horz"/>
              <a:lstStyle/>
              <a:p>
                <a:pPr>
                  <a:defRPr/>
                </a:pPr>
                <a:r>
                  <a:rPr lang="pl-PL"/>
                  <a:t>Liczba</a:t>
                </a:r>
                <a:r>
                  <a:rPr lang="pl-PL" baseline="0"/>
                  <a:t> testów</a:t>
                </a:r>
                <a:endParaRPr lang="pl-PL"/>
              </a:p>
            </c:rich>
          </c:tx>
          <c:overlay val="0"/>
        </c:title>
        <c:numFmt formatCode="General" sourceLinked="1"/>
        <c:majorTickMark val="out"/>
        <c:minorTickMark val="none"/>
        <c:tickLblPos val="nextTo"/>
        <c:crossAx val="1656391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Wykres przeprowadzonych testów</a:t>
            </a:r>
          </a:p>
          <a:p>
            <a:pPr>
              <a:defRPr/>
            </a:pPr>
            <a:r>
              <a:rPr lang="pl-PL"/>
              <a:t>T17-T25</a:t>
            </a:r>
          </a:p>
        </c:rich>
      </c:tx>
      <c:layout>
        <c:manualLayout>
          <c:xMode val="edge"/>
          <c:yMode val="edge"/>
          <c:x val="0.15417989417989417"/>
          <c:y val="2.5518337034943377E-2"/>
        </c:manualLayout>
      </c:layout>
      <c:overlay val="0"/>
    </c:title>
    <c:autoTitleDeleted val="0"/>
    <c:plotArea>
      <c:layout/>
      <c:barChart>
        <c:barDir val="col"/>
        <c:grouping val="clustered"/>
        <c:varyColors val="0"/>
        <c:ser>
          <c:idx val="0"/>
          <c:order val="0"/>
          <c:tx>
            <c:strRef>
              <c:f>Arkusz1!$F$8</c:f>
              <c:strCache>
                <c:ptCount val="1"/>
                <c:pt idx="0">
                  <c:v>Pozytywny</c:v>
                </c:pt>
              </c:strCache>
            </c:strRef>
          </c:tx>
          <c:spPr>
            <a:solidFill>
              <a:srgbClr val="00B050"/>
            </a:solidFill>
          </c:spPr>
          <c:invertIfNegative val="0"/>
          <c:val>
            <c:numRef>
              <c:f>Arkusz1!$E$8</c:f>
              <c:numCache>
                <c:formatCode>General</c:formatCode>
                <c:ptCount val="1"/>
                <c:pt idx="0">
                  <c:v>8</c:v>
                </c:pt>
              </c:numCache>
            </c:numRef>
          </c:val>
        </c:ser>
        <c:ser>
          <c:idx val="1"/>
          <c:order val="1"/>
          <c:tx>
            <c:v>Błąd niski</c:v>
          </c:tx>
          <c:spPr>
            <a:solidFill>
              <a:schemeClr val="accent6">
                <a:lumMod val="75000"/>
              </a:schemeClr>
            </a:solidFill>
          </c:spPr>
          <c:invertIfNegative val="0"/>
          <c:val>
            <c:numRef>
              <c:f>Arkusz1!$E$9</c:f>
              <c:numCache>
                <c:formatCode>General</c:formatCode>
                <c:ptCount val="1"/>
                <c:pt idx="0">
                  <c:v>1</c:v>
                </c:pt>
              </c:numCache>
            </c:numRef>
          </c:val>
        </c:ser>
        <c:ser>
          <c:idx val="2"/>
          <c:order val="2"/>
          <c:tx>
            <c:strRef>
              <c:f>Arkusz1!$F$4</c:f>
              <c:strCache>
                <c:ptCount val="1"/>
                <c:pt idx="0">
                  <c:v>Błąd normalny</c:v>
                </c:pt>
              </c:strCache>
            </c:strRef>
          </c:tx>
          <c:spPr>
            <a:solidFill>
              <a:srgbClr val="C00000"/>
            </a:solidFill>
          </c:spPr>
          <c:invertIfNegative val="0"/>
          <c:val>
            <c:numRef>
              <c:f>Arkusz1!$E$10</c:f>
              <c:numCache>
                <c:formatCode>General</c:formatCode>
                <c:ptCount val="1"/>
                <c:pt idx="0">
                  <c:v>0</c:v>
                </c:pt>
              </c:numCache>
            </c:numRef>
          </c:val>
        </c:ser>
        <c:ser>
          <c:idx val="3"/>
          <c:order val="3"/>
          <c:tx>
            <c:strRef>
              <c:f>Arkusz1!$F$5</c:f>
              <c:strCache>
                <c:ptCount val="1"/>
                <c:pt idx="0">
                  <c:v>Błąd krytyczny</c:v>
                </c:pt>
              </c:strCache>
            </c:strRef>
          </c:tx>
          <c:spPr>
            <a:solidFill>
              <a:srgbClr val="FF0000"/>
            </a:solidFill>
          </c:spPr>
          <c:invertIfNegative val="0"/>
          <c:val>
            <c:numRef>
              <c:f>Arkusz1!$E$11</c:f>
              <c:numCache>
                <c:formatCode>General</c:formatCode>
                <c:ptCount val="1"/>
                <c:pt idx="0">
                  <c:v>0</c:v>
                </c:pt>
              </c:numCache>
            </c:numRef>
          </c:val>
        </c:ser>
        <c:dLbls>
          <c:showLegendKey val="0"/>
          <c:showVal val="0"/>
          <c:showCatName val="0"/>
          <c:showSerName val="0"/>
          <c:showPercent val="0"/>
          <c:showBubbleSize val="0"/>
        </c:dLbls>
        <c:gapWidth val="150"/>
        <c:axId val="165640192"/>
        <c:axId val="165459008"/>
      </c:barChart>
      <c:catAx>
        <c:axId val="165640192"/>
        <c:scaling>
          <c:orientation val="minMax"/>
        </c:scaling>
        <c:delete val="1"/>
        <c:axPos val="b"/>
        <c:majorTickMark val="out"/>
        <c:minorTickMark val="none"/>
        <c:tickLblPos val="nextTo"/>
        <c:crossAx val="165459008"/>
        <c:crosses val="autoZero"/>
        <c:auto val="1"/>
        <c:lblAlgn val="ctr"/>
        <c:lblOffset val="100"/>
        <c:noMultiLvlLbl val="0"/>
      </c:catAx>
      <c:valAx>
        <c:axId val="165459008"/>
        <c:scaling>
          <c:orientation val="minMax"/>
        </c:scaling>
        <c:delete val="0"/>
        <c:axPos val="l"/>
        <c:majorGridlines/>
        <c:title>
          <c:tx>
            <c:rich>
              <a:bodyPr rot="-5400000" vert="horz"/>
              <a:lstStyle/>
              <a:p>
                <a:pPr>
                  <a:defRPr/>
                </a:pPr>
                <a:r>
                  <a:rPr lang="pl-PL"/>
                  <a:t>Liczba</a:t>
                </a:r>
                <a:r>
                  <a:rPr lang="pl-PL" baseline="0"/>
                  <a:t> testów</a:t>
                </a:r>
                <a:endParaRPr lang="pl-PL"/>
              </a:p>
            </c:rich>
          </c:tx>
          <c:overlay val="0"/>
        </c:title>
        <c:numFmt formatCode="General" sourceLinked="1"/>
        <c:majorTickMark val="out"/>
        <c:minorTickMark val="none"/>
        <c:tickLblPos val="nextTo"/>
        <c:crossAx val="1656401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Wykres przeprowadzonych testów</a:t>
            </a:r>
          </a:p>
          <a:p>
            <a:pPr>
              <a:defRPr/>
            </a:pPr>
            <a:r>
              <a:rPr lang="pl-PL"/>
              <a:t>T26-T47</a:t>
            </a:r>
          </a:p>
        </c:rich>
      </c:tx>
      <c:layout>
        <c:manualLayout>
          <c:xMode val="edge"/>
          <c:yMode val="edge"/>
          <c:x val="0.15417989417989417"/>
          <c:y val="2.5518337034943377E-2"/>
        </c:manualLayout>
      </c:layout>
      <c:overlay val="0"/>
    </c:title>
    <c:autoTitleDeleted val="0"/>
    <c:plotArea>
      <c:layout/>
      <c:barChart>
        <c:barDir val="col"/>
        <c:grouping val="clustered"/>
        <c:varyColors val="0"/>
        <c:ser>
          <c:idx val="0"/>
          <c:order val="0"/>
          <c:tx>
            <c:strRef>
              <c:f>Arkusz1!$F$14</c:f>
              <c:strCache>
                <c:ptCount val="1"/>
                <c:pt idx="0">
                  <c:v>Pozytywny</c:v>
                </c:pt>
              </c:strCache>
            </c:strRef>
          </c:tx>
          <c:spPr>
            <a:solidFill>
              <a:srgbClr val="00B050"/>
            </a:solidFill>
          </c:spPr>
          <c:invertIfNegative val="0"/>
          <c:val>
            <c:numRef>
              <c:f>Arkusz1!$E$14</c:f>
              <c:numCache>
                <c:formatCode>General</c:formatCode>
                <c:ptCount val="1"/>
                <c:pt idx="0">
                  <c:v>22</c:v>
                </c:pt>
              </c:numCache>
            </c:numRef>
          </c:val>
        </c:ser>
        <c:ser>
          <c:idx val="1"/>
          <c:order val="1"/>
          <c:tx>
            <c:v>Błąd niski</c:v>
          </c:tx>
          <c:spPr>
            <a:solidFill>
              <a:schemeClr val="accent6">
                <a:lumMod val="75000"/>
              </a:schemeClr>
            </a:solidFill>
          </c:spPr>
          <c:invertIfNegative val="0"/>
          <c:val>
            <c:numRef>
              <c:f>Arkusz1!$E$15</c:f>
              <c:numCache>
                <c:formatCode>General</c:formatCode>
                <c:ptCount val="1"/>
                <c:pt idx="0">
                  <c:v>0</c:v>
                </c:pt>
              </c:numCache>
            </c:numRef>
          </c:val>
        </c:ser>
        <c:ser>
          <c:idx val="2"/>
          <c:order val="2"/>
          <c:tx>
            <c:strRef>
              <c:f>Arkusz1!$F$16</c:f>
              <c:strCache>
                <c:ptCount val="1"/>
                <c:pt idx="0">
                  <c:v>Błąd normalny</c:v>
                </c:pt>
              </c:strCache>
            </c:strRef>
          </c:tx>
          <c:spPr>
            <a:solidFill>
              <a:srgbClr val="C00000"/>
            </a:solidFill>
          </c:spPr>
          <c:invertIfNegative val="0"/>
          <c:val>
            <c:numRef>
              <c:f>Arkusz1!$E$16</c:f>
              <c:numCache>
                <c:formatCode>General</c:formatCode>
                <c:ptCount val="1"/>
                <c:pt idx="0">
                  <c:v>0</c:v>
                </c:pt>
              </c:numCache>
            </c:numRef>
          </c:val>
        </c:ser>
        <c:ser>
          <c:idx val="3"/>
          <c:order val="3"/>
          <c:tx>
            <c:strRef>
              <c:f>Arkusz1!$F$17</c:f>
              <c:strCache>
                <c:ptCount val="1"/>
                <c:pt idx="0">
                  <c:v>Błąd krytyczny</c:v>
                </c:pt>
              </c:strCache>
            </c:strRef>
          </c:tx>
          <c:spPr>
            <a:solidFill>
              <a:srgbClr val="FF0000"/>
            </a:solidFill>
          </c:spPr>
          <c:invertIfNegative val="0"/>
          <c:val>
            <c:numRef>
              <c:f>Arkusz1!$E$17</c:f>
              <c:numCache>
                <c:formatCode>General</c:formatCode>
                <c:ptCount val="1"/>
                <c:pt idx="0">
                  <c:v>0</c:v>
                </c:pt>
              </c:numCache>
            </c:numRef>
          </c:val>
        </c:ser>
        <c:dLbls>
          <c:showLegendKey val="0"/>
          <c:showVal val="0"/>
          <c:showCatName val="0"/>
          <c:showSerName val="0"/>
          <c:showPercent val="0"/>
          <c:showBubbleSize val="0"/>
        </c:dLbls>
        <c:gapWidth val="150"/>
        <c:axId val="166836736"/>
        <c:axId val="165460736"/>
      </c:barChart>
      <c:catAx>
        <c:axId val="166836736"/>
        <c:scaling>
          <c:orientation val="minMax"/>
        </c:scaling>
        <c:delete val="1"/>
        <c:axPos val="b"/>
        <c:majorTickMark val="out"/>
        <c:minorTickMark val="none"/>
        <c:tickLblPos val="nextTo"/>
        <c:crossAx val="165460736"/>
        <c:crosses val="autoZero"/>
        <c:auto val="1"/>
        <c:lblAlgn val="ctr"/>
        <c:lblOffset val="100"/>
        <c:noMultiLvlLbl val="0"/>
      </c:catAx>
      <c:valAx>
        <c:axId val="165460736"/>
        <c:scaling>
          <c:orientation val="minMax"/>
        </c:scaling>
        <c:delete val="0"/>
        <c:axPos val="l"/>
        <c:majorGridlines/>
        <c:title>
          <c:tx>
            <c:rich>
              <a:bodyPr rot="-5400000" vert="horz"/>
              <a:lstStyle/>
              <a:p>
                <a:pPr>
                  <a:defRPr/>
                </a:pPr>
                <a:r>
                  <a:rPr lang="pl-PL"/>
                  <a:t>Liczba</a:t>
                </a:r>
                <a:r>
                  <a:rPr lang="pl-PL" baseline="0"/>
                  <a:t> testów</a:t>
                </a:r>
                <a:endParaRPr lang="pl-PL"/>
              </a:p>
            </c:rich>
          </c:tx>
          <c:overlay val="0"/>
        </c:title>
        <c:numFmt formatCode="General" sourceLinked="1"/>
        <c:majorTickMark val="out"/>
        <c:minorTickMark val="none"/>
        <c:tickLblPos val="nextTo"/>
        <c:crossAx val="1668367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pl-PL"/>
              <a:t>Wykres wszystkich testów</a:t>
            </a:r>
          </a:p>
        </c:rich>
      </c:tx>
      <c:layout>
        <c:manualLayout>
          <c:xMode val="edge"/>
          <c:yMode val="edge"/>
          <c:x val="0.1621164021164021"/>
          <c:y val="2.5518337034943377E-2"/>
        </c:manualLayout>
      </c:layout>
      <c:overlay val="0"/>
    </c:title>
    <c:autoTitleDeleted val="0"/>
    <c:plotArea>
      <c:layout/>
      <c:barChart>
        <c:barDir val="col"/>
        <c:grouping val="clustered"/>
        <c:varyColors val="0"/>
        <c:ser>
          <c:idx val="0"/>
          <c:order val="0"/>
          <c:tx>
            <c:strRef>
              <c:f>Arkusz1!$F$14</c:f>
              <c:strCache>
                <c:ptCount val="1"/>
                <c:pt idx="0">
                  <c:v>Pozytywny</c:v>
                </c:pt>
              </c:strCache>
            </c:strRef>
          </c:tx>
          <c:spPr>
            <a:solidFill>
              <a:srgbClr val="00B050"/>
            </a:solidFill>
          </c:spPr>
          <c:invertIfNegative val="0"/>
          <c:val>
            <c:numRef>
              <c:f>Arkusz1!$E$19</c:f>
              <c:numCache>
                <c:formatCode>General</c:formatCode>
                <c:ptCount val="1"/>
                <c:pt idx="0">
                  <c:v>46</c:v>
                </c:pt>
              </c:numCache>
            </c:numRef>
          </c:val>
        </c:ser>
        <c:ser>
          <c:idx val="1"/>
          <c:order val="1"/>
          <c:tx>
            <c:v>Błąd niski</c:v>
          </c:tx>
          <c:spPr>
            <a:solidFill>
              <a:schemeClr val="accent6">
                <a:lumMod val="75000"/>
              </a:schemeClr>
            </a:solidFill>
          </c:spPr>
          <c:invertIfNegative val="0"/>
          <c:val>
            <c:numRef>
              <c:f>Arkusz1!$E$20</c:f>
              <c:numCache>
                <c:formatCode>General</c:formatCode>
                <c:ptCount val="1"/>
                <c:pt idx="0">
                  <c:v>1</c:v>
                </c:pt>
              </c:numCache>
            </c:numRef>
          </c:val>
        </c:ser>
        <c:ser>
          <c:idx val="2"/>
          <c:order val="2"/>
          <c:tx>
            <c:strRef>
              <c:f>Arkusz1!$F$16</c:f>
              <c:strCache>
                <c:ptCount val="1"/>
                <c:pt idx="0">
                  <c:v>Błąd normalny</c:v>
                </c:pt>
              </c:strCache>
            </c:strRef>
          </c:tx>
          <c:spPr>
            <a:solidFill>
              <a:srgbClr val="C00000"/>
            </a:solidFill>
          </c:spPr>
          <c:invertIfNegative val="0"/>
          <c:val>
            <c:numRef>
              <c:f>Arkusz1!$E$16</c:f>
              <c:numCache>
                <c:formatCode>General</c:formatCode>
                <c:ptCount val="1"/>
                <c:pt idx="0">
                  <c:v>0</c:v>
                </c:pt>
              </c:numCache>
            </c:numRef>
          </c:val>
        </c:ser>
        <c:ser>
          <c:idx val="3"/>
          <c:order val="3"/>
          <c:tx>
            <c:strRef>
              <c:f>Arkusz1!$F$17</c:f>
              <c:strCache>
                <c:ptCount val="1"/>
                <c:pt idx="0">
                  <c:v>Błąd krytyczny</c:v>
                </c:pt>
              </c:strCache>
            </c:strRef>
          </c:tx>
          <c:spPr>
            <a:solidFill>
              <a:srgbClr val="FF0000"/>
            </a:solidFill>
          </c:spPr>
          <c:invertIfNegative val="0"/>
          <c:val>
            <c:numRef>
              <c:f>Arkusz1!$E$17</c:f>
              <c:numCache>
                <c:formatCode>General</c:formatCode>
                <c:ptCount val="1"/>
                <c:pt idx="0">
                  <c:v>0</c:v>
                </c:pt>
              </c:numCache>
            </c:numRef>
          </c:val>
        </c:ser>
        <c:dLbls>
          <c:showLegendKey val="0"/>
          <c:showVal val="0"/>
          <c:showCatName val="0"/>
          <c:showSerName val="0"/>
          <c:showPercent val="0"/>
          <c:showBubbleSize val="0"/>
        </c:dLbls>
        <c:gapWidth val="150"/>
        <c:axId val="165640704"/>
        <c:axId val="169582592"/>
      </c:barChart>
      <c:catAx>
        <c:axId val="165640704"/>
        <c:scaling>
          <c:orientation val="minMax"/>
        </c:scaling>
        <c:delete val="1"/>
        <c:axPos val="b"/>
        <c:majorTickMark val="out"/>
        <c:minorTickMark val="none"/>
        <c:tickLblPos val="nextTo"/>
        <c:crossAx val="169582592"/>
        <c:crosses val="autoZero"/>
        <c:auto val="1"/>
        <c:lblAlgn val="ctr"/>
        <c:lblOffset val="100"/>
        <c:noMultiLvlLbl val="0"/>
      </c:catAx>
      <c:valAx>
        <c:axId val="169582592"/>
        <c:scaling>
          <c:orientation val="minMax"/>
        </c:scaling>
        <c:delete val="0"/>
        <c:axPos val="l"/>
        <c:majorGridlines/>
        <c:title>
          <c:tx>
            <c:rich>
              <a:bodyPr rot="-5400000" vert="horz"/>
              <a:lstStyle/>
              <a:p>
                <a:pPr>
                  <a:defRPr/>
                </a:pPr>
                <a:r>
                  <a:rPr lang="pl-PL"/>
                  <a:t>Liczba</a:t>
                </a:r>
                <a:r>
                  <a:rPr lang="pl-PL" baseline="0"/>
                  <a:t> testów</a:t>
                </a:r>
                <a:endParaRPr lang="pl-PL"/>
              </a:p>
            </c:rich>
          </c:tx>
          <c:overlay val="0"/>
        </c:title>
        <c:numFmt formatCode="General" sourceLinked="1"/>
        <c:majorTickMark val="out"/>
        <c:minorTickMark val="none"/>
        <c:tickLblPos val="nextTo"/>
        <c:crossAx val="1656407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860</Words>
  <Characters>5163</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Projekt Zespołowy „CalcSheet” – Sprawozdanie z testowania aplikacji</vt:lpstr>
    </vt:vector>
  </TitlesOfParts>
  <Company>x</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Zespołowy „CalcSheet” – Sprawozdanie z testowania aplikacji</dc:title>
  <dc:creator>x</dc:creator>
  <cp:lastModifiedBy>x</cp:lastModifiedBy>
  <cp:revision>5</cp:revision>
  <cp:lastPrinted>2015-05-26T00:54:00Z</cp:lastPrinted>
  <dcterms:created xsi:type="dcterms:W3CDTF">2015-05-25T21:42:00Z</dcterms:created>
  <dcterms:modified xsi:type="dcterms:W3CDTF">2015-05-26T00:54:00Z</dcterms:modified>
</cp:coreProperties>
</file>