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2C69884B" w:rsidR="00AF54D7" w:rsidRPr="003A2CA1" w:rsidRDefault="004F59BE" w:rsidP="00A35634">
      <w:pPr>
        <w:pStyle w:val="Title"/>
        <w:spacing w:line="480" w:lineRule="auto"/>
        <w:jc w:val="center"/>
      </w:pPr>
      <w:r>
        <w:t xml:space="preserve">Genotypically diverse co-expression networks </w:t>
      </w:r>
      <w:r w:rsidR="00B078C7">
        <w:t xml:space="preserve">identify genes driving elemental accumulation in maize </w:t>
      </w:r>
      <w:commentRangeStart w:id="0"/>
      <w:r w:rsidR="00B078C7">
        <w:t>seeds</w:t>
      </w:r>
      <w:commentRangeEnd w:id="0"/>
      <w:r w:rsidR="00B078C7">
        <w:rPr>
          <w:rStyle w:val="CommentReference"/>
          <w:rFonts w:ascii="Georgia" w:eastAsiaTheme="minorHAnsi" w:hAnsi="Georgia" w:cs="Arial"/>
          <w:b w:val="0"/>
          <w:spacing w:val="0"/>
          <w:kern w:val="0"/>
        </w:rPr>
        <w:commentReference w:id="0"/>
      </w:r>
    </w:p>
    <w:p w14:paraId="35A1A184" w14:textId="783C67C2"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8C15B5">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12CD7F05"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3" w:history="1">
        <w:r w:rsidR="00A35634" w:rsidRPr="00B6325C">
          <w:rPr>
            <w:rStyle w:val="Hyperlink"/>
          </w:rPr>
          <w:t>o.a.hoekenga@gmail.com</w:t>
        </w:r>
      </w:hyperlink>
      <w:r w:rsidR="00A35634">
        <w:t>&gt;,</w:t>
      </w:r>
      <w:r>
        <w:t xml:space="preserve"> </w:t>
      </w:r>
      <w:r w:rsidR="00A35634">
        <w:t xml:space="preserve">Brian </w:t>
      </w:r>
      <w:proofErr w:type="spellStart"/>
      <w:r w:rsidR="00A35634">
        <w:t>Dilkes</w:t>
      </w:r>
      <w:proofErr w:type="spellEnd"/>
      <w:r w:rsidR="00A35634">
        <w:t xml:space="preserve">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0F6484A1" w:rsidR="00D41498" w:rsidRDefault="00BD667B" w:rsidP="005524D4">
      <w:commentRangeStart w:id="8"/>
      <w:del w:id="9"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0" w:author="Rob" w:date="2017-12-29T13:04:00Z">
        <w:r w:rsidR="00D41498">
          <w:t xml:space="preserve">Linkage disequilibrium masks </w:t>
        </w:r>
      </w:ins>
      <w:ins w:id="11" w:author="Rob" w:date="2017-12-29T13:05:00Z">
        <w:r w:rsidR="005524D4">
          <w:t xml:space="preserve">true </w:t>
        </w:r>
      </w:ins>
      <w:ins w:id="12" w:author="Rob" w:date="2017-12-29T13:04:00Z">
        <w:r w:rsidR="00D41498">
          <w:t xml:space="preserve">causal mutations when mapping traits </w:t>
        </w:r>
        <w:r w:rsidR="005524D4">
          <w:t>in genome-wide association studies</w:t>
        </w:r>
      </w:ins>
      <w:ins w:id="13" w:author="Rob" w:date="2017-12-29T13:05:00Z">
        <w:r w:rsidR="005524D4">
          <w:t xml:space="preserve"> leading to dozens of associated markers implicating hundreds of candidate genes. Network based approaches can be used to identify subsets of candidate genes with putative</w:t>
        </w:r>
      </w:ins>
      <w:ins w:id="14" w:author="Rob" w:date="2017-12-29T13:07:00Z">
        <w:r w:rsidR="005524D4">
          <w:t xml:space="preserve"> biological function, however the relationships that arise among genes substantially differs based on </w:t>
        </w:r>
      </w:ins>
      <w:ins w:id="15" w:author="Rob" w:date="2017-12-29T13:08:00Z">
        <w:r w:rsidR="005524D4">
          <w:t>the experimental context the data were derived from.</w:t>
        </w:r>
      </w:ins>
      <w:ins w:id="16" w:author="Rob" w:date="2017-12-29T13:09:00Z">
        <w:r w:rsidR="005524D4">
          <w:t xml:space="preserve"> </w:t>
        </w:r>
      </w:ins>
      <w:moveToRangeStart w:id="17" w:author="Rob" w:date="2017-12-29T13:09:00Z" w:name="move502316281"/>
      <w:moveTo w:id="18" w:author="Rob" w:date="2017-12-29T13:09:00Z">
        <w:r w:rsidR="005524D4" w:rsidRPr="00121B87">
          <w:t>Here, we developed a computational framework called Camoco that</w:t>
        </w:r>
      </w:moveTo>
      <w:ins w:id="19" w:author="Rob" w:date="2017-12-29T13:09:00Z">
        <w:r w:rsidR="005524D4">
          <w:t xml:space="preserve"> builds and compares functional modules related to GWAS from different experimental sources.</w:t>
        </w:r>
      </w:ins>
      <w:moveTo w:id="20" w:author="Rob" w:date="2017-12-29T13:09:00Z">
        <w:del w:id="21" w:author="Rob" w:date="2017-12-29T13:11:00Z">
          <w:r w:rsidR="005524D4" w:rsidRPr="00121B87" w:rsidDel="005524D4">
            <w:delText xml:space="preserve"> integrates loci identified by GWAS with functional information derived from gene co-expression networks.</w:delText>
          </w:r>
        </w:del>
      </w:moveTo>
      <w:moveToRangeEnd w:id="17"/>
      <w:commentRangeEnd w:id="8"/>
      <w:r w:rsidR="007E216A">
        <w:rPr>
          <w:rStyle w:val="CommentReference"/>
        </w:rPr>
        <w:commentReference w:id="8"/>
      </w:r>
    </w:p>
    <w:p w14:paraId="43619888" w14:textId="589743F6" w:rsidR="00C22885" w:rsidRDefault="00C22885" w:rsidP="00C22885">
      <w:pPr>
        <w:pStyle w:val="Heading2"/>
      </w:pPr>
      <w:r>
        <w:t>Results</w:t>
      </w:r>
    </w:p>
    <w:p w14:paraId="178FE1ED" w14:textId="23D79DB3" w:rsidR="00C22885" w:rsidRDefault="00BD667B" w:rsidP="00121B87">
      <w:pPr>
        <w:rPr>
          <w:b/>
        </w:rPr>
      </w:pPr>
      <w:moveFromRangeStart w:id="22" w:author="Rob" w:date="2017-12-29T13:09:00Z" w:name="move502316281"/>
      <w:moveFrom w:id="23"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2"/>
      <w:del w:id="24" w:author="Rob" w:date="2017-12-29T13:11:00Z">
        <w:r w:rsidRPr="00121B87" w:rsidDel="005524D4">
          <w:delText>We built co</w:delText>
        </w:r>
      </w:del>
      <w:ins w:id="25" w:author="Rob" w:date="2017-12-29T13:11:00Z">
        <w:r w:rsidR="005524D4">
          <w:t>Co</w:t>
        </w:r>
      </w:ins>
      <w:r w:rsidRPr="00121B87">
        <w:t xml:space="preserve">-expression networks </w:t>
      </w:r>
      <w:ins w:id="26" w:author="Rob" w:date="2017-12-29T13:11:00Z">
        <w:r w:rsidR="005524D4">
          <w:t xml:space="preserve">were built </w:t>
        </w:r>
      </w:ins>
      <w:r w:rsidRPr="00121B87">
        <w:t xml:space="preserve">from three distinct biological contexts and </w:t>
      </w:r>
      <w:del w:id="27" w:author="Rob" w:date="2017-12-29T13:11:00Z">
        <w:r w:rsidRPr="00121B87" w:rsidDel="005524D4">
          <w:delText xml:space="preserve">establish </w:delText>
        </w:r>
      </w:del>
      <w:r w:rsidRPr="00121B87">
        <w:t>the precision of our method</w:t>
      </w:r>
      <w:ins w:id="28" w:author="Rob" w:date="2017-12-29T13:11:00Z">
        <w:r w:rsidR="005524D4">
          <w:t xml:space="preserve"> was established</w:t>
        </w:r>
      </w:ins>
      <w:r w:rsidRPr="00121B87">
        <w:t xml:space="preserve"> </w:t>
      </w:r>
      <w:ins w:id="29" w:author="Rob" w:date="2017-12-29T13:12:00Z">
        <w:r w:rsidR="005524D4">
          <w:t>using</w:t>
        </w:r>
      </w:ins>
      <w:del w:id="30"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1" w:author="Rob" w:date="2017-12-29T13:13:00Z">
        <w:r w:rsidR="006E1136" w:rsidRPr="00121B87" w:rsidDel="005524D4">
          <w:delText xml:space="preserve">performed functional </w:delText>
        </w:r>
      </w:del>
      <w:r w:rsidR="006E1136" w:rsidRPr="00121B87">
        <w:t>validat</w:t>
      </w:r>
      <w:ins w:id="32" w:author="Rob" w:date="2017-12-29T13:13:00Z">
        <w:r w:rsidR="005524D4">
          <w:t xml:space="preserve">ed </w:t>
        </w:r>
      </w:ins>
      <w:del w:id="33"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6EA4DFF6" w:rsidR="006E1136" w:rsidRPr="008F74B9" w:rsidRDefault="00C22885" w:rsidP="00810F27">
      <w:pPr>
        <w:rPr>
          <w:rPrChange w:id="34" w:author="Rob" w:date="2017-12-29T13:31:00Z">
            <w:rPr>
              <w:b/>
            </w:rPr>
          </w:rPrChange>
        </w:rPr>
      </w:pPr>
      <w:del w:id="35" w:author="Rob" w:date="2017-12-29T13:30:00Z">
        <w:r w:rsidDel="008F74B9">
          <w:delText>O</w:delText>
        </w:r>
        <w:r w:rsidR="00BD667B" w:rsidRPr="00BD667B" w:rsidDel="008F74B9">
          <w:delText xml:space="preserve">ur results </w:delText>
        </w:r>
      </w:del>
      <w:ins w:id="36" w:author="Rob" w:date="2017-12-29T13:30:00Z">
        <w:r w:rsidR="008F74B9">
          <w:t>C</w:t>
        </w:r>
      </w:ins>
      <w:ins w:id="37" w:author="Rob" w:date="2017-12-29T13:28:00Z">
        <w:r w:rsidR="008F74B9">
          <w:t xml:space="preserve">o-expression networks from different </w:t>
        </w:r>
      </w:ins>
      <w:ins w:id="38" w:author="Rob" w:date="2017-12-29T13:29:00Z">
        <w:r w:rsidR="008F74B9">
          <w:t xml:space="preserve">biological </w:t>
        </w:r>
      </w:ins>
      <w:ins w:id="39" w:author="Rob" w:date="2017-12-29T13:28:00Z">
        <w:r w:rsidR="008F74B9">
          <w:t>contexts capture similar levels of functional information, yet, interpreting GWAS loci in the incorrect context will lead to spurious results.</w:t>
        </w:r>
      </w:ins>
      <w:del w:id="40" w:author="Rob" w:date="2017-12-29T13:28:00Z">
        <w:r w:rsidR="00BD667B" w:rsidRPr="00BD667B" w:rsidDel="008F74B9">
          <w:delText xml:space="preserve">show that simply </w:delText>
        </w:r>
      </w:del>
      <w:ins w:id="41" w:author="Rob" w:date="2017-12-29T13:31:00Z">
        <w:r w:rsidR="008F74B9">
          <w:t xml:space="preserve"> </w:t>
        </w:r>
      </w:ins>
      <w:del w:id="42" w:author="Rob" w:date="2017-12-29T13:27:00Z">
        <w:r w:rsidR="00BD667B" w:rsidRPr="00BD667B" w:rsidDel="008F74B9">
          <w:delText>t</w:delText>
        </w:r>
      </w:del>
      <w:del w:id="43" w:author="Rob" w:date="2017-12-29T13:31:00Z">
        <w:r w:rsidR="00BD667B" w:rsidRPr="00BD667B" w:rsidDel="008F74B9">
          <w:delText>aking the genes closest to significant GWAS loci will often lead to spurious results</w:delText>
        </w:r>
      </w:del>
      <w:del w:id="44"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45" w:author="Rob" w:date="2017-12-29T13:31:00Z">
        <w:r w:rsidR="006E1136" w:rsidDel="008F74B9">
          <w:delText xml:space="preserve">. </w:delText>
        </w:r>
      </w:del>
      <w:r w:rsidR="007F1F30">
        <w:t>Using Camoco, we</w:t>
      </w:r>
      <w:ins w:id="46" w:author="Rob" w:date="2017-12-29T13:31:00Z">
        <w:r w:rsidR="008F74B9">
          <w:t xml:space="preserve"> show that networks build from genotypically diverse accessions outperform tissue based atlases. We</w:t>
        </w:r>
      </w:ins>
      <w:r w:rsidR="00BC5410">
        <w:t xml:space="preserve"> successfully prioritize</w:t>
      </w:r>
      <w:r w:rsidR="006E1136">
        <w:t xml:space="preserve"> causal genes underlying GWAS-identified loci</w:t>
      </w:r>
      <w:ins w:id="47" w:author="Rob" w:date="2017-12-29T13:32:00Z">
        <w:r w:rsidR="008F74B9">
          <w:t xml:space="preserve"> </w:t>
        </w:r>
        <w:r w:rsidR="008F74B9">
          <w:lastRenderedPageBreak/>
          <w:t>characterizing elemental accumulation in maize</w:t>
        </w:r>
      </w:ins>
      <w:r w:rsidR="006E1136">
        <w:t xml:space="preserve"> </w:t>
      </w:r>
      <w:del w:id="48"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49" w:author="Rob" w:date="2017-12-29T13:33:00Z">
        <w:r w:rsidR="008F74B9">
          <w:t xml:space="preserve"> further</w:t>
        </w:r>
      </w:ins>
      <w:r w:rsidR="006E1136">
        <w:t xml:space="preserve"> functional interpretation of otherwise uncharacterized genes associated with complex traits</w:t>
      </w:r>
      <w:ins w:id="50" w:author="Rob" w:date="2017-12-29T13:33:00Z">
        <w:r w:rsidR="008F74B9">
          <w:t xml:space="preserve"> in other species</w:t>
        </w:r>
      </w:ins>
      <w:r w:rsidR="006E1136">
        <w:t>.</w:t>
      </w:r>
      <w:bookmarkStart w:id="51" w:name="_GoBack"/>
      <w:bookmarkEnd w:id="51"/>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171BFFBD"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proofErr w:type="spellStart"/>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A</w:t>
      </w:r>
      <w:proofErr w:type="spellEnd"/>
      <w:r w:rsidR="00B77B21">
        <w:t>)</w:t>
      </w:r>
      <w:r w:rsidR="003E2C5F">
        <w:t>,</w:t>
      </w:r>
      <w:r w:rsidR="00B77B21">
        <w:t xml:space="preserve"> tools for construction and analysis of co-expression networks (</w:t>
      </w:r>
      <w:proofErr w:type="spellStart"/>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B</w:t>
      </w:r>
      <w:proofErr w:type="spellEnd"/>
      <w:r w:rsidR="00B77B21">
        <w:t>)</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w:t>
      </w:r>
      <w:r w:rsidR="005E22DA">
        <w:lastRenderedPageBreak/>
        <w:t>expression support</w:t>
      </w:r>
      <w:r w:rsidR="00104343">
        <w:t xml:space="preserve"> across multiple GWAS loci </w:t>
      </w:r>
      <w:r w:rsidR="00C46D31">
        <w:t>(</w:t>
      </w:r>
      <w:proofErr w:type="spellStart"/>
      <w:r w:rsidR="0002616A">
        <w:fldChar w:fldCharType="begin"/>
      </w:r>
      <w:r w:rsidR="0002616A">
        <w:instrText xml:space="preserve"> REF _Ref444765587 \h </w:instrText>
      </w:r>
      <w:r w:rsidR="00BD7995">
        <w:instrText xml:space="preserve"> \* MERGEFORMAT </w:instrText>
      </w:r>
      <w:r w:rsidR="0002616A">
        <w:fldChar w:fldCharType="separate"/>
      </w:r>
      <w:r w:rsidR="008C15B5" w:rsidRPr="00107824">
        <w:t>CamocoSchematic</w:t>
      </w:r>
      <w:r w:rsidR="0002616A">
        <w:fldChar w:fldCharType="end"/>
      </w:r>
      <w:r w:rsidR="00C46D31" w:rsidRPr="0002616A">
        <w:t>C</w:t>
      </w:r>
      <w:proofErr w:type="spellEnd"/>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8C15B5">
        <w:t>Methods</w:t>
      </w:r>
      <w:r w:rsidR="00ED0580">
        <w:fldChar w:fldCharType="end"/>
      </w:r>
      <w:r w:rsidR="00ED0580">
        <w:t xml:space="preserve"> </w:t>
      </w:r>
      <w:r w:rsidR="00C46D31">
        <w:t>for details on each component)</w:t>
      </w:r>
      <w:r w:rsidR="00B77B21">
        <w:t>.</w:t>
      </w:r>
    </w:p>
    <w:p w14:paraId="40865892" w14:textId="2B51377B"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8C15B5" w:rsidRPr="0045686C">
        <w:rPr>
          <w:rFonts w:eastAsiaTheme="minorEastAsia"/>
        </w:rPr>
        <w:t>Eq.</w:t>
      </w:r>
      <w:r w:rsidR="008C15B5">
        <w:rPr>
          <w:rFonts w:eastAsiaTheme="minorEastAsia"/>
        </w:rPr>
        <w:t xml:space="preserve"> </w:t>
      </w:r>
      <w:r w:rsidR="008C15B5"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8C15B5">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8C15B5" w:rsidRPr="0045686C">
        <w:rPr>
          <w:rFonts w:eastAsiaTheme="minorEastAsia"/>
        </w:rPr>
        <w:t>Eq.</w:t>
      </w:r>
      <w:r w:rsidR="008C15B5">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8C15B5">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8C15B5">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proofErr w:type="spellStart"/>
      <w:r w:rsidR="006575E3">
        <w:fldChar w:fldCharType="begin"/>
      </w:r>
      <w:r w:rsidR="006575E3">
        <w:instrText xml:space="preserve"> REF _Ref444765587 \h </w:instrText>
      </w:r>
      <w:r w:rsidR="00BD7995">
        <w:instrText xml:space="preserve"> \* MERGEFORMAT </w:instrText>
      </w:r>
      <w:r w:rsidR="006575E3">
        <w:fldChar w:fldCharType="separate"/>
      </w:r>
      <w:r w:rsidR="008C15B5" w:rsidRPr="00107824">
        <w:t>CamocoSchematic</w:t>
      </w:r>
      <w:r w:rsidR="006575E3">
        <w:fldChar w:fldCharType="end"/>
      </w:r>
      <w:r w:rsidR="00DC139F">
        <w:t>D</w:t>
      </w:r>
      <w:proofErr w:type="spellEnd"/>
      <w:r w:rsidR="00DC139F">
        <w:t>).</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4E0F0028"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8C15B5">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proofErr w:type="spellStart"/>
      <w:r w:rsidR="00371F3F">
        <w:fldChar w:fldCharType="begin"/>
      </w:r>
      <w:r w:rsidR="00371F3F">
        <w:instrText xml:space="preserve"> REF _Ref447013206 \h </w:instrText>
      </w:r>
      <w:r w:rsidR="00BD7995">
        <w:instrText xml:space="preserve"> \* MERGEFORMAT </w:instrText>
      </w:r>
      <w:r w:rsidR="00371F3F">
        <w:fldChar w:fldCharType="separate"/>
      </w:r>
      <w:r w:rsidR="008C15B5">
        <w:t>ZmPANHealth</w:t>
      </w:r>
      <w:proofErr w:type="spellEnd"/>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D3341D"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proofErr w:type="spellStart"/>
      <w:r w:rsidR="008C15B5" w:rsidRPr="008C15B5">
        <w:t>GOCoExpressionTable</w:t>
      </w:r>
      <w:proofErr w:type="spellEnd"/>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proofErr w:type="spellStart"/>
      <w:r w:rsidR="008C15B5">
        <w:t>FullGODensityLocality</w:t>
      </w:r>
      <w:proofErr w:type="spellEnd"/>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proofErr w:type="spellStart"/>
      <w:r w:rsidR="008C15B5" w:rsidRPr="008C15B5">
        <w:t>GOCoExpressionTable</w:t>
      </w:r>
      <w:proofErr w:type="spellEnd"/>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proofErr w:type="spellStart"/>
      <w:r w:rsidR="000B7C31">
        <w:fldChar w:fldCharType="begin"/>
      </w:r>
      <w:r w:rsidR="000B7C31">
        <w:instrText xml:space="preserve"> REF _Ref479246505 \h </w:instrText>
      </w:r>
      <w:r w:rsidR="00BD7995">
        <w:instrText xml:space="preserve"> \* MERGEFORMAT </w:instrText>
      </w:r>
      <w:r w:rsidR="000B7C31">
        <w:fldChar w:fldCharType="separate"/>
      </w:r>
      <w:r w:rsidR="008C15B5">
        <w:t>FullGODensityLocality</w:t>
      </w:r>
      <w:proofErr w:type="spellEnd"/>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proofErr w:type="spellStart"/>
      <w:r w:rsidR="00452442">
        <w:fldChar w:fldCharType="begin"/>
      </w:r>
      <w:r w:rsidR="00452442">
        <w:instrText xml:space="preserve"> REF _Ref479246505 \h </w:instrText>
      </w:r>
      <w:r w:rsidR="0002261A">
        <w:instrText xml:space="preserve"> \* MERGEFORMAT </w:instrText>
      </w:r>
      <w:r w:rsidR="00452442">
        <w:fldChar w:fldCharType="separate"/>
      </w:r>
      <w:r w:rsidR="008C15B5">
        <w:t>FullGODensityLocality</w:t>
      </w:r>
      <w:proofErr w:type="spellEnd"/>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1F7D53AB" w:rsidR="00B41120" w:rsidRDefault="00EF3527" w:rsidP="0067252E">
      <w:r>
        <w:lastRenderedPageBreak/>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proofErr w:type="spellStart"/>
      <w:r w:rsidR="008C15B5">
        <w:t>MCLGoEnrichment</w:t>
      </w:r>
      <w:proofErr w:type="spellEnd"/>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proofErr w:type="spellStart"/>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8C15B5">
        <w:t>NetworkClusters</w:t>
      </w:r>
      <w:proofErr w:type="spellEnd"/>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proofErr w:type="spellStart"/>
      <w:r w:rsidR="008C15B5">
        <w:t>MCLGoEnrichment</w:t>
      </w:r>
      <w:proofErr w:type="spellEnd"/>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proofErr w:type="spellStart"/>
      <w:r w:rsidR="005565EC">
        <w:fldChar w:fldCharType="begin"/>
      </w:r>
      <w:r w:rsidR="005565EC">
        <w:instrText xml:space="preserve"> REF _Ref447013206 \h </w:instrText>
      </w:r>
      <w:r w:rsidR="00BD7995">
        <w:instrText xml:space="preserve"> \* MERGEFORMAT </w:instrText>
      </w:r>
      <w:r w:rsidR="005565EC">
        <w:fldChar w:fldCharType="separate"/>
      </w:r>
      <w:r w:rsidR="008C15B5">
        <w:t>ZmPANHealth</w:t>
      </w:r>
      <w:proofErr w:type="spellEnd"/>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318773C9"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proofErr w:type="spellStart"/>
      <w:r w:rsidR="008D33AC">
        <w:fldChar w:fldCharType="begin"/>
      </w:r>
      <w:r w:rsidR="008D33AC">
        <w:instrText xml:space="preserve"> REF _Ref487124030 \h </w:instrText>
      </w:r>
      <w:r w:rsidR="00BD7995">
        <w:instrText xml:space="preserve"> \* MERGEFORMAT </w:instrText>
      </w:r>
      <w:r w:rsidR="008D33AC">
        <w:fldChar w:fldCharType="separate"/>
      </w:r>
      <w:r w:rsidR="008C15B5">
        <w:t>CisTransDistributions</w:t>
      </w:r>
      <w:proofErr w:type="spellEnd"/>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w:t>
      </w:r>
      <w:r w:rsidR="00F32D68">
        <w:lastRenderedPageBreak/>
        <w:t xml:space="preserve">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proofErr w:type="spellStart"/>
      <w:r w:rsidR="008C15B5">
        <w:t>CisTransDistributions</w:t>
      </w:r>
      <w:proofErr w:type="spellEnd"/>
      <w:r w:rsidR="008D33AC">
        <w:fldChar w:fldCharType="end"/>
      </w:r>
      <w:r w:rsidR="008D33AC">
        <w:t xml:space="preserve"> </w:t>
      </w:r>
      <w:r w:rsidR="00493EDC">
        <w:t>inset).</w:t>
      </w:r>
    </w:p>
    <w:p w14:paraId="1803AF10" w14:textId="6826B735"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8C15B5">
        <w:t>Methods</w:t>
      </w:r>
      <w:r w:rsidR="008C083D">
        <w:fldChar w:fldCharType="end"/>
      </w:r>
      <w:r>
        <w:t>).</w:t>
      </w:r>
    </w:p>
    <w:p w14:paraId="605FA8FD" w14:textId="77777777" w:rsidR="00F32D68" w:rsidRDefault="00F32D68" w:rsidP="00131A9D">
      <w:pPr>
        <w:pStyle w:val="Heading4"/>
      </w:pPr>
      <w:r>
        <w:t>Evaluation of the Camoco framework</w:t>
      </w:r>
    </w:p>
    <w:p w14:paraId="50E2EA3F" w14:textId="50B2EC10"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proofErr w:type="spellStart"/>
      <w:r w:rsidR="0076606D">
        <w:fldChar w:fldCharType="begin"/>
      </w:r>
      <w:r w:rsidR="0076606D">
        <w:instrText xml:space="preserve"> REF _Ref458794783 \h </w:instrText>
      </w:r>
      <w:r w:rsidR="00BD7995">
        <w:instrText xml:space="preserve"> \* MERGEFORMAT </w:instrText>
      </w:r>
      <w:r w:rsidR="0076606D">
        <w:fldChar w:fldCharType="separate"/>
      </w:r>
      <w:r w:rsidR="008C15B5" w:rsidRPr="00037E45">
        <w:t>SimulatedGWASSchematic</w:t>
      </w:r>
      <w:proofErr w:type="spellEnd"/>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23DEB9B4"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proofErr w:type="spellStart"/>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B</w:t>
      </w:r>
      <w:proofErr w:type="spellEnd"/>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8C15B5">
        <w:t>Eq. 6</w:t>
      </w:r>
      <w:r w:rsidR="005364E4">
        <w:fldChar w:fldCharType="end"/>
      </w:r>
      <w:r w:rsidR="00126FBB">
        <w:t>)</w:t>
      </w:r>
      <w:r w:rsidR="00066CFC">
        <w:t>.</w:t>
      </w:r>
    </w:p>
    <w:p w14:paraId="5E85A01F" w14:textId="3B8EC2EA" w:rsidR="008D7F45" w:rsidRPr="00066CFC" w:rsidRDefault="00DF0076" w:rsidP="0067252E">
      <w:r>
        <w:lastRenderedPageBreak/>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proofErr w:type="spellStart"/>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C</w:t>
      </w:r>
      <w:proofErr w:type="spellEnd"/>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8C15B5">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487BD39E"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proofErr w:type="spellStart"/>
      <w:r w:rsidR="008C15B5" w:rsidRPr="008C15B5">
        <w:t>GOCoExpressionTable</w:t>
      </w:r>
      <w:proofErr w:type="spellEnd"/>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lastRenderedPageBreak/>
        <w:t>Simulated GWAS datasets s</w:t>
      </w:r>
      <w:r w:rsidR="00AA6D61">
        <w:t>how robust co-expression s</w:t>
      </w:r>
      <w:r w:rsidR="00F43151">
        <w:t>ignal to MCR</w:t>
      </w:r>
      <w:r w:rsidR="001A50B4">
        <w:t xml:space="preserve"> and FCR</w:t>
      </w:r>
    </w:p>
    <w:p w14:paraId="1CA74236" w14:textId="2638D3DC"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proofErr w:type="spellStart"/>
      <w:r w:rsidR="008C15B5">
        <w:t>GOSignalWithNoise</w:t>
      </w:r>
      <w:proofErr w:type="spellEnd"/>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proofErr w:type="spellStart"/>
      <w:r w:rsidR="008C15B5">
        <w:t>SimulatingMCR</w:t>
      </w:r>
      <w:proofErr w:type="spellEnd"/>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proofErr w:type="spellStart"/>
      <w:r w:rsidR="008C15B5">
        <w:t>MCRSupplemental</w:t>
      </w:r>
      <w:r w:rsidR="00115F88">
        <w:fldChar w:fldCharType="end"/>
      </w:r>
      <w:r w:rsidR="00E255EC" w:rsidRPr="00B54B7E">
        <w:t>A</w:t>
      </w:r>
      <w:proofErr w:type="spellEnd"/>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4C977219"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proofErr w:type="spellStart"/>
      <w:r w:rsidR="008C15B5">
        <w:t>SimulatingMCR</w:t>
      </w:r>
      <w:proofErr w:type="spellEnd"/>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51D9D4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proofErr w:type="spellStart"/>
      <w:r w:rsidR="008C15B5">
        <w:t>MCRSupplemental</w:t>
      </w:r>
      <w:r w:rsidR="00E255EC">
        <w:fldChar w:fldCharType="end"/>
      </w:r>
      <w:r w:rsidR="00E255EC" w:rsidRPr="00FB5AA5">
        <w:t>B</w:t>
      </w:r>
      <w:proofErr w:type="spellEnd"/>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2A6E43F4"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proofErr w:type="spellStart"/>
      <w:r w:rsidR="008C15B5">
        <w:t>GOSignalWithNoise</w:t>
      </w:r>
      <w:proofErr w:type="spellEnd"/>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8C15B5">
        <w:t>Methods</w:t>
      </w:r>
      <w:r w:rsidR="001937DF">
        <w:fldChar w:fldCharType="end"/>
      </w:r>
      <w:r w:rsidR="00CE63DB">
        <w:t xml:space="preserve">). </w:t>
      </w:r>
      <w:r w:rsidR="00CE63DB">
        <w:lastRenderedPageBreak/>
        <w:t>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proofErr w:type="spellStart"/>
      <w:r w:rsidR="00A95AC6">
        <w:fldChar w:fldCharType="begin"/>
      </w:r>
      <w:r w:rsidR="00A95AC6">
        <w:instrText xml:space="preserve"> REF _Ref458721156 \h  \* MERGEFORMAT </w:instrText>
      </w:r>
      <w:r w:rsidR="00A95AC6">
        <w:fldChar w:fldCharType="separate"/>
      </w:r>
      <w:r w:rsidR="008C15B5">
        <w:t>SimulatedFCR</w:t>
      </w:r>
      <w:proofErr w:type="spellEnd"/>
      <w:r w:rsidR="00A95AC6">
        <w:fldChar w:fldCharType="end"/>
      </w:r>
      <w:r w:rsidR="00675CBA">
        <w:t>)</w:t>
      </w:r>
      <w:r w:rsidR="00F30EC0">
        <w:t>.</w:t>
      </w:r>
    </w:p>
    <w:p w14:paraId="1B11A57A" w14:textId="3EFE89EB"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proofErr w:type="spellStart"/>
      <w:r w:rsidR="008C15B5">
        <w:t>SimulatedFCR</w:t>
      </w:r>
      <w:proofErr w:type="spellEnd"/>
      <w:r w:rsidR="003F6E01">
        <w:fldChar w:fldCharType="end"/>
      </w:r>
      <w:r w:rsidR="003F6E01">
        <w:t xml:space="preserve"> box</w:t>
      </w:r>
      <w:r w:rsidR="00E66D9D">
        <w:t xml:space="preserve"> </w:t>
      </w:r>
      <w:r w:rsidR="003F6E01">
        <w:t>plots)</w:t>
      </w:r>
      <w:r w:rsidR="0018098B">
        <w:t>.</w:t>
      </w:r>
    </w:p>
    <w:p w14:paraId="0F05FE68" w14:textId="066F63A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proofErr w:type="spellStart"/>
      <w:r w:rsidR="00976372">
        <w:fldChar w:fldCharType="begin"/>
      </w:r>
      <w:r w:rsidR="00976372">
        <w:instrText xml:space="preserve"> REF _Ref458721156 \h </w:instrText>
      </w:r>
      <w:r w:rsidR="003D7ED4">
        <w:instrText xml:space="preserve"> \* MERGEFORMAT </w:instrText>
      </w:r>
      <w:r w:rsidR="00976372">
        <w:fldChar w:fldCharType="separate"/>
      </w:r>
      <w:r w:rsidR="008C15B5">
        <w:t>SimulatedFCR</w:t>
      </w:r>
      <w:proofErr w:type="spellEnd"/>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proofErr w:type="spellStart"/>
      <w:r w:rsidR="008C15B5">
        <w:t>FCRSupplemental</w:t>
      </w:r>
      <w:r w:rsidR="00B310CA">
        <w:fldChar w:fldCharType="end"/>
      </w:r>
      <w:r w:rsidR="00B310CA" w:rsidRPr="00FB5AA5">
        <w:t>A</w:t>
      </w:r>
      <w:proofErr w:type="spellEnd"/>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2EF0004C"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proofErr w:type="spellStart"/>
      <w:r w:rsidR="008C15B5">
        <w:t>FCRSupplemental</w:t>
      </w:r>
      <w:r w:rsidR="00571A97">
        <w:fldChar w:fldCharType="end"/>
      </w:r>
      <w:r w:rsidR="00571A97" w:rsidRPr="0071659D">
        <w:t>B</w:t>
      </w:r>
      <w:proofErr w:type="spellEnd"/>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w:t>
      </w:r>
      <w:r w:rsidR="00472F34">
        <w:lastRenderedPageBreak/>
        <w:t>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4E96D08B"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8C15B5">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77777777" w:rsidR="00817D7D" w:rsidRDefault="00817D7D" w:rsidP="00817D7D">
      <w:pPr>
        <w:pStyle w:val="Heading2"/>
      </w:pPr>
      <w:r>
        <w:t>Camoco identifies high-priority candidate causal genes under ionomic GWAS loci</w:t>
      </w:r>
    </w:p>
    <w:p w14:paraId="499682D5" w14:textId="5083C986"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 xml:space="preserve">the </w:t>
      </w:r>
      <w:r w:rsidR="009309E4">
        <w:lastRenderedPageBreak/>
        <w:t>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proofErr w:type="spellStart"/>
      <w:r w:rsidR="008C15B5" w:rsidRPr="00107824">
        <w:t>CamocoSchematic</w:t>
      </w:r>
      <w:r w:rsidR="0027663E">
        <w:fldChar w:fldCharType="end"/>
      </w:r>
      <w:r w:rsidR="0027663E">
        <w:t>A</w:t>
      </w:r>
      <w:proofErr w:type="spellEnd"/>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8C15B5">
        <w:t>SNP-to-</w:t>
      </w:r>
      <w:proofErr w:type="spellStart"/>
      <w:r w:rsidR="008C15B5">
        <w:t>GeneMappingSummary</w:t>
      </w:r>
      <w:proofErr w:type="spellEnd"/>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8C15B5">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A5397A">
        <w:t>)</w:t>
      </w:r>
      <w:r w:rsidR="0099736B">
        <w:t>.</w:t>
      </w:r>
    </w:p>
    <w:p w14:paraId="58CD5500" w14:textId="5561900E"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proofErr w:type="spellStart"/>
      <w:r w:rsidR="008C15B5" w:rsidRPr="00107824">
        <w:t>CamocoSchematic</w:t>
      </w:r>
      <w:r w:rsidR="00EA0387">
        <w:fldChar w:fldCharType="end"/>
      </w:r>
      <w:r w:rsidR="00EA0387">
        <w:t>C</w:t>
      </w:r>
      <w:proofErr w:type="spellEnd"/>
      <w:r w:rsidR="00EA0387">
        <w:t>)</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proofErr w:type="spellStart"/>
      <w:r w:rsidR="000A29F0">
        <w:fldChar w:fldCharType="begin"/>
      </w:r>
      <w:r w:rsidR="000A29F0">
        <w:instrText xml:space="preserve"> REF _Ref479250924 \h </w:instrText>
      </w:r>
      <w:r w:rsidR="00BD7995">
        <w:instrText xml:space="preserve"> \* MERGEFORMAT </w:instrText>
      </w:r>
      <w:r w:rsidR="000A29F0">
        <w:fldChar w:fldCharType="separate"/>
      </w:r>
      <w:r w:rsidR="008C15B5">
        <w:t>FullIonomeDensityLocality</w:t>
      </w:r>
      <w:proofErr w:type="spellEnd"/>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proofErr w:type="spellStart"/>
      <w:r w:rsidR="008C15B5">
        <w:t>HPOIonomeDesnsityLocality</w:t>
      </w:r>
      <w:proofErr w:type="spellEnd"/>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8C15B5">
        <w:t>Methods</w:t>
      </w:r>
      <w:r w:rsidR="001D7079">
        <w:fldChar w:fldCharType="end"/>
      </w:r>
      <w:r>
        <w:t>).</w:t>
      </w:r>
    </w:p>
    <w:p w14:paraId="403832D9" w14:textId="1505618D"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proofErr w:type="spellStart"/>
      <w:r w:rsidR="00B905EF">
        <w:fldChar w:fldCharType="begin"/>
      </w:r>
      <w:r w:rsidR="00B905EF">
        <w:instrText xml:space="preserve"> REF _Ref485996339 \h </w:instrText>
      </w:r>
      <w:r w:rsidR="00BD7995">
        <w:instrText xml:space="preserve"> \* MERGEFORMAT </w:instrText>
      </w:r>
      <w:r w:rsidR="00B905EF">
        <w:fldChar w:fldCharType="separate"/>
      </w:r>
      <w:r w:rsidR="008C15B5">
        <w:t>SummaryHPOGenes</w:t>
      </w:r>
      <w:proofErr w:type="spellEnd"/>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proofErr w:type="spellStart"/>
      <w:r w:rsidR="001C0928">
        <w:fldChar w:fldCharType="begin"/>
      </w:r>
      <w:r w:rsidR="001C0928">
        <w:instrText xml:space="preserve"> REF _Ref444765587 \h </w:instrText>
      </w:r>
      <w:r w:rsidR="00BD7995">
        <w:instrText xml:space="preserve"> \* MERGEFORMAT </w:instrText>
      </w:r>
      <w:r w:rsidR="001C0928">
        <w:fldChar w:fldCharType="separate"/>
      </w:r>
      <w:r w:rsidR="008C15B5" w:rsidRPr="00107824">
        <w:t>CamocoSchematic</w:t>
      </w:r>
      <w:r w:rsidR="001C0928">
        <w:fldChar w:fldCharType="end"/>
      </w:r>
      <w:r w:rsidR="001C0928" w:rsidRPr="002C05D9">
        <w:t>C</w:t>
      </w:r>
      <w:proofErr w:type="spellEnd"/>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Default="00A101D3" w:rsidP="00B44CCF">
      <w:pPr>
        <w:pStyle w:val="Heading2"/>
        <w:rPr>
          <w:rStyle w:val="Heading3Char"/>
          <w:spacing w:val="15"/>
        </w:rPr>
      </w:pPr>
      <w:r>
        <w:rPr>
          <w:rStyle w:val="Heading3Char"/>
        </w:rPr>
        <w:t>G</w:t>
      </w:r>
      <w:r w:rsidR="00184071">
        <w:rPr>
          <w:rStyle w:val="Heading3Char"/>
        </w:rPr>
        <w:t>enotypically diverse</w:t>
      </w:r>
      <w:r w:rsidR="009D72D8">
        <w:rPr>
          <w:rStyle w:val="Heading3Char"/>
        </w:rPr>
        <w:t xml:space="preserve"> networks </w:t>
      </w:r>
      <w:r w:rsidR="00F11BB0" w:rsidRPr="00027E14">
        <w:rPr>
          <w:rStyle w:val="Heading3Char"/>
        </w:rPr>
        <w:t>support stronger candidate gene discoveries</w:t>
      </w:r>
      <w:r w:rsidR="00763F32">
        <w:rPr>
          <w:rStyle w:val="Heading3Char"/>
        </w:rPr>
        <w:t xml:space="preserve"> than tissue atlases</w:t>
      </w:r>
    </w:p>
    <w:p w14:paraId="6C404FEE" w14:textId="5D9E940C"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proofErr w:type="spellStart"/>
      <w:r w:rsidR="001A71E4">
        <w:fldChar w:fldCharType="begin"/>
      </w:r>
      <w:r w:rsidR="001A71E4">
        <w:instrText xml:space="preserve"> REF _Ref480187199 \h </w:instrText>
      </w:r>
      <w:r w:rsidR="00027E14">
        <w:instrText xml:space="preserve"> \* MERGEFORMAT </w:instrText>
      </w:r>
      <w:r w:rsidR="001A71E4">
        <w:fldChar w:fldCharType="separate"/>
      </w:r>
      <w:r w:rsidR="008C15B5">
        <w:t>HPOIonomeDesnsityLocality</w:t>
      </w:r>
      <w:proofErr w:type="spellEnd"/>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proofErr w:type="spellStart"/>
      <w:r w:rsidR="00D277DD">
        <w:fldChar w:fldCharType="begin"/>
      </w:r>
      <w:r w:rsidR="00D277DD">
        <w:instrText xml:space="preserve"> REF _Ref480187199 \h  \* MERGEFORMAT </w:instrText>
      </w:r>
      <w:r w:rsidR="00D277DD">
        <w:fldChar w:fldCharType="separate"/>
      </w:r>
      <w:r w:rsidR="008C15B5">
        <w:t>HPOIonomeDesnsityLocality</w:t>
      </w:r>
      <w:proofErr w:type="spellEnd"/>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proofErr w:type="spellStart"/>
      <w:r w:rsidR="00D277DD">
        <w:fldChar w:fldCharType="begin"/>
      </w:r>
      <w:r w:rsidR="00D277DD">
        <w:instrText xml:space="preserve"> REF _Ref480187199 \h  \* MERGEFORMAT </w:instrText>
      </w:r>
      <w:r w:rsidR="00D277DD">
        <w:fldChar w:fldCharType="separate"/>
      </w:r>
      <w:r w:rsidR="008C15B5">
        <w:t>HPOIonomeDesnsityLocality</w:t>
      </w:r>
      <w:proofErr w:type="spellEnd"/>
      <w:r w:rsidR="00D277DD">
        <w:fldChar w:fldCharType="end"/>
      </w:r>
      <w:r w:rsidR="00D277DD">
        <w:t xml:space="preserve">). The relative strength of the different networks for discovering </w:t>
      </w:r>
      <w:r w:rsidR="00D277DD">
        <w:lastRenderedPageBreak/>
        <w:t>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proofErr w:type="spellStart"/>
      <w:r w:rsidR="008C15B5">
        <w:t>HPOIonomeDesnsityLocality</w:t>
      </w:r>
      <w:proofErr w:type="spellEnd"/>
      <w:r w:rsidR="00D277DD">
        <w:fldChar w:fldCharType="end"/>
      </w:r>
      <w:r w:rsidR="00D277DD">
        <w:t xml:space="preserve">). </w:t>
      </w:r>
    </w:p>
    <w:p w14:paraId="791D1085" w14:textId="3C7AB5F7" w:rsidR="00391088" w:rsidRDefault="00391088" w:rsidP="00B44CCF">
      <w:pPr>
        <w:pStyle w:val="Heading2"/>
      </w:pPr>
      <w:r>
        <w:t>N</w:t>
      </w:r>
      <w:r w:rsidR="00F11BB0" w:rsidRPr="00584799">
        <w:t>etwork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6ADC3677" w14:textId="2178EE60"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8C15B5" w:rsidRPr="0045686C">
        <w:rPr>
          <w:rFonts w:eastAsiaTheme="minorEastAsia"/>
        </w:rPr>
        <w:t>Eq.</w:t>
      </w:r>
      <w:r w:rsidR="008C15B5">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8C15B5">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proofErr w:type="spellStart"/>
      <w:r w:rsidR="008C15B5" w:rsidRPr="008C15B5">
        <w:rPr>
          <w:bCs/>
        </w:rPr>
        <w:t>SummaryHPOGenes</w:t>
      </w:r>
      <w:proofErr w:type="spellEnd"/>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proofErr w:type="spellStart"/>
      <w:r w:rsidR="00165871">
        <w:fldChar w:fldCharType="begin"/>
      </w:r>
      <w:r w:rsidR="00165871">
        <w:instrText xml:space="preserve"> REF _Ref481678956 \h </w:instrText>
      </w:r>
      <w:r w:rsidR="00BD7995">
        <w:instrText xml:space="preserve"> \* MERGEFORMAT </w:instrText>
      </w:r>
      <w:r w:rsidR="00165871">
        <w:fldChar w:fldCharType="separate"/>
      </w:r>
      <w:r w:rsidR="008C15B5">
        <w:t>PCCDensityLocality</w:t>
      </w:r>
      <w:proofErr w:type="spellEnd"/>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proofErr w:type="spellStart"/>
      <w:r w:rsidR="007B3040">
        <w:fldChar w:fldCharType="begin"/>
      </w:r>
      <w:r w:rsidR="007B3040">
        <w:instrText xml:space="preserve"> REF _Ref486516422 \h </w:instrText>
      </w:r>
      <w:r w:rsidR="00BD7995">
        <w:instrText xml:space="preserve"> \* MERGEFORMAT </w:instrText>
      </w:r>
      <w:r w:rsidR="007B3040">
        <w:fldChar w:fldCharType="separate"/>
      </w:r>
      <w:r w:rsidR="008C15B5">
        <w:t>SubSetNetworks</w:t>
      </w:r>
      <w:proofErr w:type="spellEnd"/>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8C15B5">
        <w:t>Discussion</w:t>
      </w:r>
      <w:r w:rsidR="00F301D2">
        <w:fldChar w:fldCharType="end"/>
      </w:r>
      <w:r w:rsidR="00F301D2">
        <w:t>)</w:t>
      </w:r>
      <w:r w:rsidR="00013CDC">
        <w:t xml:space="preserve">. </w:t>
      </w:r>
    </w:p>
    <w:p w14:paraId="27282566" w14:textId="2940F661" w:rsidR="00F11BB0" w:rsidRDefault="00F11BB0" w:rsidP="00AB3643">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t>
      </w:r>
      <w:r w:rsidR="00B32A52">
        <w:t>M</w:t>
      </w:r>
      <w:r>
        <w:t xml:space="preserve">ost of the discovered </w:t>
      </w:r>
      <w:r w:rsidR="00C63501">
        <w:t>HPO</w:t>
      </w:r>
      <w:r>
        <w:t xml:space="preserve"> genes are element specific, with relatively little overlap between elements (</w:t>
      </w:r>
      <w:proofErr w:type="spellStart"/>
      <w:r w:rsidR="00EB6B7C">
        <w:fldChar w:fldCharType="begin"/>
      </w:r>
      <w:r w:rsidR="00EB6B7C">
        <w:instrText xml:space="preserve"> REF _Ref486000600 \h </w:instrText>
      </w:r>
      <w:r w:rsidR="00BD7995">
        <w:instrText xml:space="preserve"> \* MERGEFORMAT </w:instrText>
      </w:r>
      <w:r w:rsidR="00EB6B7C">
        <w:fldChar w:fldCharType="separate"/>
      </w:r>
      <w:r w:rsidR="008C15B5">
        <w:t>HPOElementOverlap</w:t>
      </w:r>
      <w:proofErr w:type="spellEnd"/>
      <w:r w:rsidR="00EB6B7C">
        <w:fldChar w:fldCharType="end"/>
      </w:r>
      <w:r w:rsidR="00AB3643">
        <w:t xml:space="preserve">). </w:t>
      </w:r>
    </w:p>
    <w:p w14:paraId="776A05C5" w14:textId="30D9464A" w:rsidR="00A36B70" w:rsidRPr="00A36B70" w:rsidRDefault="00A36B70" w:rsidP="00A36B70">
      <w:pPr>
        <w:pStyle w:val="Heading2"/>
      </w:pPr>
      <w:r>
        <w:t>Camoco identifies</w:t>
      </w:r>
      <w:r w:rsidR="00131A9D">
        <w:t xml:space="preserve"> genes with known roles in </w:t>
      </w:r>
      <w:proofErr w:type="spellStart"/>
      <w:r w:rsidR="00131A9D">
        <w:t>homeostatsis</w:t>
      </w:r>
      <w:proofErr w:type="spellEnd"/>
    </w:p>
    <w:p w14:paraId="61970299" w14:textId="7AE442C9"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proofErr w:type="spellStart"/>
      <w:r w:rsidR="004F3C8A">
        <w:fldChar w:fldCharType="begin"/>
      </w:r>
      <w:r w:rsidR="004F3C8A">
        <w:instrText xml:space="preserve"> REF _Ref486000980 \h </w:instrText>
      </w:r>
      <w:r w:rsidR="00BD7995">
        <w:instrText xml:space="preserve"> \* MERGEFORMAT </w:instrText>
      </w:r>
      <w:r w:rsidR="004F3C8A">
        <w:fldChar w:fldCharType="separate"/>
      </w:r>
      <w:r w:rsidR="008C15B5">
        <w:t>HPOGOEnrichment</w:t>
      </w:r>
      <w:proofErr w:type="spellEnd"/>
      <w:r w:rsidR="004F3C8A">
        <w:fldChar w:fldCharType="end"/>
      </w:r>
      <w:del w:id="52" w:author="Microsoft Office User" w:date="2017-12-27T16:52:00Z">
        <w:r w:rsidR="00C766BF">
          <w:delText>)</w:delText>
        </w:r>
      </w:del>
      <w:ins w:id="53"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763F32">
        <w:t>Supplementary Text</w:t>
      </w:r>
      <w:r w:rsidR="00763F32">
        <w:fldChar w:fldCharType="end"/>
      </w:r>
      <w:r w:rsidR="00763F32">
        <w:t xml:space="preserve"> for in-depth </w:t>
      </w:r>
      <w:r w:rsidR="00027E1C">
        <w:t>report</w:t>
      </w:r>
      <w:r w:rsidR="00763F32">
        <w:t>)</w:t>
      </w:r>
      <w:ins w:id="54" w:author="Microsoft Office User" w:date="2017-12-27T16:52:00Z">
        <w:r>
          <w:t xml:space="preserve">. </w:t>
        </w:r>
        <w:r w:rsidR="00C544A5">
          <w:t xml:space="preserve">Possibly due to </w:t>
        </w:r>
        <w:r w:rsidR="00253311">
          <w:t xml:space="preserve">insufficient functional annotation of the </w:t>
        </w:r>
        <w:r w:rsidR="00253311">
          <w:lastRenderedPageBreak/>
          <w:t>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565D2520" w:rsidR="006E1DB2" w:rsidRDefault="007E08F8" w:rsidP="0067252E">
      <w:pPr>
        <w:rPr>
          <w:del w:id="55"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proofErr w:type="spellStart"/>
      <w:r w:rsidR="00404981" w:rsidRPr="00B013DB">
        <w:fldChar w:fldCharType="begin"/>
      </w:r>
      <w:r w:rsidR="00404981" w:rsidRPr="00B013DB">
        <w:instrText xml:space="preserve"> REF _Ref480187199 \h  \* MERGEFORMAT </w:instrText>
      </w:r>
      <w:r w:rsidR="00404981" w:rsidRPr="00B013DB">
        <w:fldChar w:fldCharType="separate"/>
      </w:r>
      <w:r w:rsidR="008C15B5">
        <w:t>HPOIonomeDesnsityLocality</w:t>
      </w:r>
      <w:proofErr w:type="spellEnd"/>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56"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w:t>
      </w:r>
      <w:r w:rsidR="0089389D">
        <w:lastRenderedPageBreak/>
        <w:t xml:space="preserve">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133F4622" w:rsidR="00A36B70" w:rsidRPr="00EB61E4" w:rsidRDefault="00A36B70" w:rsidP="00A36B70">
      <w:pPr>
        <w:pStyle w:val="Heading2"/>
      </w:pPr>
      <w:r>
        <w:t>GA-signaling DELLA domain transcription factors influence the ionome of maize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CE64F41"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xml:space="preserve">. Both mutants were </w:t>
      </w:r>
      <w:r w:rsidRPr="009D3B04">
        <w:lastRenderedPageBreak/>
        <w:t>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t>D8/9IonomeProfiles</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t>D8/9IonomeProfiles</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F5DFF0C" w:rsidR="00A36B70" w:rsidRPr="0089389D" w:rsidRDefault="00A36B70" w:rsidP="00A36B70">
      <w:ins w:id="57"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t>Supplementary Text</w:t>
      </w:r>
      <w:r>
        <w:fldChar w:fldCharType="end"/>
      </w:r>
      <w:r w:rsidR="002F5D17">
        <w:t xml:space="preserve"> for in-depth report</w:t>
      </w:r>
      <w:ins w:id="58"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77777777" w:rsidR="006B33EA" w:rsidRDefault="006B33EA" w:rsidP="0067252E">
      <w:pPr>
        <w:pStyle w:val="Heading1"/>
      </w:pPr>
      <w:bookmarkStart w:id="59" w:name="_Ref487125611"/>
      <w:r>
        <w:lastRenderedPageBreak/>
        <w:t>Discussion</w:t>
      </w:r>
      <w:bookmarkEnd w:id="56"/>
      <w:bookmarkEnd w:id="59"/>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xml:space="preserve">. Additionally, Wallace et al. showed that the causal polymorphism is likely to reside in regulatory regions, that is, outside of </w:t>
      </w:r>
      <w:proofErr w:type="spellStart"/>
      <w:r w:rsidR="00624A03">
        <w:t>exonic</w:t>
      </w:r>
      <w:proofErr w:type="spellEnd"/>
      <w:r w:rsidR="00624A03">
        <w:t xml:space="preserve"> regions.</w:t>
      </w:r>
      <w:r w:rsidR="004C123B">
        <w:t xml:space="preserve"> </w:t>
      </w:r>
    </w:p>
    <w:p w14:paraId="5CFCE05C" w14:textId="30A4750C"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proofErr w:type="spellStart"/>
      <w:r w:rsidR="000272DE">
        <w:fldChar w:fldCharType="begin"/>
      </w:r>
      <w:r w:rsidR="000272DE">
        <w:instrText xml:space="preserve"> REF _Ref489428564 \h  \* MERGEFORMAT </w:instrText>
      </w:r>
      <w:r w:rsidR="000272DE">
        <w:fldChar w:fldCharType="separate"/>
      </w:r>
      <w:r w:rsidR="008C15B5">
        <w:t>NumInterveningGenes</w:t>
      </w:r>
      <w:proofErr w:type="spellEnd"/>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w:t>
      </w:r>
      <w:r w:rsidR="003C1804">
        <w:lastRenderedPageBreak/>
        <w:t xml:space="preserve">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69237D7"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proofErr w:type="spellStart"/>
      <w:r w:rsidR="008C15B5">
        <w:t>FullIonomeDensityLocality</w:t>
      </w:r>
      <w:proofErr w:type="spellEnd"/>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proofErr w:type="spellStart"/>
      <w:r w:rsidR="008C15B5">
        <w:t>SummaryHPOGenes</w:t>
      </w:r>
      <w:proofErr w:type="spellEnd"/>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 xml:space="preserve">qualifications and were absent from the three co-expression networks </w:t>
      </w:r>
      <w:r w:rsidR="00744D8C">
        <w:lastRenderedPageBreak/>
        <w:t>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22B15BBD"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proofErr w:type="spellStart"/>
      <w:r w:rsidR="008C15B5">
        <w:t>SimulatedFCR</w:t>
      </w:r>
      <w:proofErr w:type="spellEnd"/>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w:t>
      </w:r>
      <w:r w:rsidR="00EE0317">
        <w:lastRenderedPageBreak/>
        <w:t>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3CE4BB07"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w:t>
      </w:r>
      <w:r>
        <w:lastRenderedPageBreak/>
        <w:t>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proofErr w:type="spellStart"/>
      <w:r w:rsidR="005512E3">
        <w:fldChar w:fldCharType="begin"/>
      </w:r>
      <w:r w:rsidR="005512E3">
        <w:instrText xml:space="preserve"> REF _Ref458774860 \h </w:instrText>
      </w:r>
      <w:r w:rsidR="00BD7995">
        <w:instrText xml:space="preserve"> \* MERGEFORMAT </w:instrText>
      </w:r>
      <w:r w:rsidR="005512E3">
        <w:fldChar w:fldCharType="separate"/>
      </w:r>
      <w:r w:rsidR="008C15B5" w:rsidRPr="008C15B5">
        <w:t>GOCoExpressionTable</w:t>
      </w:r>
      <w:proofErr w:type="spellEnd"/>
      <w:r w:rsidR="005512E3">
        <w:fldChar w:fldCharType="end"/>
      </w:r>
      <w:r w:rsidR="005512E3">
        <w:t>)</w:t>
      </w:r>
      <w:r w:rsidR="00AE58B8">
        <w:t xml:space="preserve"> and had very similar network structure (</w:t>
      </w:r>
      <w:proofErr w:type="spellStart"/>
      <w:r w:rsidR="00AE58B8">
        <w:fldChar w:fldCharType="begin"/>
      </w:r>
      <w:r w:rsidR="00AE58B8">
        <w:instrText xml:space="preserve"> REF _Ref458774880 \h </w:instrText>
      </w:r>
      <w:r w:rsidR="00BD7995">
        <w:instrText xml:space="preserve"> \* MERGEFORMAT </w:instrText>
      </w:r>
      <w:r w:rsidR="00AE58B8">
        <w:fldChar w:fldCharType="separate"/>
      </w:r>
      <w:r w:rsidR="008C15B5">
        <w:t>NetworkClusters</w:t>
      </w:r>
      <w:proofErr w:type="spellEnd"/>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proofErr w:type="spellStart"/>
      <w:r w:rsidR="009376EB">
        <w:fldChar w:fldCharType="begin"/>
      </w:r>
      <w:r w:rsidR="009376EB">
        <w:instrText xml:space="preserve"> REF _Ref458774860 \h </w:instrText>
      </w:r>
      <w:r w:rsidR="00BD7995">
        <w:instrText xml:space="preserve"> \* MERGEFORMAT </w:instrText>
      </w:r>
      <w:r w:rsidR="009376EB">
        <w:fldChar w:fldCharType="separate"/>
      </w:r>
      <w:r w:rsidR="008C15B5" w:rsidRPr="008C15B5">
        <w:t>GOCoExpressionTable</w:t>
      </w:r>
      <w:proofErr w:type="spellEnd"/>
      <w:r w:rsidR="009376EB">
        <w:fldChar w:fldCharType="end"/>
      </w:r>
      <w:r w:rsidR="005512E3">
        <w:t>)</w:t>
      </w:r>
      <w:r>
        <w:t>, the actual GO terms that drove that</w:t>
      </w:r>
      <w:r w:rsidR="002904EB">
        <w:t xml:space="preserve"> </w:t>
      </w:r>
      <w:r>
        <w:t>enrichment are quite different (</w:t>
      </w:r>
      <w:proofErr w:type="spellStart"/>
      <w:r w:rsidR="009376EB">
        <w:fldChar w:fldCharType="begin"/>
      </w:r>
      <w:r w:rsidR="009376EB">
        <w:instrText xml:space="preserve"> REF _Ref479246505 \h </w:instrText>
      </w:r>
      <w:r w:rsidR="00BD7995">
        <w:instrText xml:space="preserve"> \* MERGEFORMAT </w:instrText>
      </w:r>
      <w:r w:rsidR="009376EB">
        <w:fldChar w:fldCharType="separate"/>
      </w:r>
      <w:r w:rsidR="008C15B5">
        <w:t>FullGODensityLocality</w:t>
      </w:r>
      <w:proofErr w:type="spellEnd"/>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6583D87C"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proofErr w:type="spellStart"/>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8C15B5">
        <w:t>SummaryHPOGenes</w:t>
      </w:r>
      <w:proofErr w:type="spellEnd"/>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w:t>
      </w:r>
      <w:r w:rsidR="00D5476F">
        <w:lastRenderedPageBreak/>
        <w:t>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416D6FA9"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proofErr w:type="spellStart"/>
      <w:r w:rsidR="00D623D2">
        <w:fldChar w:fldCharType="begin"/>
      </w:r>
      <w:r w:rsidR="00D623D2">
        <w:instrText xml:space="preserve"> REF _Ref485996339 \h </w:instrText>
      </w:r>
      <w:r w:rsidR="00BD7995">
        <w:instrText xml:space="preserve"> \* MERGEFORMAT </w:instrText>
      </w:r>
      <w:r w:rsidR="00D623D2">
        <w:fldChar w:fldCharType="separate"/>
      </w:r>
      <w:r w:rsidR="008C15B5">
        <w:t>SummaryHPOGenes</w:t>
      </w:r>
      <w:proofErr w:type="spellEnd"/>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proofErr w:type="spellStart"/>
      <w:r w:rsidR="00195A6C">
        <w:fldChar w:fldCharType="begin"/>
      </w:r>
      <w:r w:rsidR="00195A6C">
        <w:instrText xml:space="preserve"> REF _Ref481678956 \h </w:instrText>
      </w:r>
      <w:r w:rsidR="00BD7995">
        <w:instrText xml:space="preserve"> \* MERGEFORMAT </w:instrText>
      </w:r>
      <w:r w:rsidR="00195A6C">
        <w:fldChar w:fldCharType="separate"/>
      </w:r>
      <w:r w:rsidR="008C15B5">
        <w:t>PCCDensityLocality</w:t>
      </w:r>
      <w:proofErr w:type="spellEnd"/>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proofErr w:type="spellStart"/>
      <w:r w:rsidR="008C15B5" w:rsidRPr="008C15B5">
        <w:t>GOCoExpressionTable</w:t>
      </w:r>
      <w:proofErr w:type="spellEnd"/>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proofErr w:type="spellStart"/>
      <w:r w:rsidR="0007635B">
        <w:fldChar w:fldCharType="begin"/>
      </w:r>
      <w:r w:rsidR="0007635B">
        <w:instrText xml:space="preserve"> REF _Ref486516422 \h </w:instrText>
      </w:r>
      <w:r w:rsidR="00BD7995">
        <w:instrText xml:space="preserve"> \* MERGEFORMAT </w:instrText>
      </w:r>
      <w:r w:rsidR="0007635B">
        <w:fldChar w:fldCharType="separate"/>
      </w:r>
      <w:r w:rsidR="008C15B5">
        <w:t>SubSetNetworks</w:t>
      </w:r>
      <w:proofErr w:type="spellEnd"/>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60" w:name="_Ref463088833"/>
      <w:r>
        <w:t>Methods</w:t>
      </w:r>
      <w:bookmarkEnd w:id="6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DDAF968"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proofErr w:type="spellStart"/>
      <w:r w:rsidRPr="002D5D6E">
        <w:fldChar w:fldCharType="begin"/>
      </w:r>
      <w:r w:rsidRPr="0077751E">
        <w:instrText xml:space="preserve"> REF _Ref447013206 \h </w:instrText>
      </w:r>
      <w:r w:rsidRPr="002E6613">
        <w:instrText xml:space="preserve"> \* MERGEFORMAT </w:instrText>
      </w:r>
      <w:r w:rsidRPr="002D5D6E">
        <w:fldChar w:fldCharType="separate"/>
      </w:r>
      <w:r w:rsidR="008C15B5">
        <w:t>ZmPANHealth</w:t>
      </w:r>
      <w:r w:rsidRPr="002D5D6E">
        <w:fldChar w:fldCharType="end"/>
      </w:r>
      <w:r w:rsidR="009833DF">
        <w:t>A</w:t>
      </w:r>
      <w:proofErr w:type="spellEnd"/>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proofErr w:type="spellStart"/>
      <w:r>
        <w:fldChar w:fldCharType="begin"/>
      </w:r>
      <w:r>
        <w:instrText xml:space="preserve"> REF _Ref447013206 \h  \* MERGEFORMAT </w:instrText>
      </w:r>
      <w:r>
        <w:fldChar w:fldCharType="separate"/>
      </w:r>
      <w:r w:rsidR="008C15B5">
        <w:t>ZmPANHealth</w:t>
      </w:r>
      <w:r>
        <w:fldChar w:fldCharType="end"/>
      </w:r>
      <w:r w:rsidR="009833DF">
        <w:t>B</w:t>
      </w:r>
      <w:proofErr w:type="spellEnd"/>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5639A00E"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proofErr w:type="spellStart"/>
      <w:r w:rsidR="008C15B5">
        <w:t>ZmPANHealth</w:t>
      </w:r>
      <w:r>
        <w:fldChar w:fldCharType="end"/>
      </w:r>
      <w:r w:rsidR="009833DF">
        <w:t>C</w:t>
      </w:r>
      <w:proofErr w:type="spellEnd"/>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proofErr w:type="spellStart"/>
      <w:r w:rsidR="008C15B5">
        <w:t>ZmPANHealth</w:t>
      </w:r>
      <w:r>
        <w:fldChar w:fldCharType="end"/>
      </w:r>
      <w:r w:rsidR="00094D01">
        <w:t>D</w:t>
      </w:r>
      <w:proofErr w:type="spellEnd"/>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w:t>
      </w:r>
      <w:proofErr w:type="spellStart"/>
      <w:r>
        <w:t>Stelpflug</w:t>
      </w:r>
      <w:proofErr w:type="spellEnd"/>
      <w:r>
        <w:t xml:space="preserve">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CDEDC53" w:rsidR="00101EAA" w:rsidRPr="00456B26" w:rsidRDefault="00DF6622" w:rsidP="0067252E">
      <w:r>
        <w:fldChar w:fldCharType="begin"/>
      </w:r>
      <w:r>
        <w:instrText xml:space="preserve"> REF _Ref447013895 \h  \* MERGEFORMAT </w:instrText>
      </w:r>
      <w:r>
        <w:fldChar w:fldCharType="separate"/>
      </w:r>
      <w:proofErr w:type="spellStart"/>
      <w:r w:rsidR="008C15B5">
        <w:t>ZmSAMHealth</w:t>
      </w:r>
      <w:r>
        <w:fldChar w:fldCharType="end"/>
      </w:r>
      <w:r w:rsidR="00D5044D">
        <w:t>A</w:t>
      </w:r>
      <w:proofErr w:type="spellEnd"/>
      <w:r w:rsidR="00D5044D">
        <w:t xml:space="preserve">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proofErr w:type="spellStart"/>
      <w:r>
        <w:fldChar w:fldCharType="begin"/>
      </w:r>
      <w:r>
        <w:instrText xml:space="preserve"> REF _Ref447013895 \h  \* MERGEFORMAT </w:instrText>
      </w:r>
      <w:r>
        <w:fldChar w:fldCharType="separate"/>
      </w:r>
      <w:r w:rsidR="008C15B5">
        <w:t>ZmSAMHealth</w:t>
      </w:r>
      <w:r>
        <w:fldChar w:fldCharType="end"/>
      </w:r>
      <w:r w:rsidR="00D5044D">
        <w:t>B</w:t>
      </w:r>
      <w:proofErr w:type="spellEnd"/>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proofErr w:type="spellStart"/>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C</w:t>
      </w:r>
      <w:proofErr w:type="spellEnd"/>
      <w:r w:rsidR="00831A27">
        <w:t>)</w:t>
      </w:r>
      <w:r w:rsidRPr="004E79F7">
        <w:t xml:space="preserve">. </w:t>
      </w:r>
      <w:r w:rsidRPr="004E79F7">
        <w:lastRenderedPageBreak/>
        <w:t>A final network health check shows that the empirical degree distribution of the ZmSAM network is consistent with previously characterized biological networks</w:t>
      </w:r>
      <w:r w:rsidR="00831A27">
        <w:t xml:space="preserve"> (</w:t>
      </w:r>
      <w:proofErr w:type="spellStart"/>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D</w:t>
      </w:r>
      <w:proofErr w:type="spellEnd"/>
      <w:r w:rsidR="00831A27">
        <w:t>)</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 xml:space="preserve">rep and Illumina </w:t>
      </w:r>
      <w:proofErr w:type="spellStart"/>
      <w:r w:rsidRPr="00C05203">
        <w:t>HiSeq</w:t>
      </w:r>
      <w:proofErr w:type="spellEnd"/>
      <w:r w:rsidRPr="00C05203">
        <w:t xml:space="preserve">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 xml:space="preserve">he program </w:t>
      </w:r>
      <w:proofErr w:type="spellStart"/>
      <w:r>
        <w:t>AdapterRemoval</w:t>
      </w:r>
      <w:proofErr w:type="spellEnd"/>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42D03BF"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proofErr w:type="spellStart"/>
      <w:r w:rsidR="008C15B5">
        <w:t>ZmRootHealth</w:t>
      </w:r>
      <w:r w:rsidR="00C275C7">
        <w:fldChar w:fldCharType="end"/>
      </w:r>
      <w:r w:rsidR="00C275C7">
        <w:t>A</w:t>
      </w:r>
      <w:proofErr w:type="spellEnd"/>
      <w:r w:rsidR="00C275C7">
        <w:t xml:space="preserve">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proofErr w:type="spellStart"/>
      <w:r w:rsidR="008C15B5">
        <w:t>ZmRootHealth</w:t>
      </w:r>
      <w:r w:rsidR="00C275C7">
        <w:fldChar w:fldCharType="end"/>
      </w:r>
      <w:r w:rsidR="00C275C7">
        <w:t>B</w:t>
      </w:r>
      <w:proofErr w:type="spellEnd"/>
      <w:r w:rsidR="00C275C7">
        <w:t xml:space="preserve">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proofErr w:type="spellStart"/>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C</w:t>
      </w:r>
      <w:proofErr w:type="spellEnd"/>
      <w:r w:rsidR="00C275C7">
        <w:t>). The degree distribution of the ZmRoot network closely follows a truncated power law similar to the other</w:t>
      </w:r>
      <w:r w:rsidR="00F80C45">
        <w:t xml:space="preserve"> </w:t>
      </w:r>
      <w:r w:rsidR="00C275C7">
        <w:t>networks buil</w:t>
      </w:r>
      <w:r w:rsidR="009C2CAC">
        <w:t>t</w:t>
      </w:r>
      <w:r w:rsidR="00C275C7">
        <w:t xml:space="preserve"> here (</w:t>
      </w:r>
      <w:proofErr w:type="spellStart"/>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D</w:t>
      </w:r>
      <w:proofErr w:type="spellEnd"/>
      <w:r w:rsidR="00C275C7">
        <w:t>).</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23FF8D66"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proofErr w:type="spellStart"/>
      <w:r w:rsidR="008C15B5" w:rsidRPr="00107824">
        <w:t>CamocoSchematic</w:t>
      </w:r>
      <w:r w:rsidR="00FA6DDF">
        <w:fldChar w:fldCharType="end"/>
      </w:r>
      <w:r w:rsidR="00FA6DDF">
        <w:t>A</w:t>
      </w:r>
      <w:proofErr w:type="spellEnd"/>
      <w:r w:rsidR="00FA6DDF">
        <w:t>).</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61" w:name="_Ref447101528"/>
      <w:r w:rsidRPr="0045686C">
        <w:rPr>
          <w:rFonts w:eastAsiaTheme="minorEastAsia"/>
        </w:rPr>
        <w:t>Eq.</w:t>
      </w:r>
      <w:r w:rsidR="00145345">
        <w:rPr>
          <w:rFonts w:eastAsiaTheme="minorEastAsia"/>
        </w:rPr>
        <w:t xml:space="preserve"> </w:t>
      </w:r>
      <w:r w:rsidRPr="0045686C">
        <w:rPr>
          <w:rFonts w:eastAsiaTheme="minorEastAsia"/>
        </w:rPr>
        <w:t>1</w:t>
      </w:r>
      <w:bookmarkEnd w:id="6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62" w:name="_Ref447101545"/>
      <w:bookmarkStart w:id="63" w:name="_Ref464049667"/>
      <w:r>
        <w:t>Eq.</w:t>
      </w:r>
      <w:bookmarkEnd w:id="62"/>
      <w:r w:rsidR="00145345">
        <w:t xml:space="preserve"> </w:t>
      </w:r>
      <w:r w:rsidR="0020783F">
        <w:t>2</w:t>
      </w:r>
      <w:bookmarkEnd w:id="6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64" w:name="_Ref447101563"/>
      <w:bookmarkStart w:id="65" w:name="_Ref464738379"/>
      <w:r w:rsidRPr="0045686C">
        <w:rPr>
          <w:rFonts w:eastAsiaTheme="minorEastAsia"/>
        </w:rPr>
        <w:t>Eq.</w:t>
      </w:r>
      <w:bookmarkEnd w:id="64"/>
      <w:r w:rsidR="00145345">
        <w:rPr>
          <w:rFonts w:eastAsiaTheme="minorEastAsia"/>
        </w:rPr>
        <w:t xml:space="preserve"> </w:t>
      </w:r>
      <w:r>
        <w:rPr>
          <w:rFonts w:eastAsiaTheme="minorEastAsia"/>
        </w:rPr>
        <w:t>3</w:t>
      </w:r>
      <w:bookmarkEnd w:id="6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66" w:name="_Ref447101571"/>
      <w:r>
        <w:t>Eq.</w:t>
      </w:r>
      <w:r w:rsidR="000853EA">
        <w:t xml:space="preserve"> </w:t>
      </w:r>
      <w:r w:rsidR="00503064">
        <w:t>4</w:t>
      </w:r>
      <w:bookmarkEnd w:id="6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67" w:name="_Ref484125232"/>
      <w:r>
        <w:t>Eq.</w:t>
      </w:r>
      <w:r w:rsidR="005936F2">
        <w:t xml:space="preserve"> 6</w:t>
      </w:r>
      <w:bookmarkEnd w:id="6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68" w:name="_Ref458775441"/>
      <w:bookmarkStart w:id="69" w:name="_Ref484125256"/>
      <w:r>
        <w:t>Eq. 7</w:t>
      </w:r>
      <w:bookmarkEnd w:id="68"/>
      <w:bookmarkEnd w:id="69"/>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w:t>
      </w:r>
      <w:r>
        <w:lastRenderedPageBreak/>
        <w:t>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w:t>
      </w:r>
      <w:proofErr w:type="spellStart"/>
      <w:r w:rsidR="003F4242">
        <w:t>Stelpflug</w:t>
      </w:r>
      <w:proofErr w:type="spellEnd"/>
      <w:r w:rsidR="003F4242">
        <w:t xml:space="preserve">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77777777" w:rsidR="00734F93" w:rsidRPr="00107824" w:rsidRDefault="00734F93" w:rsidP="00107824">
      <w:pPr>
        <w:pStyle w:val="Heading2"/>
      </w:pPr>
      <w:bookmarkStart w:id="70" w:name="_Ref444765587"/>
      <w:proofErr w:type="spellStart"/>
      <w:r w:rsidRPr="00107824">
        <w:t>CamocoSchematic</w:t>
      </w:r>
      <w:bookmarkEnd w:id="70"/>
      <w:proofErr w:type="spellEnd"/>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 xml:space="preserve">significance indicating a </w:t>
      </w:r>
      <w:proofErr w:type="spellStart"/>
      <w:r w:rsidRPr="00E7135D">
        <w:t>multigenic</w:t>
      </w:r>
      <w:proofErr w:type="spellEnd"/>
      <w:r w:rsidRPr="00E7135D">
        <w:t xml:space="preserve">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11ADAA23" w:rsidR="00C1066C" w:rsidRPr="00651B1D" w:rsidRDefault="00C1066C" w:rsidP="00037E45">
      <w:pPr>
        <w:pStyle w:val="Heading2"/>
      </w:pPr>
      <w:bookmarkStart w:id="71" w:name="_Ref487124030"/>
      <w:proofErr w:type="spellStart"/>
      <w:r>
        <w:t>CisTransDistributions</w:t>
      </w:r>
      <w:bookmarkEnd w:id="71"/>
      <w:proofErr w:type="spellEnd"/>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71F47501" w:rsidR="00690272" w:rsidRPr="00037E45" w:rsidRDefault="00690272" w:rsidP="00037E45">
      <w:pPr>
        <w:pStyle w:val="Heading2"/>
      </w:pPr>
      <w:bookmarkStart w:id="72" w:name="_Ref456807908"/>
      <w:bookmarkStart w:id="73" w:name="_Ref458794783"/>
      <w:proofErr w:type="spellStart"/>
      <w:r w:rsidRPr="00037E45">
        <w:t>SimulatedGWASSchematic</w:t>
      </w:r>
      <w:bookmarkEnd w:id="72"/>
      <w:bookmarkEnd w:id="73"/>
      <w:proofErr w:type="spellEnd"/>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w:t>
      </w:r>
      <w:r>
        <w:lastRenderedPageBreak/>
        <w:t xml:space="preserve">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491FE357" w:rsidR="00C85AF2" w:rsidRPr="00F138B4" w:rsidRDefault="00C85AF2" w:rsidP="00037E45">
      <w:pPr>
        <w:pStyle w:val="Heading2"/>
      </w:pPr>
      <w:bookmarkStart w:id="74" w:name="_Ref458700744"/>
      <w:proofErr w:type="spellStart"/>
      <w:r>
        <w:t>SimulatingMCR</w:t>
      </w:r>
      <w:bookmarkStart w:id="75" w:name="EditPoint"/>
      <w:bookmarkEnd w:id="74"/>
      <w:bookmarkEnd w:id="75"/>
      <w:proofErr w:type="spellEnd"/>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1858C808" w:rsidR="00C85AF2" w:rsidRPr="00B2729E" w:rsidRDefault="00C85AF2" w:rsidP="00037E45">
      <w:pPr>
        <w:pStyle w:val="Heading2"/>
      </w:pPr>
      <w:bookmarkStart w:id="76" w:name="_Ref458721156"/>
      <w:bookmarkStart w:id="77" w:name="_Ref447197618"/>
      <w:proofErr w:type="spellStart"/>
      <w:r>
        <w:t>SimulatedFCR</w:t>
      </w:r>
      <w:bookmarkEnd w:id="76"/>
      <w:bookmarkEnd w:id="77"/>
      <w:proofErr w:type="spellEnd"/>
    </w:p>
    <w:p w14:paraId="38CD5098" w14:textId="77777777" w:rsidR="00C85AF2" w:rsidRDefault="00C85AF2" w:rsidP="00C85AF2">
      <w:pPr>
        <w:pStyle w:val="Heading4"/>
        <w:jc w:val="left"/>
      </w:pPr>
      <w:r>
        <w:t>Simulated GWAS: SNP-to-gene mapping density signal robustness</w:t>
      </w:r>
    </w:p>
    <w:p w14:paraId="64A35CFE" w14:textId="14FAA963"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w:t>
      </w:r>
      <w:r>
        <w:lastRenderedPageBreak/>
        <w:t xml:space="preserve">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4F4D621E" w14:textId="557F317C" w:rsidR="00101202" w:rsidRPr="005063A3" w:rsidRDefault="00101202" w:rsidP="00037E45">
      <w:pPr>
        <w:pStyle w:val="Heading2"/>
      </w:pPr>
      <w:bookmarkStart w:id="78" w:name="_Ref481757037"/>
      <w:bookmarkStart w:id="79" w:name="_Ref484529183"/>
      <w:r>
        <w:t>D9CoExpression</w:t>
      </w:r>
      <w:bookmarkEnd w:id="78"/>
      <w:bookmarkEnd w:id="79"/>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305C4832" w:rsidR="00101202" w:rsidRPr="007854BF" w:rsidRDefault="00037E45" w:rsidP="00037E45">
      <w:pPr>
        <w:pStyle w:val="Heading2"/>
      </w:pPr>
      <w:bookmarkStart w:id="80" w:name="_Ref484091798"/>
      <w:r>
        <w:t>D8/9IonomeProfiles</w:t>
      </w:r>
      <w:bookmarkEnd w:id="80"/>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lastRenderedPageBreak/>
        <w:t>Tables</w:t>
      </w:r>
    </w:p>
    <w:p w14:paraId="673C8DCE" w14:textId="3721155B" w:rsidR="00107824" w:rsidRPr="0067528A" w:rsidRDefault="00107824" w:rsidP="0067528A">
      <w:pPr>
        <w:pStyle w:val="Heading2"/>
        <w:rPr>
          <w:rStyle w:val="SubtleEmphasis"/>
        </w:rPr>
      </w:pPr>
      <w:bookmarkStart w:id="81" w:name="_Ref458774860"/>
      <w:proofErr w:type="spellStart"/>
      <w:r w:rsidRPr="0067528A">
        <w:rPr>
          <w:rStyle w:val="SubtleEmphasis"/>
        </w:rPr>
        <w:t>GOCoExpressionTable</w:t>
      </w:r>
      <w:bookmarkEnd w:id="81"/>
      <w:proofErr w:type="spellEnd"/>
    </w:p>
    <w:p w14:paraId="4ED5F69B" w14:textId="22C0A06D" w:rsidR="00CB2E22" w:rsidRPr="00CB2E22" w:rsidRDefault="00107824" w:rsidP="00CB2E22">
      <w:pPr>
        <w:pStyle w:val="Heading3"/>
      </w:pPr>
      <w:r>
        <w:t>Significantly co-expressed GO terms</w:t>
      </w:r>
    </w:p>
    <w:p w14:paraId="1C5B80B3" w14:textId="58B595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8C15B5" w:rsidRPr="0045686C">
        <w:t>Eq.</w:t>
      </w:r>
      <w:r w:rsidR="008C15B5">
        <w:t xml:space="preserve"> </w:t>
      </w:r>
      <w:r w:rsidR="008C15B5" w:rsidRPr="0045686C">
        <w:t>1</w:t>
      </w:r>
      <w:r>
        <w:fldChar w:fldCharType="end"/>
      </w:r>
      <w:r>
        <w:t>) and locality (</w:t>
      </w:r>
      <w:r>
        <w:fldChar w:fldCharType="begin"/>
      </w:r>
      <w:r>
        <w:instrText xml:space="preserve"> REF _Ref464049667 \h  \* MERGEFORMAT </w:instrText>
      </w:r>
      <w:r>
        <w:fldChar w:fldCharType="separate"/>
      </w:r>
      <w:r w:rsidR="008C15B5">
        <w:t>Eq. 2</w:t>
      </w:r>
      <w:r>
        <w:fldChar w:fldCharType="end"/>
      </w:r>
      <w:r>
        <w:t>). Significance of co-expression metrics was assessed by comparing values to 1,000 random gene sets of the same size.</w:t>
      </w:r>
    </w:p>
    <w:p w14:paraId="5F2DD27A" w14:textId="0AA92607" w:rsidR="00107824" w:rsidRPr="00AD318C" w:rsidRDefault="00107824" w:rsidP="00555794">
      <w:pPr>
        <w:pStyle w:val="Heading2"/>
      </w:pPr>
      <w:bookmarkStart w:id="82" w:name="_Ref458774880"/>
      <w:proofErr w:type="spellStart"/>
      <w:r>
        <w:t>NetworkClusters</w:t>
      </w:r>
      <w:bookmarkEnd w:id="82"/>
      <w:proofErr w:type="spellEnd"/>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50C89A33" w14:textId="77777777" w:rsidR="004B5247" w:rsidRPr="008B069A" w:rsidRDefault="004B5247" w:rsidP="004B5247">
      <w:pPr>
        <w:pStyle w:val="Heading2"/>
      </w:pPr>
      <w:bookmarkStart w:id="83" w:name="_Ref485996339"/>
      <w:proofErr w:type="spellStart"/>
      <w:r>
        <w:t>SummaryHPOGenes</w:t>
      </w:r>
      <w:bookmarkEnd w:id="83"/>
      <w:proofErr w:type="spellEnd"/>
    </w:p>
    <w:p w14:paraId="3AD07384" w14:textId="77777777" w:rsidR="004B5247" w:rsidRDefault="004B5247" w:rsidP="004B5247">
      <w:pPr>
        <w:pStyle w:val="Heading3"/>
      </w:pPr>
      <w:r>
        <w:t>Maize grain ionome high-priority candidate genes</w:t>
      </w:r>
    </w:p>
    <w:p w14:paraId="20A3FF38" w14:textId="69EC5263" w:rsidR="004B5247" w:rsidRPr="004B5247" w:rsidRDefault="004B5247" w:rsidP="004B5247">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1D41A96D" w14:textId="0FEC14AA" w:rsidR="00BE31C9" w:rsidRPr="00844AFF" w:rsidRDefault="00BE31C9" w:rsidP="00BE31C9">
      <w:pPr>
        <w:pStyle w:val="Heading2"/>
      </w:pPr>
      <w:bookmarkStart w:id="84" w:name="_Ref486000600"/>
      <w:proofErr w:type="spellStart"/>
      <w:r>
        <w:lastRenderedPageBreak/>
        <w:t>HPOElementOverlap</w:t>
      </w:r>
      <w:bookmarkEnd w:id="84"/>
      <w:proofErr w:type="spellEnd"/>
    </w:p>
    <w:p w14:paraId="7B0D7111" w14:textId="77777777" w:rsidR="00BE31C9" w:rsidRPr="00975FFB" w:rsidRDefault="00BE31C9" w:rsidP="00BE31C9">
      <w:pPr>
        <w:pStyle w:val="Heading3"/>
      </w:pPr>
      <w:r>
        <w:t>Element HPO candidate gene overlap</w:t>
      </w:r>
    </w:p>
    <w:p w14:paraId="62904911" w14:textId="2542614D" w:rsidR="00107824" w:rsidRPr="00107824" w:rsidRDefault="00BE31C9" w:rsidP="00CB2E22">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67A4E9D2" w14:textId="313D2396" w:rsidR="006B33EA" w:rsidRDefault="005F2ACB" w:rsidP="0067252E">
      <w:pPr>
        <w:pStyle w:val="Heading1"/>
      </w:pPr>
      <w:r>
        <w:t>Supplementary Figures</w:t>
      </w:r>
    </w:p>
    <w:p w14:paraId="7969E5B2" w14:textId="7AB87046" w:rsidR="00DE6B75" w:rsidRPr="00DE6B75" w:rsidRDefault="00A26343" w:rsidP="0067252E">
      <w:pPr>
        <w:pStyle w:val="Heading2"/>
      </w:pPr>
      <w:bookmarkStart w:id="85" w:name="_Ref447013206"/>
      <w:proofErr w:type="spellStart"/>
      <w:r>
        <w:t>ZmPANHealth</w:t>
      </w:r>
      <w:bookmarkEnd w:id="85"/>
      <w:proofErr w:type="spellEnd"/>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386DD9CD" w:rsidR="00DE6B75" w:rsidRPr="00DE6B75" w:rsidRDefault="00A26343" w:rsidP="0067252E">
      <w:pPr>
        <w:pStyle w:val="Heading2"/>
      </w:pPr>
      <w:bookmarkStart w:id="86" w:name="_Ref447013895"/>
      <w:proofErr w:type="spellStart"/>
      <w:r>
        <w:t>ZmSAMHealth</w:t>
      </w:r>
      <w:bookmarkEnd w:id="86"/>
      <w:proofErr w:type="spellEnd"/>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lastRenderedPageBreak/>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4A1597E1" w:rsidR="00DE6B75" w:rsidRPr="00DE6B75" w:rsidRDefault="0010264D" w:rsidP="0067252E">
      <w:pPr>
        <w:pStyle w:val="Heading2"/>
      </w:pPr>
      <w:bookmarkStart w:id="87" w:name="_Ref447015478"/>
      <w:proofErr w:type="spellStart"/>
      <w:r>
        <w:t>ZmRootHealth</w:t>
      </w:r>
      <w:bookmarkEnd w:id="87"/>
      <w:proofErr w:type="spellEnd"/>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5C50DA79" w:rsidR="00BE7812" w:rsidRPr="00BE7812" w:rsidRDefault="0010264D" w:rsidP="0067252E">
      <w:pPr>
        <w:pStyle w:val="Heading2"/>
      </w:pPr>
      <w:bookmarkStart w:id="88" w:name="_Ref447187909"/>
      <w:proofErr w:type="spellStart"/>
      <w:r>
        <w:t>MCRSupplemental</w:t>
      </w:r>
      <w:bookmarkEnd w:id="88"/>
      <w:proofErr w:type="spellEnd"/>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1DED5EF" w:rsidR="00D83E5D" w:rsidRPr="00D83E5D" w:rsidRDefault="003E5405" w:rsidP="0067252E">
      <w:pPr>
        <w:pStyle w:val="Heading2"/>
      </w:pPr>
      <w:bookmarkStart w:id="89" w:name="_Ref470857301"/>
      <w:proofErr w:type="spellStart"/>
      <w:r>
        <w:lastRenderedPageBreak/>
        <w:t>FCRSupplemental</w:t>
      </w:r>
      <w:bookmarkEnd w:id="89"/>
      <w:proofErr w:type="spellEnd"/>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46C5D624" w:rsidR="00803776" w:rsidRPr="00803776" w:rsidRDefault="008C4FC8" w:rsidP="006F715C">
      <w:pPr>
        <w:pStyle w:val="Heading2"/>
      </w:pPr>
      <w:bookmarkStart w:id="90" w:name="_Ref481678956"/>
      <w:proofErr w:type="spellStart"/>
      <w:r>
        <w:t>PCCDensityLocality</w:t>
      </w:r>
      <w:bookmarkEnd w:id="90"/>
      <w:proofErr w:type="spellEnd"/>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2B8AA9F"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7B52D951" w14:textId="00533508" w:rsidR="00EA1705" w:rsidRPr="004A497C" w:rsidRDefault="00EA1705" w:rsidP="00790531">
      <w:pPr>
        <w:pStyle w:val="Heading2"/>
      </w:pPr>
      <w:bookmarkStart w:id="91" w:name="_Ref489428564"/>
      <w:proofErr w:type="spellStart"/>
      <w:r>
        <w:t>NumInterveningGenes</w:t>
      </w:r>
      <w:bookmarkEnd w:id="91"/>
      <w:proofErr w:type="spellEnd"/>
    </w:p>
    <w:p w14:paraId="3467E29A" w14:textId="77777777" w:rsidR="00EA1705" w:rsidRDefault="00EA1705" w:rsidP="006F5DE2">
      <w:pPr>
        <w:pStyle w:val="Heading3"/>
      </w:pPr>
      <w:r>
        <w:t>Number of intervening genes between HPO gene and GWAS locus</w:t>
      </w:r>
    </w:p>
    <w:p w14:paraId="312BCE93" w14:textId="41884D42"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w:t>
      </w:r>
      <w:r>
        <w:lastRenderedPageBreak/>
        <w:t xml:space="preserve">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3ACDC881" w14:textId="6E857945" w:rsidR="00A26D91" w:rsidRPr="001A512B" w:rsidRDefault="006F5DE2" w:rsidP="006F5DE2">
      <w:pPr>
        <w:pStyle w:val="Heading2"/>
      </w:pPr>
      <w:bookmarkStart w:id="92" w:name="_Ref487144620"/>
      <w:proofErr w:type="spellStart"/>
      <w:r>
        <w:t>GlobalClusterLayout</w:t>
      </w:r>
      <w:bookmarkEnd w:id="92"/>
      <w:proofErr w:type="spellEnd"/>
    </w:p>
    <w:p w14:paraId="0391C0E7" w14:textId="77777777" w:rsidR="00A26D91" w:rsidRDefault="00A26D91" w:rsidP="006F5DE2">
      <w:pPr>
        <w:pStyle w:val="Heading3"/>
      </w:pPr>
      <w:r>
        <w:t>HPO genes for Cd and Se in the ZmRoot network</w:t>
      </w:r>
    </w:p>
    <w:p w14:paraId="2508A150" w14:textId="14A5FDBB" w:rsidR="00A26D91" w:rsidRPr="00EA1705" w:rsidRDefault="00A26D91" w:rsidP="006F5DE2">
      <w:pPr>
        <w:pStyle w:val="Subtitle"/>
      </w:pPr>
      <w:r>
        <w:t>The strongest 100,000 interactions were used to visualize global clustering of genes (</w:t>
      </w:r>
      <w:r w:rsidRPr="00564736">
        <w:rPr>
          <w:i/>
        </w:rPr>
        <w:t>n</w:t>
      </w:r>
      <w:r>
        <w:t xml:space="preserve"> = 7,844) in the ZmRoot network. A force-directed algorithm positioned genes (</w:t>
      </w:r>
      <w:r w:rsidRPr="000F4144">
        <w:rPr>
          <w:b/>
        </w:rPr>
        <w:t>A</w:t>
      </w:r>
      <w:r>
        <w:t>; green nodes) showing approximate boundaries (dotted black circles) of the top ten MCL clusters (</w:t>
      </w:r>
      <w:proofErr w:type="spellStart"/>
      <w:r>
        <w:fldChar w:fldCharType="begin"/>
      </w:r>
      <w:r>
        <w:instrText xml:space="preserve"> REF _Ref483825641 \h  \* MERGEFORMAT </w:instrText>
      </w:r>
      <w:r>
        <w:fldChar w:fldCharType="separate"/>
      </w:r>
      <w:r w:rsidR="008C15B5">
        <w:t>MCLClusterAssignment</w:t>
      </w:r>
      <w:proofErr w:type="spellEnd"/>
      <w:r>
        <w:fldChar w:fldCharType="end"/>
      </w:r>
      <w:r>
        <w:t>). The ZmRoot network view was filtered to possible candidate genes (blue nodes) identified from SNP-to-gene mapping for Cd and Se (</w:t>
      </w:r>
      <w:r w:rsidRPr="000F4144">
        <w:rPr>
          <w:b/>
        </w:rPr>
        <w:t>B</w:t>
      </w:r>
      <w:r w:rsidRPr="000F4144">
        <w:t xml:space="preserve"> and </w:t>
      </w:r>
      <w:r w:rsidRPr="000F4144">
        <w:rPr>
          <w:b/>
        </w:rPr>
        <w:t>C</w:t>
      </w:r>
      <w:r>
        <w:rPr>
          <w:b/>
        </w:rPr>
        <w:t>,</w:t>
      </w:r>
      <w:r>
        <w:t xml:space="preserve"> respectively). Network edges were removed from the visualization in panels </w:t>
      </w:r>
      <w:r w:rsidRPr="00564736">
        <w:rPr>
          <w:b/>
        </w:rPr>
        <w:t>(B)</w:t>
      </w:r>
      <w:r>
        <w:t xml:space="preserve"> and </w:t>
      </w:r>
      <w:r w:rsidRPr="00564736">
        <w:rPr>
          <w:b/>
        </w:rPr>
        <w:t>(C)</w:t>
      </w:r>
      <w:r>
        <w:t>, though MCL cluster boundaries were preserved. HPO genes for each element (highlighted in red) co-localize to specific clusters.</w:t>
      </w:r>
    </w:p>
    <w:p w14:paraId="6CD419B6" w14:textId="6C83B3EF" w:rsidR="005F2ACB" w:rsidRDefault="005F2ACB" w:rsidP="0067252E">
      <w:pPr>
        <w:pStyle w:val="Heading1"/>
      </w:pPr>
      <w:r>
        <w:t>Supplementary Tables</w:t>
      </w:r>
    </w:p>
    <w:p w14:paraId="3B692F00" w14:textId="77777777" w:rsidR="009C7604" w:rsidRDefault="009C7604" w:rsidP="009C7604">
      <w:pPr>
        <w:pStyle w:val="Heading2"/>
      </w:pPr>
      <w:bookmarkStart w:id="93" w:name="_Ref499548832"/>
      <w:r>
        <w:t>SNP-to-</w:t>
      </w:r>
      <w:proofErr w:type="spellStart"/>
      <w:r>
        <w:t>GeneMappingSummary</w:t>
      </w:r>
      <w:bookmarkEnd w:id="93"/>
      <w:proofErr w:type="spellEnd"/>
    </w:p>
    <w:p w14:paraId="4D3CD623" w14:textId="77777777" w:rsidR="009C7604" w:rsidRDefault="009C7604" w:rsidP="009C7604">
      <w:pPr>
        <w:pStyle w:val="Heading3"/>
      </w:pPr>
      <w:r>
        <w:t>Maize grain ionome SNP-to-gene mapping results</w:t>
      </w:r>
    </w:p>
    <w:p w14:paraId="139AC12D" w14:textId="66EBC869" w:rsidR="009C7604" w:rsidRPr="009C7604" w:rsidRDefault="009C7604" w:rsidP="009C760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1FEB41FF" w14:textId="59B88715" w:rsidR="00247FEC" w:rsidRDefault="0010264D" w:rsidP="0067252E">
      <w:pPr>
        <w:pStyle w:val="Heading2"/>
      </w:pPr>
      <w:bookmarkStart w:id="94" w:name="_Ref479246505"/>
      <w:proofErr w:type="spellStart"/>
      <w:r>
        <w:lastRenderedPageBreak/>
        <w:t>FullGODensityLocality</w:t>
      </w:r>
      <w:bookmarkEnd w:id="94"/>
      <w:proofErr w:type="spellEnd"/>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3EDCB1B1" w:rsidR="00301559" w:rsidRDefault="00EB33CA" w:rsidP="0067252E">
      <w:pPr>
        <w:pStyle w:val="Heading2"/>
      </w:pPr>
      <w:bookmarkStart w:id="95" w:name="_Ref483825641"/>
      <w:proofErr w:type="spellStart"/>
      <w:r>
        <w:t>MCLClusterAssignment</w:t>
      </w:r>
      <w:bookmarkEnd w:id="95"/>
      <w:proofErr w:type="spellEnd"/>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7C7AA8C1" w:rsidR="00976C8A" w:rsidRDefault="00EB33CA" w:rsidP="0067252E">
      <w:pPr>
        <w:pStyle w:val="Heading2"/>
      </w:pPr>
      <w:bookmarkStart w:id="96" w:name="_Ref494793753"/>
      <w:proofErr w:type="spellStart"/>
      <w:r>
        <w:t>MCLGoEnrichment</w:t>
      </w:r>
      <w:bookmarkEnd w:id="96"/>
      <w:proofErr w:type="spellEnd"/>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2545567F" w:rsidR="00573EC0" w:rsidRDefault="007963D9" w:rsidP="0067252E">
      <w:pPr>
        <w:pStyle w:val="Heading2"/>
      </w:pPr>
      <w:bookmarkStart w:id="97" w:name="_Ref479248756"/>
      <w:proofErr w:type="spellStart"/>
      <w:r>
        <w:t>GOSignalWithNoise</w:t>
      </w:r>
      <w:bookmarkEnd w:id="97"/>
      <w:proofErr w:type="spellEnd"/>
    </w:p>
    <w:p w14:paraId="44CF6947" w14:textId="10082D5B" w:rsidR="00573EC0" w:rsidRDefault="00573EC0" w:rsidP="0067252E">
      <w:pPr>
        <w:pStyle w:val="Heading3"/>
      </w:pPr>
      <w:r>
        <w:t>Network signal of GO terms with various levels of MCR/FCR</w:t>
      </w:r>
    </w:p>
    <w:p w14:paraId="6406A840" w14:textId="0A8455B3"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proofErr w:type="spellStart"/>
      <w:r w:rsidR="008C15B5">
        <w:t>SimulatedFCR</w:t>
      </w:r>
      <w:proofErr w:type="spellEnd"/>
      <w:r w:rsidR="00B74EB9" w:rsidRPr="00256622">
        <w:fldChar w:fldCharType="end"/>
      </w:r>
      <w:r w:rsidR="00B74EB9" w:rsidRPr="00256622">
        <w:t>)</w:t>
      </w:r>
      <w:r w:rsidR="00193BFA" w:rsidRPr="00256622">
        <w:t>.</w:t>
      </w:r>
    </w:p>
    <w:p w14:paraId="6E7188D2" w14:textId="41B258AB" w:rsidR="00301559" w:rsidRDefault="007963D9" w:rsidP="0067252E">
      <w:pPr>
        <w:pStyle w:val="Heading2"/>
      </w:pPr>
      <w:bookmarkStart w:id="98" w:name="_Ref479162360"/>
      <w:bookmarkStart w:id="99" w:name="_Ref479250924"/>
      <w:proofErr w:type="spellStart"/>
      <w:r>
        <w:lastRenderedPageBreak/>
        <w:t>FullIonomeDensityLocality</w:t>
      </w:r>
      <w:bookmarkEnd w:id="98"/>
      <w:bookmarkEnd w:id="99"/>
      <w:proofErr w:type="spellEnd"/>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A21DEEA"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8C15B5" w:rsidRPr="0045686C">
        <w:t>Eq.</w:t>
      </w:r>
      <w:r w:rsidR="008C15B5">
        <w:t xml:space="preserve"> 3</w:t>
      </w:r>
      <w:r>
        <w:fldChar w:fldCharType="end"/>
      </w:r>
      <w:r>
        <w:t>) or locality (</w:t>
      </w:r>
      <w:r>
        <w:fldChar w:fldCharType="begin"/>
      </w:r>
      <w:r>
        <w:instrText xml:space="preserve"> REF _Ref447101571 \h  \* MERGEFORMAT </w:instrText>
      </w:r>
      <w:r>
        <w:fldChar w:fldCharType="separate"/>
      </w:r>
      <w:r w:rsidR="008C15B5">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55FDEAA2" w:rsidR="00301559" w:rsidRDefault="00C51DBD" w:rsidP="0067252E">
      <w:pPr>
        <w:pStyle w:val="Heading2"/>
      </w:pPr>
      <w:bookmarkStart w:id="100" w:name="_Ref480187199"/>
      <w:proofErr w:type="spellStart"/>
      <w:r>
        <w:t>HPOIonomeDesnsityLocality</w:t>
      </w:r>
      <w:bookmarkEnd w:id="100"/>
      <w:proofErr w:type="spellEnd"/>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32E42309" w:rsidR="003A4EB2" w:rsidRDefault="00003B66" w:rsidP="00C51DBD">
      <w:pPr>
        <w:pStyle w:val="Heading2"/>
      </w:pPr>
      <w:bookmarkStart w:id="101" w:name="_Ref486516422"/>
      <w:proofErr w:type="spellStart"/>
      <w:r>
        <w:t>SubSetNetworks</w:t>
      </w:r>
      <w:bookmarkEnd w:id="101"/>
      <w:proofErr w:type="spellEnd"/>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w:t>
      </w:r>
      <w:r w:rsidR="00D0395A">
        <w:lastRenderedPageBreak/>
        <w:t xml:space="preserve">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5F41A4D2" w:rsidR="002F7BB4" w:rsidRDefault="00231F58" w:rsidP="0067252E">
      <w:pPr>
        <w:pStyle w:val="Heading2"/>
      </w:pPr>
      <w:bookmarkStart w:id="102" w:name="_Ref486581168"/>
      <w:proofErr w:type="spellStart"/>
      <w:r>
        <w:t>MultipleElementHPOGenes</w:t>
      </w:r>
      <w:bookmarkEnd w:id="102"/>
      <w:proofErr w:type="spellEnd"/>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5A2736BC" w:rsidR="00DF5470" w:rsidRDefault="00087F7E" w:rsidP="0067252E">
      <w:pPr>
        <w:pStyle w:val="Heading2"/>
      </w:pPr>
      <w:bookmarkStart w:id="103" w:name="_Ref479316734"/>
      <w:bookmarkStart w:id="104" w:name="_Ref486000980"/>
      <w:proofErr w:type="spellStart"/>
      <w:r>
        <w:t>HPOGOEnrichment</w:t>
      </w:r>
      <w:bookmarkEnd w:id="103"/>
      <w:bookmarkEnd w:id="104"/>
      <w:proofErr w:type="spellEnd"/>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32233569" w:rsidR="009C78B5" w:rsidRDefault="00003B66" w:rsidP="0067252E">
      <w:pPr>
        <w:pStyle w:val="Heading2"/>
      </w:pPr>
      <w:bookmarkStart w:id="105" w:name="_Ref481755630"/>
      <w:bookmarkStart w:id="106" w:name="_Ref483912443"/>
      <w:bookmarkStart w:id="107" w:name="_Ref486581620"/>
      <w:proofErr w:type="spellStart"/>
      <w:r>
        <w:t>HPOPlus</w:t>
      </w:r>
      <w:r w:rsidR="00087F7E">
        <w:t>GOEnrichment</w:t>
      </w:r>
      <w:bookmarkEnd w:id="105"/>
      <w:bookmarkEnd w:id="106"/>
      <w:bookmarkEnd w:id="107"/>
      <w:proofErr w:type="spellEnd"/>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20AE965" w:rsidR="00FF7C43" w:rsidRPr="009D6D83" w:rsidRDefault="00BD7B6B" w:rsidP="00BD7B6B">
      <w:pPr>
        <w:pStyle w:val="Heading2"/>
      </w:pPr>
      <w:bookmarkStart w:id="108" w:name="_Ref483951527"/>
      <w:proofErr w:type="spellStart"/>
      <w:r>
        <w:t>GOEnrichmentTree</w:t>
      </w:r>
      <w:bookmarkEnd w:id="108"/>
      <w:proofErr w:type="spellEnd"/>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 xml:space="preserve">The HPO+ gene sets were analyzed for GO enrichment in the “biological process” namespace. Each node represents a GO term organized hierarchically in a tree with directed edges designating parent terms. Shaded </w:t>
      </w:r>
      <w:r>
        <w:lastRenderedPageBreak/>
        <w:t>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26BB496" w:rsidR="009C78B5" w:rsidRDefault="00D6748B" w:rsidP="00D6748B">
      <w:pPr>
        <w:pStyle w:val="Heading1"/>
      </w:pPr>
      <w:bookmarkStart w:id="109" w:name="_Ref502242324"/>
      <w:r>
        <w:t>Supplementary Text</w:t>
      </w:r>
      <w:bookmarkEnd w:id="109"/>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3A92DA57"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8C15B5">
        <w:t>Methods</w:t>
      </w:r>
      <w:r w:rsidR="00D6748B">
        <w:fldChar w:fldCharType="end"/>
      </w:r>
      <w:r w:rsidR="00D6748B">
        <w:t>). The HPO+ sets for several of the ionomic traits showed strong GO enrichments, many of which had terms that passed strict multiple-test correction, including Al, As, Cd, Cu, Fe, K, P, Se, Sr, and Zn (</w:t>
      </w:r>
      <w:proofErr w:type="spellStart"/>
      <w:r w:rsidR="00D6748B">
        <w:fldChar w:fldCharType="begin"/>
      </w:r>
      <w:r w:rsidR="00D6748B">
        <w:instrText xml:space="preserve"> REF _Ref486581620 \h  \* MERGEFORMAT </w:instrText>
      </w:r>
      <w:r w:rsidR="00D6748B">
        <w:fldChar w:fldCharType="separate"/>
      </w:r>
      <w:r w:rsidR="008C15B5">
        <w:t>HPOPlusGOEnrichment</w:t>
      </w:r>
      <w:proofErr w:type="spellEnd"/>
      <w:r w:rsidR="00D6748B">
        <w:fldChar w:fldCharType="end"/>
      </w:r>
      <w:r w:rsidR="00D6748B">
        <w:t>). Several of the enriched GO terms were common across HPO+ sets for different elements (</w:t>
      </w:r>
      <w:proofErr w:type="spellStart"/>
      <w:r w:rsidR="00D6748B">
        <w:fldChar w:fldCharType="begin"/>
      </w:r>
      <w:r w:rsidR="00D6748B">
        <w:instrText xml:space="preserve"> REF _Ref483951527 \h  \* MERGEFORMAT </w:instrText>
      </w:r>
      <w:r w:rsidR="00D6748B">
        <w:fldChar w:fldCharType="separate"/>
      </w:r>
      <w:r w:rsidR="008C15B5">
        <w:t>GOEnrichmentTree</w:t>
      </w:r>
      <w:proofErr w:type="spellEnd"/>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proofErr w:type="spellStart"/>
      <w:r w:rsidR="008C15B5">
        <w:t>GOEnrichmentTree</w:t>
      </w:r>
      <w:proofErr w:type="spellEnd"/>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proofErr w:type="spellStart"/>
      <w:r w:rsidR="008C15B5">
        <w:t>GOEnrichmentTree</w:t>
      </w:r>
      <w:proofErr w:type="spellEnd"/>
      <w:r w:rsidR="00D6748B">
        <w:fldChar w:fldCharType="end"/>
      </w:r>
      <w:r w:rsidR="00D6748B">
        <w:t>, “Subunit Organization” cluster). This may result from chang</w:t>
      </w:r>
      <w:r w:rsidR="00D6748B" w:rsidRPr="002C05D9">
        <w:t xml:space="preserve">es in cell </w:t>
      </w:r>
      <w:r w:rsidR="00D6748B" w:rsidRPr="002C05D9">
        <w:lastRenderedPageBreak/>
        <w:t>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3B4D49F4"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proofErr w:type="spellStart"/>
      <w:r w:rsidR="008C15B5">
        <w:t>HPOPlusGOEnrichment</w:t>
      </w:r>
      <w:proofErr w:type="spellEnd"/>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phosphatidic acid into </w:t>
      </w:r>
      <w:proofErr w:type="spellStart"/>
      <w:r>
        <w:t>galactolipids</w:t>
      </w:r>
      <w:proofErr w:type="spellEnd"/>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8C15B5">
        <w:t>Discussion</w:t>
      </w:r>
      <w:r>
        <w:fldChar w:fldCharType="end"/>
      </w:r>
      <w:r>
        <w:t>)</w:t>
      </w:r>
      <w:r w:rsidRPr="00E81580">
        <w:t>.</w:t>
      </w:r>
    </w:p>
    <w:p w14:paraId="39417251" w14:textId="7AA41ED2" w:rsidR="00F52A7B" w:rsidRDefault="00D6748B" w:rsidP="00982666">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w:t>
      </w:r>
      <w:r>
        <w:lastRenderedPageBreak/>
        <w:t>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326A2234"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8C15B5">
        <w:t>D9CoExpression</w:t>
      </w:r>
      <w:r>
        <w:fldChar w:fldCharType="end"/>
      </w:r>
      <w:r>
        <w:t xml:space="preserve">A). Among these were the maize </w:t>
      </w:r>
      <w:proofErr w:type="spellStart"/>
      <w:r>
        <w:t>Shortroot</w:t>
      </w:r>
      <w:proofErr w:type="spellEnd"/>
      <w:r>
        <w:t xml:space="preserve">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w:t>
      </w:r>
      <w:proofErr w:type="spellStart"/>
      <w:r>
        <w:t>phenylpropanoids</w:t>
      </w:r>
      <w:proofErr w:type="spellEnd"/>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w:t>
      </w:r>
      <w:r>
        <w:lastRenderedPageBreak/>
        <w:t xml:space="preserve">(GRMZM2G131205), the maize </w:t>
      </w:r>
      <w:proofErr w:type="spellStart"/>
      <w:r w:rsidRPr="00BA0993">
        <w:rPr>
          <w:i/>
        </w:rPr>
        <w:t>ligB</w:t>
      </w:r>
      <w:proofErr w:type="spellEnd"/>
      <w:r>
        <w:t xml:space="preserve"> paralog (GRMZM2G078500), and a laccase paralog (GRMZM2G336337), were co-expressed with D9. The </w:t>
      </w:r>
      <w:proofErr w:type="spellStart"/>
      <w:r>
        <w:t>extradiol</w:t>
      </w:r>
      <w:proofErr w:type="spellEnd"/>
      <w:r>
        <w:t xml:space="preserve"> ring cleavage dioxygenase encoded by the </w:t>
      </w:r>
      <w:proofErr w:type="spellStart"/>
      <w:r w:rsidRPr="00BA0993">
        <w:rPr>
          <w:i/>
        </w:rPr>
        <w:t>ligB</w:t>
      </w:r>
      <w:proofErr w:type="spellEnd"/>
      <w:r w:rsidRPr="000741C2">
        <w:t xml:space="preserve"> gene</w:t>
      </w:r>
      <w:r>
        <w:t xml:space="preserve"> (GRMZM2G078500), which from all angiosperms was known to be required for the formation of a pioneer specialized metabolite of no known function in </w:t>
      </w:r>
      <w:proofErr w:type="spellStart"/>
      <w:r>
        <w:rPr>
          <w:i/>
        </w:rPr>
        <w:t>Arabidopsos</w:t>
      </w:r>
      <w:proofErr w:type="spellEnd"/>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w:t>
      </w:r>
      <w:proofErr w:type="spellStart"/>
      <w:r>
        <w:t>cinamoyl</w:t>
      </w:r>
      <w:proofErr w:type="spellEnd"/>
      <w:r>
        <w:t xml:space="preserve">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proofErr w:type="spellStart"/>
      <w:r w:rsidRPr="00BA0993">
        <w:rPr>
          <w:i/>
        </w:rPr>
        <w:t>nicotianamine</w:t>
      </w:r>
      <w:proofErr w:type="spellEnd"/>
      <w:r w:rsidRPr="00BA0993">
        <w:rPr>
          <w:i/>
        </w:rPr>
        <w:t xml:space="preserve"> synthase3</w:t>
      </w:r>
      <w:r w:rsidRPr="00D50E93">
        <w:rPr>
          <w:i/>
        </w:rPr>
        <w:t xml:space="preserve"> </w:t>
      </w:r>
      <w:r>
        <w:t xml:space="preserve">gene (GRMZM2G439195, ZmPAN-Cd), which is required for making the type II iron </w:t>
      </w:r>
      <w:proofErr w:type="spellStart"/>
      <w:r>
        <w:t>chelators</w:t>
      </w:r>
      <w:proofErr w:type="spellEnd"/>
      <w:r>
        <w:t>, was both a Cd GWAS hit and substantially co-expressed with D9 in the ZmPAN network, such that it contributed to the identification of d</w:t>
      </w:r>
      <w:r w:rsidRPr="00BA0993">
        <w:t>9</w:t>
      </w:r>
      <w:r>
        <w:t xml:space="preserve"> as an HPO gene for Cd.</w:t>
      </w:r>
    </w:p>
    <w:p w14:paraId="5A9E18A3" w14:textId="4B3C64B2" w:rsidR="00C429E1" w:rsidRDefault="00C429E1" w:rsidP="00C429E1">
      <w:r>
        <w:t>------</w:t>
      </w:r>
    </w:p>
    <w:p w14:paraId="66EFE18B" w14:textId="3F71069A" w:rsidR="00C429E1" w:rsidRDefault="00C429E1" w:rsidP="00C429E1">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The </w:t>
      </w:r>
      <w:r w:rsidRPr="00262B1A">
        <w:rPr>
          <w:i/>
        </w:rPr>
        <w:t>su1</w:t>
      </w:r>
      <w:r w:rsidRPr="007C768D">
        <w:t xml:space="preserve"> gene</w:t>
      </w:r>
      <w:r w:rsidR="00420B5E">
        <w:t xml:space="preserve"> was the only </w:t>
      </w:r>
    </w:p>
    <w:p w14:paraId="55DDEB28" w14:textId="16DF48C2" w:rsidR="00D6748B" w:rsidRDefault="00C429E1" w:rsidP="00D6748B">
      <w:r>
        <w:t>-------</w:t>
      </w:r>
    </w:p>
    <w:p w14:paraId="007BAB1E" w14:textId="4014781C" w:rsidR="00A7235E" w:rsidRPr="00B750E1" w:rsidRDefault="00A7235E" w:rsidP="00A7235E">
      <w:r>
        <w:t xml:space="preserve">Previous analysis of lines segregating </w:t>
      </w:r>
      <w:r w:rsidRPr="00262B1A">
        <w:rPr>
          <w:i/>
        </w:rPr>
        <w:t>su1</w:t>
      </w:r>
      <w:r w:rsidRPr="007C768D">
        <w:t xml:space="preserve"> allele</w:t>
      </w:r>
      <w:r>
        <w:t xml:space="preserve"> </w:t>
      </w:r>
      <w:r w:rsidRPr="007C768D">
        <w:t xml:space="preserve">in the IL14H RIL population </w:t>
      </w:r>
      <w:r>
        <w:t>and</w:t>
      </w:r>
      <w:r w:rsidRPr="007C768D">
        <w:t xml:space="preserve"> measured in the NAM panel, four were </w:t>
      </w:r>
      <w:r>
        <w:t>associated with</w:t>
      </w:r>
      <w:r w:rsidRPr="007C768D">
        <w:t xml:space="preserve"> </w:t>
      </w:r>
      <w:r w:rsidRPr="006D108A">
        <w:rPr>
          <w:i/>
        </w:rPr>
        <w:t>su1</w:t>
      </w:r>
      <w:r w:rsidRPr="007C768D">
        <w:t xml:space="preserve"> </w:t>
      </w:r>
      <w:r>
        <w:t xml:space="preserve">variation </w:t>
      </w:r>
      <w:r w:rsidRPr="007C768D">
        <w:t xml:space="preserve">in </w:t>
      </w:r>
      <w:r>
        <w:t>the association panel</w:t>
      </w:r>
      <w:r w:rsidRPr="007C768D">
        <w:t xml:space="preserve">. It is possible that </w:t>
      </w:r>
      <w:r w:rsidRPr="00262B1A">
        <w:rPr>
          <w:i/>
        </w:rPr>
        <w:t>su1</w:t>
      </w:r>
      <w:r w:rsidRPr="007C768D">
        <w:t xml:space="preserve">, which is expressed in multiple plant compartments including the roots, might also </w:t>
      </w:r>
      <w:r>
        <w:t xml:space="preserve">have </w:t>
      </w:r>
      <w:r>
        <w:lastRenderedPageBreak/>
        <w:t>effects throughout</w:t>
      </w:r>
      <w:r w:rsidRPr="007C768D">
        <w:t xml:space="preserve"> the seed ionome beyond a dramatic loss of seed starch. This may result from coordinate regulation </w:t>
      </w:r>
      <w:r>
        <w:t>of</w:t>
      </w:r>
      <w:r w:rsidRPr="007C768D">
        <w:t xml:space="preserve"> the encoded </w:t>
      </w:r>
      <w:proofErr w:type="spellStart"/>
      <w:r w:rsidRPr="007C768D">
        <w:t>isoamylase</w:t>
      </w:r>
      <w:proofErr w:type="spellEnd"/>
      <w:r w:rsidRPr="007C768D">
        <w:t xml:space="preserve"> and other root-expressed determinants of S and Se metabolism, or</w:t>
      </w:r>
      <w:r>
        <w:t xml:space="preserve"> from</w:t>
      </w:r>
      <w:r w:rsidRPr="007C768D">
        <w:t xml:space="preserve"> unexpected coordination between root and seed expression networks. The finding that HPO network ne</w:t>
      </w:r>
      <w:r>
        <w:t xml:space="preserve">ighbors for P were enriched for </w:t>
      </w:r>
      <w:r w:rsidRPr="007C768D">
        <w:t xml:space="preserve">carbohydrate biosynthetic enzymes favors the </w:t>
      </w:r>
      <w:r>
        <w:t xml:space="preserve">former </w:t>
      </w:r>
      <w:r w:rsidRPr="007C768D">
        <w:t xml:space="preserve">of these </w:t>
      </w:r>
      <w:r>
        <w:t xml:space="preserve">two </w:t>
      </w:r>
      <w:r w:rsidRPr="007C768D">
        <w:t>hypotheses</w:t>
      </w:r>
      <w:r>
        <w:t xml:space="preserve"> (see </w:t>
      </w:r>
      <w:r>
        <w:fldChar w:fldCharType="begin"/>
      </w:r>
      <w:r>
        <w:instrText xml:space="preserve"> REF _Ref483951527 \h  \* MERGEFORMAT </w:instrText>
      </w:r>
      <w:r>
        <w:fldChar w:fldCharType="separate"/>
      </w:r>
      <w:proofErr w:type="spellStart"/>
      <w:r w:rsidR="008C15B5">
        <w:t>GOEnrichmentTree</w:t>
      </w:r>
      <w:proofErr w:type="spellEnd"/>
      <w:r>
        <w:fldChar w:fldCharType="end"/>
      </w:r>
      <w:r>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w:t>
      </w:r>
      <w:proofErr w:type="spellStart"/>
      <w:r>
        <w:t>sulfation</w:t>
      </w:r>
      <w:proofErr w:type="spellEnd"/>
      <w:r>
        <w:t xml:space="preserve">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0EF7087B" w14:textId="417D7D48" w:rsidR="00A7235E" w:rsidRDefault="00A7235E" w:rsidP="00A7235E">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proofErr w:type="spellStart"/>
      <w:r w:rsidRPr="00B750E1">
        <w:t>polycomb</w:t>
      </w:r>
      <w:proofErr w:type="spellEnd"/>
      <w:r w:rsidRPr="00B750E1">
        <w:t xml:space="preserve">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proofErr w:type="spellStart"/>
      <w:r>
        <w:t>Polycomb</w:t>
      </w:r>
      <w:proofErr w:type="spellEnd"/>
      <w:r>
        <w:t xml:space="preserve">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w:t>
      </w:r>
      <w:r w:rsidRPr="00B750E1">
        <w:lastRenderedPageBreak/>
        <w:t xml:space="preserve">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4259EB68" w14:textId="5B6234A8" w:rsidR="00C429E1" w:rsidRDefault="00730EEA" w:rsidP="00D6748B">
      <w:r>
        <w:t>----</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7AD21D3"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proofErr w:type="spellStart"/>
      <w:r w:rsidR="008C15B5">
        <w:t>SummaryHPOGenes</w:t>
      </w:r>
      <w:proofErr w:type="spellEnd"/>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w:t>
      </w:r>
      <w:proofErr w:type="spellStart"/>
      <w:r>
        <w:t>epicuticular</w:t>
      </w:r>
      <w:proofErr w:type="spellEnd"/>
      <w:r>
        <w:t xml:space="preserve">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2-28T16:48:00Z" w:initials="r">
    <w:p w14:paraId="62C7E412" w14:textId="77777777" w:rsidR="00D41498" w:rsidRDefault="00D41498">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D41498" w:rsidRDefault="00D41498">
      <w:pPr>
        <w:pStyle w:val="CommentText"/>
      </w:pPr>
    </w:p>
    <w:p w14:paraId="1798006C" w14:textId="1A8167E9" w:rsidR="00D41498" w:rsidRDefault="00D41498">
      <w:pPr>
        <w:pStyle w:val="CommentText"/>
      </w:pPr>
      <w:r>
        <w:t xml:space="preserve">I think off the bat, we should really tout the importance of co-expression context so leading off with </w:t>
      </w:r>
    </w:p>
    <w:p w14:paraId="717C24D7" w14:textId="0E2C4992" w:rsidR="00D41498" w:rsidRDefault="00D41498">
      <w:pPr>
        <w:pStyle w:val="CommentText"/>
      </w:pPr>
    </w:p>
    <w:p w14:paraId="540F2E1F" w14:textId="0ADA69F4" w:rsidR="00D41498" w:rsidRDefault="00D41498">
      <w:pPr>
        <w:pStyle w:val="CommentText"/>
      </w:pPr>
      <w:r>
        <w:t>Other ideas:</w:t>
      </w:r>
    </w:p>
    <w:p w14:paraId="4643E89F" w14:textId="77777777" w:rsidR="00D41498" w:rsidRDefault="00D41498">
      <w:pPr>
        <w:pStyle w:val="CommentText"/>
      </w:pPr>
    </w:p>
    <w:p w14:paraId="5EED8015" w14:textId="4B2D5541" w:rsidR="00D41498" w:rsidRDefault="00D41498">
      <w:pPr>
        <w:pStyle w:val="CommentText"/>
      </w:pPr>
      <w:r>
        <w:t>- Genotypically diverse accessions outperform tissue atlases in detecting candidate causal genes identified by GWAS</w:t>
      </w:r>
    </w:p>
  </w:comment>
  <w:comment w:id="8" w:author="Rob" w:date="2017-12-29T13:15:00Z" w:initials="rs">
    <w:p w14:paraId="2CAA28EF" w14:textId="128F9573" w:rsidR="007E216A" w:rsidRDefault="007E216A">
      <w:pPr>
        <w:pStyle w:val="CommentText"/>
      </w:pPr>
      <w:r>
        <w:rPr>
          <w:rStyle w:val="CommentReference"/>
        </w:rPr>
        <w:annotationRef/>
      </w:r>
      <w:r>
        <w:t xml:space="preserve">Let’s make LD the bad guy here. Our contribution is showing the oversight in using network based </w:t>
      </w:r>
      <w:proofErr w:type="spellStart"/>
      <w:r>
        <w:t>apporaches</w:t>
      </w:r>
      <w:proofErr w:type="spellEnd"/>
      <w:r>
        <w:t>: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D41498" w:rsidRDefault="00D41498" w:rsidP="006804EA">
      <w:r>
        <w:separator/>
      </w:r>
    </w:p>
  </w:endnote>
  <w:endnote w:type="continuationSeparator" w:id="0">
    <w:p w14:paraId="5CCC22F3" w14:textId="77777777" w:rsidR="00D41498" w:rsidRDefault="00D41498" w:rsidP="006804EA">
      <w:r>
        <w:continuationSeparator/>
      </w:r>
    </w:p>
  </w:endnote>
  <w:endnote w:type="continuationNotice" w:id="1">
    <w:p w14:paraId="3EF08E39" w14:textId="77777777" w:rsidR="00D41498" w:rsidRDefault="00D41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EF74D67" w:rsidR="00D41498" w:rsidRDefault="00D41498" w:rsidP="006804EA">
        <w:pPr>
          <w:pStyle w:val="Footer"/>
        </w:pPr>
        <w:r>
          <w:fldChar w:fldCharType="begin"/>
        </w:r>
        <w:r w:rsidRPr="006A5509">
          <w:instrText xml:space="preserve"> PAGE   \* MERGEFORMAT </w:instrText>
        </w:r>
        <w:r>
          <w:fldChar w:fldCharType="separate"/>
        </w:r>
        <w:r w:rsidR="008F74B9">
          <w:rPr>
            <w:noProof/>
          </w:rPr>
          <w:t>4</w:t>
        </w:r>
        <w:r>
          <w:rPr>
            <w:noProof/>
          </w:rPr>
          <w:fldChar w:fldCharType="end"/>
        </w:r>
      </w:p>
    </w:sdtContent>
  </w:sdt>
  <w:p w14:paraId="1B93D360" w14:textId="77777777" w:rsidR="00D41498" w:rsidRDefault="00D41498"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D41498" w:rsidRDefault="00D41498" w:rsidP="006804EA">
      <w:r>
        <w:separator/>
      </w:r>
    </w:p>
  </w:footnote>
  <w:footnote w:type="continuationSeparator" w:id="0">
    <w:p w14:paraId="226B6DAD" w14:textId="77777777" w:rsidR="00D41498" w:rsidRDefault="00D41498" w:rsidP="006804EA">
      <w:r>
        <w:continuationSeparator/>
      </w:r>
    </w:p>
  </w:footnote>
  <w:footnote w:type="continuationNotice" w:id="1">
    <w:p w14:paraId="5F53988F" w14:textId="77777777" w:rsidR="00D41498" w:rsidRDefault="00D4149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D41498" w:rsidRDefault="00D414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643"/>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0DA0"/>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003B66"/>
    <w:pPr>
      <w:keepNext/>
      <w:keepLines/>
      <w:spacing w:before="40" w:after="0"/>
      <w:ind w:left="72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03B66"/>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EC73-2BDE-46B7-A4C1-5893A2C0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64</Pages>
  <Words>69734</Words>
  <Characters>397484</Characters>
  <Application>Microsoft Office Word</Application>
  <DocSecurity>0</DocSecurity>
  <Lines>3312</Lines>
  <Paragraphs>932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10</cp:revision>
  <cp:lastPrinted>2017-11-17T23:34:00Z</cp:lastPrinted>
  <dcterms:created xsi:type="dcterms:W3CDTF">2017-12-18T16:10:00Z</dcterms:created>
  <dcterms:modified xsi:type="dcterms:W3CDTF">2017-12-29T19:34:00Z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