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37C367CF" w:rsidR="006B33EA" w:rsidRDefault="006B33EA" w:rsidP="001C401A">
      <w:pPr>
        <w:jc w:val="left"/>
      </w:pPr>
      <w:r>
        <w:t>Robert J. Schaefer</w:t>
      </w:r>
      <w:r w:rsidR="00923A5D">
        <w:rPr>
          <w:vertAlign w:val="superscript"/>
        </w:rPr>
        <w:t>1</w:t>
      </w:r>
      <w:r w:rsidR="00005D7D">
        <w:t>,</w:t>
      </w:r>
      <w:r w:rsidR="003857C1">
        <w:t xml:space="preserve"> Jean-Michel </w:t>
      </w:r>
      <w:r>
        <w:t>Michno</w:t>
      </w:r>
      <w:r w:rsidR="00923A5D">
        <w:rPr>
          <w:vertAlign w:val="superscript"/>
        </w:rPr>
        <w:t>1</w:t>
      </w:r>
      <w:r w:rsidR="0072070D" w:rsidRPr="00C9797E">
        <w:rPr>
          <w:vertAlign w:val="superscript"/>
        </w:rPr>
        <w:t>,</w:t>
      </w:r>
      <w:r w:rsidR="00923A5D">
        <w:rPr>
          <w:vertAlign w:val="superscript"/>
        </w:rPr>
        <w:t>2</w:t>
      </w:r>
      <w:r>
        <w:t>,</w:t>
      </w:r>
      <w:r w:rsidR="00005D7D">
        <w:t xml:space="preserve"> Joseph Jeffers</w:t>
      </w:r>
      <w:r w:rsidR="00923A5D">
        <w:rPr>
          <w:vertAlign w:val="superscript"/>
        </w:rPr>
        <w:t>3</w:t>
      </w:r>
      <w:r w:rsidR="00005D7D">
        <w:t>,</w:t>
      </w:r>
      <w:r>
        <w:t xml:space="preserve"> Owen Hoekenga</w:t>
      </w:r>
      <w:r w:rsidR="00923A5D">
        <w:rPr>
          <w:vertAlign w:val="superscript"/>
        </w:rPr>
        <w:t>4</w:t>
      </w:r>
      <w:r>
        <w:t>, Brian Dilkes</w:t>
      </w:r>
      <w:r w:rsidR="00923A5D">
        <w:rPr>
          <w:vertAlign w:val="superscript"/>
        </w:rPr>
        <w:t>5</w:t>
      </w:r>
      <w:r>
        <w:t>, Ivan Baxter</w:t>
      </w:r>
      <w:r w:rsidR="00923A5D">
        <w:rPr>
          <w:vertAlign w:val="superscript"/>
        </w:rPr>
        <w:t>6</w:t>
      </w:r>
      <w:r w:rsidR="00005D7D" w:rsidRPr="00C9797E">
        <w:rPr>
          <w:vertAlign w:val="superscript"/>
        </w:rPr>
        <w:t>,</w:t>
      </w:r>
      <w:r w:rsidR="00923A5D">
        <w:rPr>
          <w:vertAlign w:val="superscript"/>
        </w:rPr>
        <w:t>7</w:t>
      </w:r>
      <w:r w:rsidR="00570CDD">
        <w:rPr>
          <w:vertAlign w:val="superscript"/>
        </w:rPr>
        <w:t>*</w:t>
      </w:r>
      <w:r>
        <w:t>, Chad L. Myers</w:t>
      </w:r>
      <w:r w:rsidR="00923A5D">
        <w:rPr>
          <w:vertAlign w:val="superscript"/>
        </w:rPr>
        <w:t>1</w:t>
      </w:r>
      <w:r w:rsidR="00005D7D" w:rsidRPr="00C9797E">
        <w:rPr>
          <w:vertAlign w:val="superscript"/>
        </w:rPr>
        <w:t>,</w:t>
      </w:r>
      <w:r w:rsidR="00923A5D">
        <w:rPr>
          <w:vertAlign w:val="superscript"/>
        </w:rPr>
        <w:t>3</w:t>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66184E44" w:rsidR="004D7899" w:rsidRDefault="00056788" w:rsidP="001C401A">
      <w:pPr>
        <w:pStyle w:val="ListParagraph"/>
        <w:ind w:left="0"/>
        <w:jc w:val="left"/>
      </w:pPr>
      <w:r>
        <w:t xml:space="preserve">Email Contacts: </w:t>
      </w:r>
      <w:r w:rsidR="00A35634">
        <w:t>Robert Schaefer &lt;</w:t>
      </w:r>
      <w:r w:rsidR="00A35634" w:rsidRPr="007455F7">
        <w:t>schae234@umn.edu</w:t>
      </w:r>
      <w:r w:rsidR="00A35634">
        <w:t>&gt;,</w:t>
      </w:r>
      <w:r>
        <w:t xml:space="preserve"> </w:t>
      </w:r>
      <w:r w:rsidR="00A35634">
        <w:t>Jean-Michel Michno &lt;</w:t>
      </w:r>
      <w:r w:rsidR="00A35634" w:rsidRPr="007455F7">
        <w:t>mich0391@umn.edu</w:t>
      </w:r>
      <w:r w:rsidR="00A35634">
        <w:t>&gt;, Joseph Jeffers &lt;</w:t>
      </w:r>
      <w:r w:rsidR="00A35634" w:rsidRPr="007455F7">
        <w:t>jeffe174@umn.edu</w:t>
      </w:r>
      <w:r w:rsidR="00A35634">
        <w:t>&gt;,</w:t>
      </w:r>
      <w:r>
        <w:t xml:space="preserve"> </w:t>
      </w:r>
      <w:r w:rsidR="00A35634">
        <w:t>Owen Hoekenga &lt;</w:t>
      </w:r>
      <w:r w:rsidR="00A35634" w:rsidRPr="007455F7">
        <w:t>o.a.hoekenga@gmail.com</w:t>
      </w:r>
      <w:r w:rsidR="00A35634">
        <w:t>&gt;,</w:t>
      </w:r>
      <w:r>
        <w:t xml:space="preserve"> </w:t>
      </w:r>
      <w:r w:rsidR="00A35634">
        <w:t>Brian Dilkes &lt;</w:t>
      </w:r>
      <w:r w:rsidR="00A35634" w:rsidRPr="007455F7">
        <w:t>bdilkes@purdue.edu</w:t>
      </w:r>
      <w:r w:rsidR="00A35634">
        <w:t>&gt;,</w:t>
      </w:r>
      <w:r>
        <w:t xml:space="preserve"> </w:t>
      </w:r>
      <w:r w:rsidR="009E1BB2">
        <w:t>Ivan Baxter</w:t>
      </w:r>
      <w:r w:rsidR="00A35634">
        <w:t>*</w:t>
      </w:r>
      <w:r w:rsidR="009E1BB2">
        <w:t xml:space="preserve">, </w:t>
      </w:r>
      <w:r>
        <w:t>&lt;</w:t>
      </w:r>
      <w:r w:rsidR="00D3249C" w:rsidRPr="007455F7">
        <w:t>ivan.baxter@ars.usda.gov</w:t>
      </w:r>
      <w:r>
        <w:rPr>
          <w:rStyle w:val="Hyperlink"/>
        </w:rPr>
        <w:t>&gt;</w:t>
      </w:r>
      <w:r>
        <w:t>,</w:t>
      </w:r>
      <w:r w:rsidR="00D3249C">
        <w:t xml:space="preserve"> Chad L. Myers</w:t>
      </w:r>
      <w:r w:rsidR="00A35634">
        <w:t>*</w:t>
      </w:r>
      <w:r>
        <w:t xml:space="preserve"> &lt;</w:t>
      </w:r>
      <w:r w:rsidR="003B563A" w:rsidRPr="007455F7">
        <w:t>chadm@umn.edu</w:t>
      </w:r>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33CF545"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r w:rsidR="00E34C09">
        <w:t xml:space="preserve"> which are the primary elemental uptake and delivery system</w:t>
      </w:r>
      <w:r>
        <w:t>) outperformed other alternative</w:t>
      </w:r>
      <w:r w:rsidR="004D42AE">
        <w:t xml:space="preserve"> networks</w:t>
      </w:r>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7B8EAB96"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00A01009" w:rsidRPr="00A01009">
        <w:rPr>
          <w:noProof/>
        </w:rPr>
        <w:t xml:space="preserve"> (McMullen et al., 2009)</w:t>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00A01009" w:rsidRPr="00A01009">
        <w:rPr>
          <w:noProof/>
        </w:rPr>
        <w:t xml:space="preserve"> (Buckler et al., 2009)</w:t>
      </w:r>
      <w:r w:rsidRPr="006804EA">
        <w:t>, 89 loci for plant height</w:t>
      </w:r>
      <w:r w:rsidR="00A01009" w:rsidRPr="00A01009">
        <w:rPr>
          <w:noProof/>
        </w:rPr>
        <w:t xml:space="preserve"> (Peiffer et al., 2014)</w:t>
      </w:r>
      <w:r w:rsidRPr="006804EA">
        <w:t>, 36 loci for leaf length</w:t>
      </w:r>
      <w:r w:rsidR="00A01009" w:rsidRPr="00A01009">
        <w:rPr>
          <w:noProof/>
        </w:rPr>
        <w:t xml:space="preserve"> (Tian et al., 2011)</w:t>
      </w:r>
      <w:r w:rsidRPr="006804EA">
        <w:t>, 32 loci for resistance to southern leaf blight</w:t>
      </w:r>
      <w:r w:rsidR="00A01009" w:rsidRPr="00A01009">
        <w:rPr>
          <w:noProof/>
        </w:rPr>
        <w:t xml:space="preserve"> (Kump et al., 2011)</w:t>
      </w:r>
      <w:r w:rsidRPr="006804EA">
        <w:t>, and 26 loci for kernel protein</w:t>
      </w:r>
      <w:r w:rsidR="00A01009" w:rsidRPr="00A01009">
        <w:rPr>
          <w:noProof/>
        </w:rPr>
        <w:t xml:space="preserve"> (Cook et al., 2012)</w:t>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CE54B94"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A01009" w:rsidRPr="00A01009">
        <w:rPr>
          <w:noProof/>
        </w:rPr>
        <w:t xml:space="preserve"> (Wallace et al., 2014)</w:t>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A01009" w:rsidRPr="00A01009">
        <w:rPr>
          <w:noProof/>
        </w:rPr>
        <w:t xml:space="preserve"> (Gore et al., 2009)</w:t>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A01009" w:rsidRPr="00A01009">
        <w:rPr>
          <w:noProof/>
        </w:rPr>
        <w:t xml:space="preserve"> (Morrell et al., 2005; Caldwell et al., 2006)</w:t>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A01009" w:rsidRPr="00A01009">
        <w:rPr>
          <w:noProof/>
        </w:rPr>
        <w:t xml:space="preserve"> (Wray, 2007; Wallace et al., 2014)</w:t>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A01009" w:rsidRPr="00A01009">
        <w:rPr>
          <w:noProof/>
        </w:rPr>
        <w:t xml:space="preserve"> (Clark et al., 2006; Castelletti et al., 2014; Louwers et al., 2009)</w:t>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4FF91543"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086059" w:rsidRPr="00086059">
        <w:rPr>
          <w:noProof/>
        </w:rPr>
        <w:t xml:space="preserve"> (Andorf et al., 2016)</w:t>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3DEAF18"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A01009" w:rsidRPr="00A01009">
        <w:rPr>
          <w:noProof/>
        </w:rPr>
        <w:t xml:space="preserve"> (Eisen et al., 1998)</w:t>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840228" w:rsidRPr="00840228">
        <w:rPr>
          <w:noProof/>
        </w:rPr>
        <w:t xml:space="preserve"> (Schaefer et al., 2014; Mochida et al., 2011; Obayashi et al., 2014; Sarkar et al., 2014; Zheng and Zhao, 2013; Ozaki et al., 2010; Swanson-Wagner et al., 2012; Wen et al., 2018; Michno et al., 2018)</w:t>
      </w:r>
      <w:r w:rsidR="002D56D4">
        <w:t xml:space="preserve">, and has been used to characterize GWAS results in </w:t>
      </w:r>
      <w:r w:rsidR="002D56D4" w:rsidRPr="00776001">
        <w:rPr>
          <w:i/>
        </w:rPr>
        <w:t>Arabidopsis thaliana</w:t>
      </w:r>
      <w:r w:rsidR="00A01009" w:rsidRPr="00A01009">
        <w:rPr>
          <w:noProof/>
        </w:rPr>
        <w:t xml:space="preserve"> (Chan et al., 2011; Corwin et al., 2016; Lee and Lee, 2018; Angelovici et al., 2017)</w:t>
      </w:r>
      <w:r w:rsidR="00EF75BE" w:rsidRPr="00002A0F">
        <w:t>.</w:t>
      </w:r>
    </w:p>
    <w:p w14:paraId="075DA05C" w14:textId="11DA4E0F"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00A01009" w:rsidRPr="00A01009">
        <w:rPr>
          <w:noProof/>
        </w:rPr>
        <w:t xml:space="preserve"> (Wolfe et al., 2005; Rotival and Petretto, 2014)</w:t>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rsidR="00A01009" w:rsidRPr="00A01009">
        <w:rPr>
          <w:noProof/>
        </w:rPr>
        <w:t xml:space="preserve"> (Ritchie et al., 2015)</w:t>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rsidR="00A01009" w:rsidRPr="00A01009">
        <w:rPr>
          <w:noProof/>
        </w:rPr>
        <w:t xml:space="preserve"> (Li et al., 2008)</w:t>
      </w:r>
      <w:r>
        <w:t>, and co-expression has been used as a basis</w:t>
      </w:r>
      <w:r w:rsidRPr="00002A0F">
        <w:t xml:space="preserve"> for</w:t>
      </w:r>
      <w:r>
        <w:t xml:space="preserve"> understanding </w:t>
      </w:r>
      <w:r w:rsidR="000833C3">
        <w:t>GWAS</w:t>
      </w:r>
      <w:r>
        <w:t xml:space="preserve"> in mouse and human</w:t>
      </w:r>
      <w:r w:rsidR="00A01009" w:rsidRPr="00A01009">
        <w:rPr>
          <w:noProof/>
        </w:rPr>
        <w:t xml:space="preserve"> (Calabrese et al., 2017; Bunyavanich et al., 2014; Taşan et al., 2014; Shim et al., 2017; Baillie et al., 2018)</w:t>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5A20C61A"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rsidR="00A01009" w:rsidRPr="00A01009">
        <w:rPr>
          <w:noProof/>
        </w:rPr>
        <w:t xml:space="preserve"> (USDA, 2016)</w:t>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rsidR="00A01009" w:rsidRPr="00A01009">
        <w:rPr>
          <w:noProof/>
        </w:rPr>
        <w:t xml:space="preserve"> (Baxter, 2010)</w:t>
      </w:r>
      <w:r>
        <w:t>, grain nutritional quality</w:t>
      </w:r>
      <w:r w:rsidR="008C039B" w:rsidRPr="008C039B">
        <w:rPr>
          <w:noProof/>
        </w:rPr>
        <w:t xml:space="preserve"> (Guerinot, 2001)</w:t>
      </w:r>
      <w:r w:rsidR="00AF6436">
        <w:t>,</w:t>
      </w:r>
      <w:r>
        <w:t xml:space="preserve"> and plant physiology</w:t>
      </w:r>
      <w:r w:rsidR="00A01009" w:rsidRPr="00A01009">
        <w:rPr>
          <w:noProof/>
        </w:rPr>
        <w:t xml:space="preserve"> (Baxter et al., 2008)</w:t>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551DA9FB"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923A5D">
        <w:t>Figure 1</w:t>
      </w:r>
      <w:r w:rsidR="00B77B21">
        <w:t>A)</w:t>
      </w:r>
      <w:r w:rsidR="003E2C5F">
        <w:t>,</w:t>
      </w:r>
      <w:r w:rsidR="00B77B21">
        <w:t xml:space="preserve"> tools for construction and analysis of co-expression networks (</w:t>
      </w:r>
      <w:r w:rsidR="00923A5D">
        <w:t>Figure 1</w:t>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923A5D">
        <w:t>Figure 1</w:t>
      </w:r>
      <w:r w:rsidR="00C46D31" w:rsidRPr="0002616A">
        <w:t>C</w:t>
      </w:r>
      <w:r w:rsidR="00C46D31">
        <w:t xml:space="preserve">) (see </w:t>
      </w:r>
      <w:r w:rsidR="00923A5D">
        <w:t>Methods</w:t>
      </w:r>
      <w:r w:rsidR="00ED0580">
        <w:t xml:space="preserve"> </w:t>
      </w:r>
      <w:r w:rsidR="00C46D31">
        <w:t>for details on each component)</w:t>
      </w:r>
      <w:r w:rsidR="00B77B21">
        <w:t>.</w:t>
      </w:r>
    </w:p>
    <w:p w14:paraId="3313DF6E" w14:textId="0D4215E0"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unthresholded)</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923A5D" w:rsidRPr="00671BC3">
        <w:rPr>
          <w:rFonts w:eastAsiaTheme="minorEastAsia"/>
        </w:rPr>
        <w:t>Eq. 1</w:t>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923A5D">
        <w:t>Eq. 2</w:t>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923A5D" w:rsidRPr="00671BC3">
        <w:rPr>
          <w:rFonts w:eastAsiaTheme="minorEastAsia"/>
        </w:rPr>
        <w:t>Eq. 3</w:t>
      </w:r>
      <w:r w:rsidR="000B2E54">
        <w:t xml:space="preserve"> and </w:t>
      </w:r>
      <w:r w:rsidR="00923A5D">
        <w:t>Eq. 4</w:t>
      </w:r>
      <w:r w:rsidR="000B2E54">
        <w:t>)</w:t>
      </w:r>
      <w:r w:rsidR="00B77B21">
        <w:t xml:space="preserve"> (</w:t>
      </w:r>
      <w:r w:rsidR="004F5594">
        <w:t>s</w:t>
      </w:r>
      <w:r w:rsidR="00B77B21">
        <w:t xml:space="preserve">ee </w:t>
      </w:r>
      <w:r w:rsidR="00923A5D">
        <w:t>Methods</w:t>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923A5D">
        <w:t>Figure 1</w:t>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7E318536"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F243C0" w:rsidRPr="00F243C0">
        <w:rPr>
          <w:noProof/>
        </w:rPr>
        <w:t xml:space="preserve"> (Schaefer et al., 2014; Swanson-Wagner et al., 2012)</w:t>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A01009" w:rsidRPr="00A01009">
        <w:rPr>
          <w:noProof/>
        </w:rPr>
        <w:t>(Schaefer et al., 2016)</w:t>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1EAFA32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A01009" w:rsidRPr="00A01009">
        <w:rPr>
          <w:noProof/>
        </w:rPr>
        <w:t xml:space="preserve"> (Hirsch et al., 2014)</w:t>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A01009" w:rsidRPr="00A01009">
        <w:rPr>
          <w:noProof/>
        </w:rPr>
        <w:t xml:space="preserve"> (Stelpflug et al., 2015)</w:t>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A01009" w:rsidRPr="00A01009">
        <w:rPr>
          <w:noProof/>
        </w:rPr>
        <w:t xml:space="preserve"> (Chao et al., 2011; Baxter, 2010; Baxter and Dilkes, 2012)</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tbl>
      <w:tblPr>
        <w:tblW w:w="8181" w:type="dxa"/>
        <w:tblLook w:val="04A0" w:firstRow="1" w:lastRow="0" w:firstColumn="1" w:lastColumn="0" w:noHBand="0" w:noVBand="1"/>
      </w:tblPr>
      <w:tblGrid>
        <w:gridCol w:w="960"/>
        <w:gridCol w:w="1653"/>
        <w:gridCol w:w="1653"/>
        <w:gridCol w:w="1938"/>
        <w:gridCol w:w="1977"/>
      </w:tblGrid>
      <w:tr w:rsidR="000E79E4" w:rsidRPr="000E79E4" w14:paraId="78B1604F" w14:textId="77777777" w:rsidTr="000E79E4">
        <w:trPr>
          <w:trHeight w:val="300"/>
        </w:trPr>
        <w:tc>
          <w:tcPr>
            <w:tcW w:w="960" w:type="dxa"/>
            <w:tcBorders>
              <w:top w:val="single" w:sz="4" w:space="0" w:color="auto"/>
              <w:left w:val="single" w:sz="4" w:space="0" w:color="auto"/>
              <w:bottom w:val="nil"/>
              <w:right w:val="single" w:sz="4" w:space="0" w:color="808080"/>
            </w:tcBorders>
            <w:shd w:val="clear" w:color="000000" w:fill="E7E6E6"/>
            <w:noWrap/>
            <w:vAlign w:val="bottom"/>
            <w:hideMark/>
          </w:tcPr>
          <w:p w14:paraId="65B97A5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7221" w:type="dxa"/>
            <w:gridSpan w:val="4"/>
            <w:tcBorders>
              <w:top w:val="single" w:sz="4" w:space="0" w:color="auto"/>
              <w:left w:val="nil"/>
              <w:bottom w:val="single" w:sz="4" w:space="0" w:color="808080"/>
              <w:right w:val="single" w:sz="4" w:space="0" w:color="000000"/>
            </w:tcBorders>
            <w:shd w:val="clear" w:color="000000" w:fill="E7E6E6"/>
            <w:noWrap/>
            <w:vAlign w:val="bottom"/>
            <w:hideMark/>
          </w:tcPr>
          <w:p w14:paraId="1796366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Number Significant (p ≤ 0.01) GO Terms (n = 1078)</w:t>
            </w:r>
          </w:p>
        </w:tc>
      </w:tr>
      <w:tr w:rsidR="000E79E4" w:rsidRPr="000E79E4" w14:paraId="60073EE2" w14:textId="77777777" w:rsidTr="000E79E4">
        <w:trPr>
          <w:trHeight w:val="300"/>
        </w:trPr>
        <w:tc>
          <w:tcPr>
            <w:tcW w:w="960" w:type="dxa"/>
            <w:tcBorders>
              <w:top w:val="nil"/>
              <w:left w:val="single" w:sz="4" w:space="0" w:color="auto"/>
              <w:bottom w:val="single" w:sz="4" w:space="0" w:color="808080"/>
              <w:right w:val="single" w:sz="4" w:space="0" w:color="808080"/>
            </w:tcBorders>
            <w:shd w:val="clear" w:color="000000" w:fill="E7E6E6"/>
            <w:noWrap/>
            <w:vAlign w:val="bottom"/>
            <w:hideMark/>
          </w:tcPr>
          <w:p w14:paraId="47C8A990"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 </w:t>
            </w:r>
          </w:p>
        </w:tc>
        <w:tc>
          <w:tcPr>
            <w:tcW w:w="1653" w:type="dxa"/>
            <w:tcBorders>
              <w:top w:val="nil"/>
              <w:left w:val="nil"/>
              <w:bottom w:val="single" w:sz="4" w:space="0" w:color="808080"/>
              <w:right w:val="single" w:sz="4" w:space="0" w:color="808080"/>
            </w:tcBorders>
            <w:shd w:val="clear" w:color="000000" w:fill="E7E6E6"/>
            <w:noWrap/>
            <w:vAlign w:val="bottom"/>
            <w:hideMark/>
          </w:tcPr>
          <w:p w14:paraId="781DE4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Density</w:t>
            </w:r>
          </w:p>
        </w:tc>
        <w:tc>
          <w:tcPr>
            <w:tcW w:w="1653" w:type="dxa"/>
            <w:tcBorders>
              <w:top w:val="nil"/>
              <w:left w:val="nil"/>
              <w:bottom w:val="single" w:sz="4" w:space="0" w:color="808080"/>
              <w:right w:val="single" w:sz="4" w:space="0" w:color="808080"/>
            </w:tcBorders>
            <w:shd w:val="clear" w:color="000000" w:fill="E7E6E6"/>
            <w:noWrap/>
            <w:vAlign w:val="bottom"/>
            <w:hideMark/>
          </w:tcPr>
          <w:p w14:paraId="2DDAF294"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Locality</w:t>
            </w:r>
          </w:p>
        </w:tc>
        <w:tc>
          <w:tcPr>
            <w:tcW w:w="1938" w:type="dxa"/>
            <w:tcBorders>
              <w:top w:val="nil"/>
              <w:left w:val="nil"/>
              <w:bottom w:val="single" w:sz="4" w:space="0" w:color="808080"/>
              <w:right w:val="single" w:sz="4" w:space="0" w:color="808080"/>
            </w:tcBorders>
            <w:shd w:val="clear" w:color="000000" w:fill="E7E6E6"/>
            <w:noWrap/>
            <w:vAlign w:val="bottom"/>
            <w:hideMark/>
          </w:tcPr>
          <w:p w14:paraId="4398EBE9"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Both Scores</w:t>
            </w:r>
          </w:p>
        </w:tc>
        <w:tc>
          <w:tcPr>
            <w:tcW w:w="1977" w:type="dxa"/>
            <w:tcBorders>
              <w:top w:val="nil"/>
              <w:left w:val="nil"/>
              <w:bottom w:val="single" w:sz="4" w:space="0" w:color="808080"/>
              <w:right w:val="single" w:sz="4" w:space="0" w:color="auto"/>
            </w:tcBorders>
            <w:shd w:val="clear" w:color="000000" w:fill="E7E6E6"/>
            <w:noWrap/>
            <w:vAlign w:val="bottom"/>
            <w:hideMark/>
          </w:tcPr>
          <w:p w14:paraId="5C9F22C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Either Score</w:t>
            </w:r>
          </w:p>
        </w:tc>
      </w:tr>
      <w:tr w:rsidR="000E79E4" w:rsidRPr="000E79E4" w14:paraId="05644646" w14:textId="77777777" w:rsidTr="000E79E4">
        <w:trPr>
          <w:trHeight w:val="300"/>
        </w:trPr>
        <w:tc>
          <w:tcPr>
            <w:tcW w:w="960" w:type="dxa"/>
            <w:tcBorders>
              <w:top w:val="nil"/>
              <w:left w:val="single" w:sz="4" w:space="0" w:color="auto"/>
              <w:bottom w:val="nil"/>
              <w:right w:val="nil"/>
            </w:tcBorders>
            <w:shd w:val="clear" w:color="auto" w:fill="auto"/>
            <w:noWrap/>
            <w:vAlign w:val="bottom"/>
            <w:hideMark/>
          </w:tcPr>
          <w:p w14:paraId="11043C38"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ZmPAN</w:t>
            </w:r>
          </w:p>
        </w:tc>
        <w:tc>
          <w:tcPr>
            <w:tcW w:w="1653" w:type="dxa"/>
            <w:tcBorders>
              <w:top w:val="nil"/>
              <w:left w:val="nil"/>
              <w:bottom w:val="nil"/>
              <w:right w:val="nil"/>
            </w:tcBorders>
            <w:shd w:val="clear" w:color="auto" w:fill="auto"/>
            <w:noWrap/>
            <w:vAlign w:val="bottom"/>
            <w:hideMark/>
          </w:tcPr>
          <w:p w14:paraId="6A86FB32"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451 (41%)</w:t>
            </w:r>
          </w:p>
        </w:tc>
        <w:tc>
          <w:tcPr>
            <w:tcW w:w="1653" w:type="dxa"/>
            <w:tcBorders>
              <w:top w:val="nil"/>
              <w:left w:val="nil"/>
              <w:bottom w:val="nil"/>
              <w:right w:val="nil"/>
            </w:tcBorders>
            <w:shd w:val="clear" w:color="auto" w:fill="auto"/>
            <w:noWrap/>
            <w:vAlign w:val="bottom"/>
            <w:hideMark/>
          </w:tcPr>
          <w:p w14:paraId="575F989C"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539 (50%)</w:t>
            </w:r>
          </w:p>
        </w:tc>
        <w:tc>
          <w:tcPr>
            <w:tcW w:w="1938" w:type="dxa"/>
            <w:tcBorders>
              <w:top w:val="nil"/>
              <w:left w:val="nil"/>
              <w:bottom w:val="nil"/>
              <w:right w:val="nil"/>
            </w:tcBorders>
            <w:shd w:val="clear" w:color="auto" w:fill="auto"/>
            <w:noWrap/>
            <w:vAlign w:val="bottom"/>
            <w:hideMark/>
          </w:tcPr>
          <w:p w14:paraId="096E84A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312 (29%)</w:t>
            </w:r>
          </w:p>
        </w:tc>
        <w:tc>
          <w:tcPr>
            <w:tcW w:w="1977" w:type="dxa"/>
            <w:tcBorders>
              <w:top w:val="nil"/>
              <w:left w:val="nil"/>
              <w:bottom w:val="nil"/>
              <w:right w:val="single" w:sz="4" w:space="0" w:color="auto"/>
            </w:tcBorders>
            <w:shd w:val="clear" w:color="auto" w:fill="auto"/>
            <w:noWrap/>
            <w:vAlign w:val="bottom"/>
            <w:hideMark/>
          </w:tcPr>
          <w:p w14:paraId="6FE37DF6"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678 (63%)</w:t>
            </w:r>
          </w:p>
        </w:tc>
      </w:tr>
      <w:tr w:rsidR="000E79E4" w:rsidRPr="000E79E4" w14:paraId="107A6F33" w14:textId="77777777" w:rsidTr="00206FF5">
        <w:trPr>
          <w:trHeight w:val="300"/>
        </w:trPr>
        <w:tc>
          <w:tcPr>
            <w:tcW w:w="960" w:type="dxa"/>
            <w:tcBorders>
              <w:top w:val="nil"/>
              <w:left w:val="single" w:sz="4" w:space="0" w:color="auto"/>
              <w:right w:val="nil"/>
            </w:tcBorders>
            <w:shd w:val="clear" w:color="auto" w:fill="auto"/>
            <w:noWrap/>
            <w:vAlign w:val="bottom"/>
            <w:hideMark/>
          </w:tcPr>
          <w:p w14:paraId="72E8A14D"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ZmSAM</w:t>
            </w:r>
          </w:p>
        </w:tc>
        <w:tc>
          <w:tcPr>
            <w:tcW w:w="1653" w:type="dxa"/>
            <w:tcBorders>
              <w:top w:val="nil"/>
              <w:left w:val="nil"/>
              <w:right w:val="nil"/>
            </w:tcBorders>
            <w:shd w:val="clear" w:color="auto" w:fill="auto"/>
            <w:noWrap/>
            <w:vAlign w:val="bottom"/>
            <w:hideMark/>
          </w:tcPr>
          <w:p w14:paraId="6180F7D0"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365 (34%)</w:t>
            </w:r>
          </w:p>
        </w:tc>
        <w:tc>
          <w:tcPr>
            <w:tcW w:w="1653" w:type="dxa"/>
            <w:tcBorders>
              <w:top w:val="nil"/>
              <w:left w:val="nil"/>
              <w:right w:val="nil"/>
            </w:tcBorders>
            <w:shd w:val="clear" w:color="auto" w:fill="auto"/>
            <w:noWrap/>
            <w:vAlign w:val="bottom"/>
            <w:hideMark/>
          </w:tcPr>
          <w:p w14:paraId="2BAFD5AF"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437 (40%)</w:t>
            </w:r>
          </w:p>
        </w:tc>
        <w:tc>
          <w:tcPr>
            <w:tcW w:w="1938" w:type="dxa"/>
            <w:tcBorders>
              <w:top w:val="nil"/>
              <w:left w:val="nil"/>
              <w:right w:val="nil"/>
            </w:tcBorders>
            <w:shd w:val="clear" w:color="auto" w:fill="auto"/>
            <w:noWrap/>
            <w:vAlign w:val="bottom"/>
            <w:hideMark/>
          </w:tcPr>
          <w:p w14:paraId="13A55C5D"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234 (21%)</w:t>
            </w:r>
          </w:p>
        </w:tc>
        <w:tc>
          <w:tcPr>
            <w:tcW w:w="1977" w:type="dxa"/>
            <w:tcBorders>
              <w:top w:val="nil"/>
              <w:left w:val="nil"/>
              <w:right w:val="single" w:sz="4" w:space="0" w:color="auto"/>
            </w:tcBorders>
            <w:shd w:val="clear" w:color="auto" w:fill="auto"/>
            <w:noWrap/>
            <w:vAlign w:val="bottom"/>
            <w:hideMark/>
          </w:tcPr>
          <w:p w14:paraId="49D521B1"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568 (53%)</w:t>
            </w:r>
          </w:p>
        </w:tc>
      </w:tr>
      <w:tr w:rsidR="000E79E4" w:rsidRPr="000E79E4" w14:paraId="25B045FD" w14:textId="77777777" w:rsidTr="00206FF5">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408C095" w14:textId="77777777"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ZmRoot</w:t>
            </w:r>
          </w:p>
        </w:tc>
        <w:tc>
          <w:tcPr>
            <w:tcW w:w="1653" w:type="dxa"/>
            <w:tcBorders>
              <w:top w:val="nil"/>
              <w:left w:val="nil"/>
              <w:bottom w:val="single" w:sz="4" w:space="0" w:color="auto"/>
              <w:right w:val="nil"/>
            </w:tcBorders>
            <w:shd w:val="clear" w:color="auto" w:fill="auto"/>
            <w:noWrap/>
            <w:vAlign w:val="bottom"/>
            <w:hideMark/>
          </w:tcPr>
          <w:p w14:paraId="1ED0F1C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573 (53%)</w:t>
            </w:r>
          </w:p>
        </w:tc>
        <w:tc>
          <w:tcPr>
            <w:tcW w:w="1653" w:type="dxa"/>
            <w:tcBorders>
              <w:top w:val="nil"/>
              <w:left w:val="nil"/>
              <w:bottom w:val="single" w:sz="4" w:space="0" w:color="auto"/>
              <w:right w:val="nil"/>
            </w:tcBorders>
            <w:shd w:val="clear" w:color="auto" w:fill="auto"/>
            <w:noWrap/>
            <w:vAlign w:val="bottom"/>
            <w:hideMark/>
          </w:tcPr>
          <w:p w14:paraId="50D8AE2B"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331 (31%)</w:t>
            </w:r>
          </w:p>
        </w:tc>
        <w:tc>
          <w:tcPr>
            <w:tcW w:w="1938" w:type="dxa"/>
            <w:tcBorders>
              <w:top w:val="nil"/>
              <w:left w:val="nil"/>
              <w:bottom w:val="single" w:sz="4" w:space="0" w:color="auto"/>
              <w:right w:val="nil"/>
            </w:tcBorders>
            <w:shd w:val="clear" w:color="auto" w:fill="auto"/>
            <w:noWrap/>
            <w:vAlign w:val="bottom"/>
            <w:hideMark/>
          </w:tcPr>
          <w:p w14:paraId="239E9505"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278 (26%)</w:t>
            </w:r>
          </w:p>
        </w:tc>
        <w:tc>
          <w:tcPr>
            <w:tcW w:w="1977" w:type="dxa"/>
            <w:tcBorders>
              <w:top w:val="nil"/>
              <w:left w:val="nil"/>
              <w:bottom w:val="single" w:sz="4" w:space="0" w:color="auto"/>
              <w:right w:val="single" w:sz="4" w:space="0" w:color="auto"/>
            </w:tcBorders>
            <w:shd w:val="clear" w:color="auto" w:fill="auto"/>
            <w:noWrap/>
            <w:vAlign w:val="bottom"/>
            <w:hideMark/>
          </w:tcPr>
          <w:p w14:paraId="15C79BCA" w14:textId="77777777" w:rsidR="000E79E4" w:rsidRPr="000E79E4" w:rsidRDefault="000E79E4" w:rsidP="000E79E4">
            <w:pPr>
              <w:spacing w:after="0" w:line="240" w:lineRule="auto"/>
              <w:jc w:val="center"/>
              <w:rPr>
                <w:rFonts w:ascii="Calibri" w:eastAsia="Times New Roman" w:hAnsi="Calibri" w:cs="Times New Roman"/>
                <w:color w:val="000000"/>
                <w:sz w:val="22"/>
              </w:rPr>
            </w:pPr>
            <w:r w:rsidRPr="000E79E4">
              <w:rPr>
                <w:rFonts w:ascii="Calibri" w:eastAsia="Times New Roman" w:hAnsi="Calibri" w:cs="Times New Roman"/>
                <w:color w:val="000000"/>
                <w:sz w:val="22"/>
              </w:rPr>
              <w:t>626 (58%)</w:t>
            </w:r>
          </w:p>
        </w:tc>
      </w:tr>
      <w:tr w:rsidR="000E79E4" w:rsidRPr="000E79E4" w14:paraId="1CEC1743" w14:textId="77777777" w:rsidTr="00206FF5">
        <w:trPr>
          <w:trHeight w:val="300"/>
        </w:trPr>
        <w:tc>
          <w:tcPr>
            <w:tcW w:w="81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7C208467" w14:textId="36473CFE" w:rsidR="000E79E4" w:rsidRPr="000E79E4" w:rsidRDefault="000E79E4" w:rsidP="000E79E4">
            <w:pPr>
              <w:spacing w:after="0" w:line="240" w:lineRule="auto"/>
              <w:jc w:val="left"/>
              <w:rPr>
                <w:rFonts w:ascii="Calibri" w:eastAsia="Times New Roman" w:hAnsi="Calibri" w:cs="Times New Roman"/>
                <w:b/>
                <w:color w:val="000000"/>
                <w:sz w:val="22"/>
              </w:rPr>
            </w:pPr>
            <w:r w:rsidRPr="000E79E4">
              <w:rPr>
                <w:rFonts w:ascii="Calibri" w:eastAsia="Times New Roman" w:hAnsi="Calibri" w:cs="Times New Roman"/>
                <w:b/>
                <w:color w:val="000000"/>
                <w:sz w:val="22"/>
              </w:rPr>
              <w:t>Table 1. Significantly co-expressed GO terms.</w:t>
            </w:r>
          </w:p>
          <w:p w14:paraId="21999B6B" w14:textId="06846E1E" w:rsidR="000E79E4" w:rsidRPr="000E79E4" w:rsidRDefault="000E79E4" w:rsidP="000E79E4">
            <w:pPr>
              <w:spacing w:after="0" w:line="240" w:lineRule="auto"/>
              <w:jc w:val="left"/>
              <w:rPr>
                <w:rFonts w:ascii="Calibri" w:eastAsia="Times New Roman" w:hAnsi="Calibri" w:cs="Times New Roman"/>
                <w:color w:val="000000"/>
                <w:sz w:val="22"/>
              </w:rPr>
            </w:pPr>
            <w:r w:rsidRPr="000E79E4">
              <w:rPr>
                <w:rFonts w:ascii="Calibri" w:eastAsia="Times New Roman" w:hAnsi="Calibri" w:cs="Times New Roman"/>
                <w:color w:val="000000"/>
                <w:sz w:val="22"/>
              </w:rPr>
              <w:t>Co-expression was measured among genes within each GO term that had co-expression data in each network using both density (Eq. 1) and locality (Eq. 2). Significance of co-expression metrics was assessed by comparing values to 1,000 random gene sets of the same size.</w:t>
            </w:r>
          </w:p>
        </w:tc>
      </w:tr>
    </w:tbl>
    <w:p w14:paraId="345D330E" w14:textId="77777777" w:rsidR="000E79E4" w:rsidRDefault="000E79E4" w:rsidP="001C401A"/>
    <w:p w14:paraId="73B706B8" w14:textId="7C847A58"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923A5D">
        <w:t>Methods</w:t>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923A5D">
        <w:t>Supp. Figure 1</w:t>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923A5D">
        <w:t>Table 1</w:t>
      </w:r>
      <w:r w:rsidR="00C55CE7">
        <w:t xml:space="preserve">; </w:t>
      </w:r>
      <w:r w:rsidR="00923A5D">
        <w:t xml:space="preserve">Supp. </w:t>
      </w:r>
      <w:r w:rsidR="00923A5D" w:rsidRPr="006C60D0">
        <w:t>Table 1</w:t>
      </w:r>
      <w:r w:rsidR="00BF1A19">
        <w:t>).</w:t>
      </w:r>
      <w:r w:rsidR="000B6221">
        <w:t xml:space="preserve"> </w:t>
      </w:r>
      <w:r w:rsidR="004C74DC">
        <w:t>Indeed</w:t>
      </w:r>
      <w:r w:rsidR="00BC3018">
        <w:t>,</w:t>
      </w:r>
      <w:r w:rsidR="004C74DC">
        <w:t xml:space="preserve">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923A5D">
        <w:t>Table 2</w:t>
      </w:r>
      <w:r w:rsidR="00C55CE7">
        <w:t xml:space="preserve">; </w:t>
      </w:r>
      <w:r w:rsidR="00923A5D">
        <w:t>Supp. Table 2</w:t>
      </w:r>
      <w:r w:rsidR="00C55CE7">
        <w:t>;</w:t>
      </w:r>
      <w:r w:rsidR="00BF1A19">
        <w:t>)</w:t>
      </w:r>
      <w:r w:rsidR="00B4657C">
        <w:t>,</w:t>
      </w:r>
      <w:r w:rsidR="004C74DC">
        <w:t xml:space="preserve"> supporting their ability to capture functionally related genes (</w:t>
      </w:r>
      <w:r w:rsidR="00482BFA">
        <w:t xml:space="preserve">See </w:t>
      </w:r>
      <w:r w:rsidR="00923A5D">
        <w:t>Discussion</w:t>
      </w:r>
      <w:r w:rsidR="00C55CE7">
        <w:t>,</w:t>
      </w:r>
      <w:r w:rsidR="00482BFA">
        <w:t xml:space="preserve"> </w:t>
      </w:r>
      <w:r w:rsidR="00923A5D">
        <w:t>Supplementary Text</w:t>
      </w:r>
      <w:r w:rsidR="00C55CE7">
        <w:t xml:space="preserve"> and </w:t>
      </w:r>
      <w:r w:rsidR="00923A5D">
        <w:t>Supp. Table 3</w:t>
      </w:r>
      <w:r w:rsidR="004C74DC">
        <w:t>).</w:t>
      </w:r>
      <w:r w:rsidR="00BF1A19">
        <w:t xml:space="preserve"> </w:t>
      </w:r>
    </w:p>
    <w:tbl>
      <w:tblPr>
        <w:tblW w:w="9342" w:type="dxa"/>
        <w:tblLook w:val="04A0" w:firstRow="1" w:lastRow="0" w:firstColumn="1" w:lastColumn="0" w:noHBand="0" w:noVBand="1"/>
      </w:tblPr>
      <w:tblGrid>
        <w:gridCol w:w="920"/>
        <w:gridCol w:w="2172"/>
        <w:gridCol w:w="1869"/>
        <w:gridCol w:w="4381"/>
      </w:tblGrid>
      <w:tr w:rsidR="005D6AB5" w:rsidRPr="005D6AB5" w14:paraId="1C93EB36" w14:textId="77777777" w:rsidTr="005D6AB5">
        <w:trPr>
          <w:trHeight w:val="302"/>
        </w:trPr>
        <w:tc>
          <w:tcPr>
            <w:tcW w:w="920" w:type="dxa"/>
            <w:tcBorders>
              <w:top w:val="single" w:sz="4" w:space="0" w:color="808080"/>
              <w:left w:val="single" w:sz="4" w:space="0" w:color="808080"/>
              <w:bottom w:val="nil"/>
              <w:right w:val="single" w:sz="4" w:space="0" w:color="808080"/>
            </w:tcBorders>
            <w:shd w:val="clear" w:color="000000" w:fill="E7E6E6"/>
            <w:noWrap/>
            <w:vAlign w:val="bottom"/>
            <w:hideMark/>
          </w:tcPr>
          <w:p w14:paraId="30C3B0FE"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8422" w:type="dxa"/>
            <w:gridSpan w:val="3"/>
            <w:tcBorders>
              <w:top w:val="single" w:sz="4" w:space="0" w:color="808080"/>
              <w:left w:val="nil"/>
              <w:bottom w:val="single" w:sz="4" w:space="0" w:color="808080"/>
              <w:right w:val="single" w:sz="4" w:space="0" w:color="808080"/>
            </w:tcBorders>
            <w:shd w:val="clear" w:color="000000" w:fill="E7E6E6"/>
            <w:noWrap/>
            <w:vAlign w:val="bottom"/>
            <w:hideMark/>
          </w:tcPr>
          <w:p w14:paraId="5E69D16B"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Network Clusters</w:t>
            </w:r>
          </w:p>
        </w:tc>
      </w:tr>
      <w:tr w:rsidR="005D6AB5" w:rsidRPr="005D6AB5" w14:paraId="0D0AD32A" w14:textId="77777777" w:rsidTr="005D6AB5">
        <w:trPr>
          <w:trHeight w:val="302"/>
        </w:trPr>
        <w:tc>
          <w:tcPr>
            <w:tcW w:w="920" w:type="dxa"/>
            <w:tcBorders>
              <w:top w:val="nil"/>
              <w:left w:val="single" w:sz="4" w:space="0" w:color="808080"/>
              <w:bottom w:val="nil"/>
              <w:right w:val="single" w:sz="4" w:space="0" w:color="808080"/>
            </w:tcBorders>
            <w:shd w:val="clear" w:color="000000" w:fill="E7E6E6"/>
            <w:noWrap/>
            <w:vAlign w:val="bottom"/>
            <w:hideMark/>
          </w:tcPr>
          <w:p w14:paraId="71B33B5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 </w:t>
            </w:r>
          </w:p>
        </w:tc>
        <w:tc>
          <w:tcPr>
            <w:tcW w:w="2172" w:type="dxa"/>
            <w:tcBorders>
              <w:top w:val="nil"/>
              <w:left w:val="nil"/>
              <w:bottom w:val="nil"/>
              <w:right w:val="single" w:sz="4" w:space="0" w:color="808080"/>
            </w:tcBorders>
            <w:shd w:val="clear" w:color="000000" w:fill="E7E6E6"/>
            <w:noWrap/>
            <w:vAlign w:val="bottom"/>
            <w:hideMark/>
          </w:tcPr>
          <w:p w14:paraId="03F7CEA6"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 (10 ≥ n &gt; 100)</w:t>
            </w:r>
          </w:p>
        </w:tc>
        <w:tc>
          <w:tcPr>
            <w:tcW w:w="1869" w:type="dxa"/>
            <w:tcBorders>
              <w:top w:val="nil"/>
              <w:left w:val="nil"/>
              <w:bottom w:val="nil"/>
              <w:right w:val="single" w:sz="4" w:space="0" w:color="808080"/>
            </w:tcBorders>
            <w:shd w:val="clear" w:color="000000" w:fill="E7E6E6"/>
            <w:noWrap/>
            <w:vAlign w:val="bottom"/>
            <w:hideMark/>
          </w:tcPr>
          <w:p w14:paraId="54BF7492" w14:textId="77777777"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Clusters: (n ≥ 100)</w:t>
            </w:r>
          </w:p>
        </w:tc>
        <w:tc>
          <w:tcPr>
            <w:tcW w:w="4381" w:type="dxa"/>
            <w:tcBorders>
              <w:top w:val="nil"/>
              <w:left w:val="nil"/>
              <w:bottom w:val="nil"/>
              <w:right w:val="single" w:sz="4" w:space="0" w:color="808080"/>
            </w:tcBorders>
            <w:shd w:val="clear" w:color="000000" w:fill="E7E6E6"/>
            <w:noWrap/>
            <w:vAlign w:val="bottom"/>
            <w:hideMark/>
          </w:tcPr>
          <w:p w14:paraId="4FE7DCB4" w14:textId="6290D7C5" w:rsidR="005D6AB5" w:rsidRPr="005D6AB5" w:rsidRDefault="005D6AB5" w:rsidP="005D6AB5">
            <w:pPr>
              <w:spacing w:after="0" w:line="240" w:lineRule="auto"/>
              <w:jc w:val="center"/>
              <w:rPr>
                <w:rFonts w:ascii="Calibri" w:eastAsia="Times New Roman" w:hAnsi="Calibri" w:cs="Times New Roman"/>
                <w:color w:val="000000"/>
                <w:sz w:val="22"/>
              </w:rPr>
            </w:pPr>
            <w:r w:rsidRPr="005D6AB5">
              <w:rPr>
                <w:rFonts w:ascii="Calibri" w:eastAsia="Times New Roman" w:hAnsi="Calibri" w:cs="Times New Roman"/>
                <w:color w:val="000000"/>
                <w:sz w:val="22"/>
              </w:rPr>
              <w:t>Num Cl</w:t>
            </w:r>
            <w:r w:rsidR="007455F7">
              <w:rPr>
                <w:rFonts w:ascii="Calibri" w:eastAsia="Times New Roman" w:hAnsi="Calibri" w:cs="Times New Roman"/>
                <w:color w:val="000000"/>
                <w:sz w:val="22"/>
              </w:rPr>
              <w:t xml:space="preserve">usters (n ≥ 10) Enriched </w:t>
            </w:r>
            <w:r w:rsidRPr="005D6AB5">
              <w:rPr>
                <w:rFonts w:ascii="Calibri" w:eastAsia="Times New Roman" w:hAnsi="Calibri" w:cs="Times New Roman"/>
                <w:color w:val="000000"/>
                <w:sz w:val="22"/>
              </w:rPr>
              <w:t>for GO Terms (p ≤ 0.01)</w:t>
            </w:r>
          </w:p>
        </w:tc>
      </w:tr>
      <w:tr w:rsidR="005D6AB5" w:rsidRPr="005D6AB5" w14:paraId="7263217F"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353A9B4"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ZmPAN</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6BA2481D"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76</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BB565C3"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18</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090DD2F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71</w:t>
            </w:r>
          </w:p>
        </w:tc>
      </w:tr>
      <w:tr w:rsidR="005D6AB5" w:rsidRPr="005D6AB5" w14:paraId="2663F407" w14:textId="77777777" w:rsidTr="005D6AB5">
        <w:trPr>
          <w:trHeight w:val="302"/>
        </w:trPr>
        <w:tc>
          <w:tcPr>
            <w:tcW w:w="920" w:type="dxa"/>
            <w:tcBorders>
              <w:top w:val="nil"/>
              <w:left w:val="single" w:sz="4" w:space="0" w:color="auto"/>
              <w:bottom w:val="single" w:sz="4" w:space="0" w:color="auto"/>
              <w:right w:val="single" w:sz="4" w:space="0" w:color="auto"/>
            </w:tcBorders>
            <w:shd w:val="clear" w:color="000000" w:fill="FFFFFF"/>
            <w:noWrap/>
            <w:vAlign w:val="bottom"/>
            <w:hideMark/>
          </w:tcPr>
          <w:p w14:paraId="6009082F"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ZmSAM</w:t>
            </w:r>
          </w:p>
        </w:tc>
        <w:tc>
          <w:tcPr>
            <w:tcW w:w="2172" w:type="dxa"/>
            <w:tcBorders>
              <w:top w:val="nil"/>
              <w:left w:val="nil"/>
              <w:bottom w:val="single" w:sz="4" w:space="0" w:color="auto"/>
              <w:right w:val="single" w:sz="4" w:space="0" w:color="auto"/>
            </w:tcBorders>
            <w:shd w:val="clear" w:color="000000" w:fill="FFFFFF"/>
            <w:noWrap/>
            <w:vAlign w:val="bottom"/>
            <w:hideMark/>
          </w:tcPr>
          <w:p w14:paraId="558BE77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160</w:t>
            </w:r>
          </w:p>
        </w:tc>
        <w:tc>
          <w:tcPr>
            <w:tcW w:w="1869" w:type="dxa"/>
            <w:tcBorders>
              <w:top w:val="nil"/>
              <w:left w:val="nil"/>
              <w:bottom w:val="single" w:sz="4" w:space="0" w:color="auto"/>
              <w:right w:val="single" w:sz="4" w:space="0" w:color="auto"/>
            </w:tcBorders>
            <w:shd w:val="clear" w:color="000000" w:fill="FFFFFF"/>
            <w:noWrap/>
            <w:vAlign w:val="bottom"/>
            <w:hideMark/>
          </w:tcPr>
          <w:p w14:paraId="733A90E5"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nil"/>
              <w:left w:val="nil"/>
              <w:bottom w:val="single" w:sz="4" w:space="0" w:color="auto"/>
              <w:right w:val="single" w:sz="4" w:space="0" w:color="auto"/>
            </w:tcBorders>
            <w:shd w:val="clear" w:color="000000" w:fill="FFFFFF"/>
            <w:noWrap/>
            <w:vAlign w:val="bottom"/>
            <w:hideMark/>
          </w:tcPr>
          <w:p w14:paraId="28D59FE6"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115</w:t>
            </w:r>
          </w:p>
        </w:tc>
      </w:tr>
      <w:tr w:rsidR="005D6AB5" w:rsidRPr="005D6AB5" w14:paraId="3C121AED" w14:textId="77777777" w:rsidTr="005D6AB5">
        <w:trPr>
          <w:trHeight w:val="302"/>
        </w:trPr>
        <w:tc>
          <w:tcPr>
            <w:tcW w:w="92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395703B"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ZmRoot</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14:paraId="76FF7068"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150</w:t>
            </w:r>
          </w:p>
        </w:tc>
        <w:tc>
          <w:tcPr>
            <w:tcW w:w="1869" w:type="dxa"/>
            <w:tcBorders>
              <w:top w:val="single" w:sz="4" w:space="0" w:color="auto"/>
              <w:left w:val="nil"/>
              <w:bottom w:val="single" w:sz="4" w:space="0" w:color="auto"/>
              <w:right w:val="single" w:sz="4" w:space="0" w:color="auto"/>
            </w:tcBorders>
            <w:shd w:val="clear" w:color="000000" w:fill="FFFFFF"/>
            <w:noWrap/>
            <w:vAlign w:val="bottom"/>
            <w:hideMark/>
          </w:tcPr>
          <w:p w14:paraId="408831FA"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w:t>
            </w:r>
          </w:p>
        </w:tc>
        <w:tc>
          <w:tcPr>
            <w:tcW w:w="4381" w:type="dxa"/>
            <w:tcBorders>
              <w:top w:val="single" w:sz="4" w:space="0" w:color="auto"/>
              <w:left w:val="nil"/>
              <w:bottom w:val="single" w:sz="4" w:space="0" w:color="auto"/>
              <w:right w:val="single" w:sz="4" w:space="0" w:color="auto"/>
            </w:tcBorders>
            <w:shd w:val="clear" w:color="000000" w:fill="FFFFFF"/>
            <w:noWrap/>
            <w:vAlign w:val="bottom"/>
            <w:hideMark/>
          </w:tcPr>
          <w:p w14:paraId="43F228C0" w14:textId="77777777"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106</w:t>
            </w:r>
          </w:p>
        </w:tc>
      </w:tr>
      <w:tr w:rsidR="005D6AB5" w:rsidRPr="005D6AB5" w14:paraId="69B2863A" w14:textId="77777777" w:rsidTr="005D6AB5">
        <w:trPr>
          <w:trHeight w:val="302"/>
        </w:trPr>
        <w:tc>
          <w:tcPr>
            <w:tcW w:w="934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5861EDC3" w14:textId="1DB53253" w:rsidR="005D6AB5" w:rsidRPr="005D6AB5" w:rsidRDefault="005D6AB5" w:rsidP="005D6AB5">
            <w:pPr>
              <w:spacing w:after="0" w:line="240" w:lineRule="auto"/>
              <w:jc w:val="left"/>
              <w:rPr>
                <w:rFonts w:ascii="Calibri" w:eastAsia="Times New Roman" w:hAnsi="Calibri" w:cs="Times New Roman"/>
                <w:b/>
                <w:color w:val="000000"/>
                <w:sz w:val="22"/>
              </w:rPr>
            </w:pPr>
            <w:r w:rsidRPr="005D6AB5">
              <w:rPr>
                <w:rFonts w:ascii="Calibri" w:eastAsia="Times New Roman" w:hAnsi="Calibri" w:cs="Times New Roman"/>
                <w:b/>
                <w:color w:val="000000"/>
                <w:sz w:val="22"/>
              </w:rPr>
              <w:t>Table 2. Gene co-expression network cluster assignments</w:t>
            </w:r>
          </w:p>
          <w:p w14:paraId="6DD6EF98" w14:textId="3FEB2935" w:rsidR="005D6AB5" w:rsidRPr="005D6AB5" w:rsidRDefault="005D6AB5" w:rsidP="005D6AB5">
            <w:pPr>
              <w:spacing w:after="0" w:line="240" w:lineRule="auto"/>
              <w:jc w:val="left"/>
              <w:rPr>
                <w:rFonts w:ascii="Calibri" w:eastAsia="Times New Roman" w:hAnsi="Calibri" w:cs="Times New Roman"/>
                <w:color w:val="000000"/>
                <w:sz w:val="22"/>
              </w:rPr>
            </w:pPr>
            <w:r w:rsidRPr="005D6AB5">
              <w:rPr>
                <w:rFonts w:ascii="Calibri" w:eastAsia="Times New Roman" w:hAnsi="Calibri" w:cs="Times New Roman"/>
                <w:color w:val="000000"/>
                <w:sz w:val="22"/>
              </w:rPr>
              <w:t>Gene clusters were calculated by running the Markov Cluster (MCL) algorithm on the co-expression matrix. Cluster values designate network specific gene clusters and are not compared across networks.</w:t>
            </w:r>
          </w:p>
        </w:tc>
      </w:tr>
    </w:tbl>
    <w:p w14:paraId="148ADABD" w14:textId="77777777" w:rsidR="005D6AB5" w:rsidRDefault="005D6AB5" w:rsidP="001C401A"/>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3D6F0FAE"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923A5D">
        <w:t>Figure 2</w:t>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923A5D">
        <w:t>Figure 2</w:t>
      </w:r>
      <w:r w:rsidR="008D33AC">
        <w:t xml:space="preserve"> </w:t>
      </w:r>
      <w:r w:rsidR="00493EDC">
        <w:t>inset).</w:t>
      </w:r>
    </w:p>
    <w:p w14:paraId="1803AF10" w14:textId="54A8FA8E"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923A5D">
        <w:t>Methods</w:t>
      </w:r>
      <w:r w:rsidR="008137BA">
        <w:t>)</w:t>
      </w:r>
      <w:r>
        <w:t>.</w:t>
      </w:r>
    </w:p>
    <w:p w14:paraId="605FA8FD" w14:textId="77777777" w:rsidR="00F32D68" w:rsidRDefault="00F32D68" w:rsidP="00BF2EBE">
      <w:pPr>
        <w:pStyle w:val="Heading3"/>
      </w:pPr>
      <w:r>
        <w:t>Evaluation of the Camoco framework</w:t>
      </w:r>
    </w:p>
    <w:p w14:paraId="50E2EA3F" w14:textId="1676BCC6"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923A5D">
        <w:t>Figure 3</w:t>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A01009" w:rsidRPr="00A01009">
        <w:rPr>
          <w:noProof/>
        </w:rPr>
        <w:t xml:space="preserve"> (Wallace et al., 2014)</w:t>
      </w:r>
      <w:r w:rsidR="00C81430">
        <w:t>.</w:t>
      </w:r>
    </w:p>
    <w:p w14:paraId="2C4141CA" w14:textId="3AE4F0A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923A5D">
        <w:t>Figure 3</w:t>
      </w:r>
      <w:r w:rsidR="00126FBB" w:rsidRPr="008967F3">
        <w:t>B</w:t>
      </w:r>
      <w:r w:rsidR="005364E4">
        <w:t xml:space="preserve">; </w:t>
      </w:r>
      <w:r w:rsidR="00923A5D">
        <w:t>Eq. 5</w:t>
      </w:r>
      <w:r w:rsidR="00126FBB">
        <w:t>)</w:t>
      </w:r>
      <w:r w:rsidR="00066CFC">
        <w:t>.</w:t>
      </w:r>
    </w:p>
    <w:p w14:paraId="5E85A01F" w14:textId="67B5702C"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923A5D">
        <w:t>Figure 3</w:t>
      </w:r>
      <w:r w:rsidR="00126FBB" w:rsidRPr="008967F3">
        <w:t>C</w:t>
      </w:r>
      <w:r w:rsidR="005364E4">
        <w:t xml:space="preserve">; </w:t>
      </w:r>
      <w:r w:rsidR="00923A5D">
        <w:t>Eq. 6</w:t>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744099F1"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923A5D">
        <w:t>Table 1</w:t>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09CD07F"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923A5D">
        <w:t>Supp. Table 4</w:t>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rsidR="00923A5D">
        <w:t>Figure 4</w:t>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923A5D">
        <w:t>Supp. Figure 4</w:t>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993E70F"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923A5D">
        <w:t>Figure 4</w:t>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77092D94"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7455F7">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923A5D">
        <w:t>Supp. Figure 4</w:t>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171AB13E"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923A5D">
        <w:t>Supp. Table 4</w:t>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923A5D">
        <w:t>Methods</w:t>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923A5D">
        <w:t>Figure 5</w:t>
      </w:r>
      <w:r w:rsidR="00675CBA">
        <w:t>)</w:t>
      </w:r>
      <w:r w:rsidR="00F30EC0">
        <w:t>.</w:t>
      </w:r>
    </w:p>
    <w:p w14:paraId="1B11A57A" w14:textId="507709C9"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923A5D">
        <w:t>Figure 5</w:t>
      </w:r>
      <w:r w:rsidR="003F6E01">
        <w:t xml:space="preserve"> box</w:t>
      </w:r>
      <w:r w:rsidR="00E66D9D">
        <w:t xml:space="preserve"> </w:t>
      </w:r>
      <w:r w:rsidR="003F6E01">
        <w:t>plots)</w:t>
      </w:r>
      <w:r w:rsidR="0018098B">
        <w:t>.</w:t>
      </w:r>
    </w:p>
    <w:p w14:paraId="0F05FE68" w14:textId="072B07F0"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23A5D">
        <w:t>Figure 5</w:t>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923A5D">
        <w:t>Supp. Figure 5</w:t>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740048F4"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923A5D">
        <w:t>Supp. Figure 5</w:t>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07BF4EB7"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923A5D">
        <w:t>Discussion</w:t>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21982A07"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A01009" w:rsidRPr="00A01009">
        <w:rPr>
          <w:noProof/>
        </w:rPr>
        <w:t xml:space="preserve"> (Baxter and Dilkes, 2012)</w:t>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A01009" w:rsidRPr="00A01009">
        <w:rPr>
          <w:noProof/>
        </w:rPr>
        <w:t xml:space="preserve"> (Ziegler et al., 2017)</w:t>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A01009" w:rsidRPr="00A01009">
        <w:rPr>
          <w:noProof/>
        </w:rPr>
        <w:t xml:space="preserve"> (McMullen et al., 2009)</w:t>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01009" w:rsidRPr="00A01009">
        <w:rPr>
          <w:noProof/>
        </w:rPr>
        <w:t xml:space="preserve"> (Valdar et al., 2009)</w:t>
      </w:r>
      <w:r w:rsidR="006B0F7A">
        <w:t xml:space="preserve"> </w:t>
      </w:r>
      <w:r w:rsidR="007A5D68">
        <w:t xml:space="preserve">(RMIP ≤ 0.05; </w:t>
      </w:r>
      <w:r w:rsidR="009430F6">
        <w:t>s</w:t>
      </w:r>
      <w:r w:rsidR="007A5D68">
        <w:t>ee</w:t>
      </w:r>
      <w:r w:rsidR="002316F5">
        <w:t xml:space="preserve"> </w:t>
      </w:r>
      <w:r w:rsidR="00923A5D">
        <w:t>Methods</w:t>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923A5D">
        <w:t>Figure 1</w:t>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23A5D">
        <w:t>Supp. Table 5</w:t>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23A5D">
        <w:t>Methods</w:t>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923A5D">
        <w:t>Methods</w:t>
      </w:r>
      <w:r w:rsidR="00A5397A">
        <w:t>)</w:t>
      </w:r>
      <w:r w:rsidR="0099736B">
        <w:t>.</w:t>
      </w:r>
    </w:p>
    <w:p w14:paraId="58CD5500" w14:textId="264ECDF3"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923A5D">
        <w:t>Figure 1</w:t>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923A5D">
        <w:t>Supp. Table 6</w:t>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923A5D">
        <w:t>Supp. Table 7</w:t>
      </w:r>
      <w:r w:rsidR="001D7079">
        <w:t xml:space="preserve"> and </w:t>
      </w:r>
      <w:r w:rsidR="00923A5D">
        <w:t>Methods</w:t>
      </w:r>
      <w:r>
        <w:t>).</w:t>
      </w:r>
    </w:p>
    <w:p w14:paraId="403832D9" w14:textId="1C8D51FB"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923A5D">
        <w:t>Figure 6</w:t>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923A5D">
        <w:t>Figure 1</w:t>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1C8766EA"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923A5D">
        <w:t>Supp. Table 7</w:t>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923A5D">
        <w:t>Supp. Table 7</w:t>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923A5D">
        <w:t>Supp. Table 7</w:t>
      </w:r>
      <w:r w:rsidR="00D277DD">
        <w:t>). The relative strength of the different networks for discovering candidate causal genes was consistent even at stricter FDR thresholds (e.g.</w:t>
      </w:r>
      <w:r w:rsidR="000131BB">
        <w:t>,</w:t>
      </w:r>
      <w:r w:rsidR="00D277DD">
        <w:t xml:space="preserve"> FDR ≤ 0.10; </w:t>
      </w:r>
      <w:r w:rsidR="00923A5D">
        <w:t>Supp. Table 7</w:t>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67E3EB34"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923A5D" w:rsidRPr="00671BC3">
        <w:rPr>
          <w:rFonts w:eastAsiaTheme="minorEastAsia"/>
        </w:rPr>
        <w:t>Eq. 3</w:t>
      </w:r>
      <w:r w:rsidR="00F11BB0">
        <w:t xml:space="preserve"> and </w:t>
      </w:r>
      <w:r w:rsidR="00923A5D">
        <w:t>Eq. 4</w:t>
      </w:r>
      <w:r w:rsidR="00F11BB0">
        <w:t>)</w:t>
      </w:r>
      <w:r w:rsidR="000166ED" w:rsidRPr="000166ED">
        <w:t xml:space="preserve"> </w:t>
      </w:r>
      <w:r w:rsidR="000166ED">
        <w:t xml:space="preserve">(see </w:t>
      </w:r>
      <w:r w:rsidR="00923A5D" w:rsidRPr="009E63D3">
        <w:rPr>
          <w:bCs/>
        </w:rPr>
        <w:t>Figure</w:t>
      </w:r>
      <w:r w:rsidR="00923A5D">
        <w:t xml:space="preserve"> 6</w:t>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923A5D">
        <w:t>Supp. Figure 6</w:t>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23A5D">
        <w:t>Supp. Table 8</w:t>
      </w:r>
      <w:r w:rsidR="007D11EE">
        <w:t xml:space="preserve">, </w:t>
      </w:r>
      <w:r w:rsidR="00B840AF">
        <w:t>s</w:t>
      </w:r>
      <w:r w:rsidR="00F301D2">
        <w:t xml:space="preserve">ee </w:t>
      </w:r>
      <w:r w:rsidR="00923A5D">
        <w:t>Discussion</w:t>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923A5D">
        <w:t>Supp. Figure 7</w:t>
      </w:r>
      <w:r w:rsidR="00493C19">
        <w:t xml:space="preserve">; </w:t>
      </w:r>
      <w:r w:rsidR="00923A5D">
        <w:t>Supp. Table 9</w:t>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5D3844D9"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923A5D">
        <w:t>Supp. Table 10</w:t>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923A5D">
        <w:t>Supplementary Text</w:t>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923A5D">
        <w:t>Supplementary Text</w:t>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923A5D">
        <w:t>Supp. Figure 8</w:t>
      </w:r>
      <w:r w:rsidR="00616384">
        <w:t xml:space="preserve">; </w:t>
      </w:r>
      <w:r w:rsidR="00923A5D">
        <w:t>Supp. Table 11</w:t>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34E5C0E2"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923A5D">
        <w:t>Supplementary Text</w:t>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A01009" w:rsidRPr="00A01009">
        <w:rPr>
          <w:noProof/>
        </w:rPr>
        <w:t xml:space="preserve"> (Baxter et al., 2014)</w:t>
      </w:r>
      <w:r w:rsidR="00982666">
        <w:t xml:space="preserve"> </w:t>
      </w:r>
      <w:r w:rsidR="00404981">
        <w:t xml:space="preserve">which </w:t>
      </w:r>
      <w:r w:rsidR="00404981" w:rsidRPr="007C768D">
        <w:t>was present among the HPO genes for Se accumulation (</w:t>
      </w:r>
      <w:r w:rsidR="00923A5D">
        <w:t>Supp. Table 7</w:t>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086059" w:rsidRPr="00086059">
        <w:rPr>
          <w:noProof/>
        </w:rPr>
        <w:t xml:space="preserve"> (Baxter, 2003)</w:t>
      </w:r>
      <w:r w:rsidR="00404981">
        <w:t>, an ABC transporter homolog of the family involved in organic acid secretion in the roots from the As HPO set (GRMZM2G415529; ZmRoot-As)</w:t>
      </w:r>
      <w:r w:rsidR="00A01009" w:rsidRPr="00A01009">
        <w:rPr>
          <w:noProof/>
        </w:rPr>
        <w:t xml:space="preserve"> (Badri et al., 2007)</w:t>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 w:name="_Ref469995568"/>
    </w:p>
    <w:p w14:paraId="3A3B2874" w14:textId="717DC52B" w:rsidR="00A36B70" w:rsidRPr="00EB61E4" w:rsidRDefault="00D313DD" w:rsidP="00416E74">
      <w:pPr>
        <w:pStyle w:val="Heading2"/>
      </w:pPr>
      <w:r>
        <w:t xml:space="preserve">Mutant analysis validates </w:t>
      </w:r>
      <w:r w:rsidR="00A36B70">
        <w:t>GA-signaling DELLA domain transcription factors influence the maize</w:t>
      </w:r>
      <w:r>
        <w:t xml:space="preserve"> ionome</w:t>
      </w:r>
    </w:p>
    <w:p w14:paraId="0A8BC6D5" w14:textId="4CA7F2BD" w:rsidR="00A36B70" w:rsidRPr="003C45F2" w:rsidRDefault="00A36B70" w:rsidP="003C45F2">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00A01009" w:rsidRPr="00A01009">
        <w:rPr>
          <w:noProof/>
        </w:rPr>
        <w:t xml:space="preserve"> (Winkler and Freeling, 1994)</w:t>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rsidR="00A01009" w:rsidRPr="00A01009">
        <w:rPr>
          <w:noProof/>
        </w:rPr>
        <w:t xml:space="preserve"> (Lawit et al., 2010)</w:t>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923A5D">
        <w:t>Figure 7</w:t>
      </w:r>
      <w:r w:rsidR="00E612E0">
        <w:t xml:space="preserve">; See </w:t>
      </w:r>
      <w:r w:rsidR="00923A5D">
        <w:t>Supplementary Text</w:t>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r w:rsidR="003C45F2" w:rsidRPr="003C45F2">
        <w:t>Given the indistinguishable phenotypes of the known dominant mutants of d8 and d9, the most likely explanation for this result is that there was allelic variation for d9 but not d8 in the GWAS panel. These results suggested that GA signaling in the roots might shape the ionome and alters the accumulation of Cd in seeds, with potential impacts on human health.</w:t>
      </w:r>
    </w:p>
    <w:p w14:paraId="2F578C68" w14:textId="0236F172" w:rsidR="00A36B70" w:rsidRDefault="00A36B70" w:rsidP="001C401A">
      <w:r>
        <w:t>To test for an impact of GA signaling on the ionome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rsidR="00A01009" w:rsidRPr="00A01009">
        <w:rPr>
          <w:noProof/>
        </w:rPr>
        <w:t xml:space="preserve"> (Winkler and Freeling, 1994)</w:t>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rsidR="00923A5D">
        <w:t>Figure 8</w:t>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rsidR="00923A5D">
        <w:t>Figure 8</w:t>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rsidR="00537026" w:rsidRPr="00537026">
        <w:rPr>
          <w:noProof/>
        </w:rPr>
        <w:t>(Wang et al., 2009; QTeller, 2018)</w:t>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rsidR="00A01009" w:rsidRPr="00A01009">
        <w:rPr>
          <w:noProof/>
        </w:rPr>
        <w:t xml:space="preserve"> (Asaro et al., 2016)</w:t>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51A5F3F"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 in particular, seed Cd levels (</w:t>
      </w:r>
      <w:r w:rsidR="002F5D17">
        <w:t xml:space="preserve">See </w:t>
      </w:r>
      <w:r w:rsidR="00923A5D">
        <w:t>Supplementary Text</w:t>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r w:rsidR="00C24E8E">
        <w:t>m</w:t>
      </w:r>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0E78932B" w:rsidR="00B01217" w:rsidRDefault="00B01217" w:rsidP="00B01217">
      <w:r>
        <w:t>To assess the generalizability of our approach, we applied it to a separate collection of GWA studies surveying a compendium of phenotypes using the maize NAM population (</w:t>
      </w:r>
      <w:r w:rsidR="00923A5D">
        <w:t>Supp. Table 12</w:t>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923A5D">
        <w:t>Supp. Table 12</w:t>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923A5D">
        <w:t>Supp. Table 13</w:t>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923A5D">
        <w:t>Supp. Table 14</w:t>
      </w:r>
      <w:r>
        <w:t>.</w:t>
      </w:r>
    </w:p>
    <w:p w14:paraId="21AF53E8" w14:textId="77777777" w:rsidR="00B01217" w:rsidRPr="0089389D" w:rsidRDefault="00B01217" w:rsidP="001C401A"/>
    <w:p w14:paraId="7C3163BA" w14:textId="0513B005" w:rsidR="006B33EA" w:rsidRDefault="006B33EA" w:rsidP="001C401A">
      <w:pPr>
        <w:pStyle w:val="Heading1"/>
      </w:pPr>
      <w:bookmarkStart w:id="8" w:name="_Ref487125611"/>
      <w:r>
        <w:t>Discussion</w:t>
      </w:r>
      <w:bookmarkEnd w:id="7"/>
      <w:bookmarkEnd w:id="8"/>
    </w:p>
    <w:p w14:paraId="0DCBCE29" w14:textId="6BB0D735"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A01009" w:rsidRPr="00A01009">
        <w:rPr>
          <w:noProof/>
        </w:rPr>
        <w:t xml:space="preserve"> (Clark et al., 2006; Castelletti et al., 2014; Louwers et al., 2009)</w:t>
      </w:r>
      <w:r w:rsidR="004C123B" w:rsidRPr="008446EC">
        <w:t>.</w:t>
      </w:r>
      <w:r w:rsidR="00624A03">
        <w:t xml:space="preserve"> Previous studies in maize found that while LD decays rapidly in maize (~1 kb), the variance can be large due to the functional allele segregating in a small number of lines</w:t>
      </w:r>
      <w:r w:rsidR="00A01009" w:rsidRPr="00A01009">
        <w:rPr>
          <w:noProof/>
        </w:rPr>
        <w:t xml:space="preserve"> (Wallace et al., 2014)</w:t>
      </w:r>
      <w:r w:rsidR="00624A03">
        <w:t>. Additionally, Wallace et al. showed that the causal polymorphism is likely to reside in regulatory regions, that is, outside of exonic regions</w:t>
      </w:r>
      <w:r w:rsidR="00A01009" w:rsidRPr="00A01009">
        <w:rPr>
          <w:noProof/>
        </w:rPr>
        <w:t xml:space="preserve"> (Wallace et al., 2014)</w:t>
      </w:r>
      <w:r w:rsidR="00624A03">
        <w:t>.</w:t>
      </w:r>
      <w:r w:rsidR="004C123B">
        <w:t xml:space="preserve"> </w:t>
      </w:r>
    </w:p>
    <w:p w14:paraId="5CFCE05C" w14:textId="4116742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4A6CC7">
        <w:t>Supp. Figure 9</w:t>
      </w:r>
      <w:r w:rsidR="00E418AD" w:rsidRPr="00134E49">
        <w:t>)</w:t>
      </w:r>
      <w:r w:rsidR="000272DE">
        <w:t>. These genes would likely not have been identified using the common approach of prioritizing the genes closest to each marker SNP</w:t>
      </w:r>
      <w:r w:rsidR="00200098">
        <w:t>.</w:t>
      </w:r>
    </w:p>
    <w:p w14:paraId="2F54BABD" w14:textId="58E43E5A"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A01009" w:rsidRPr="00A01009">
        <w:rPr>
          <w:noProof/>
        </w:rPr>
        <w:t xml:space="preserve"> (Lee et al., 2010; Shim et al., 2017; Lee and Lee, 2018)</w:t>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481565A7"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Integrating GWAS data with co-expression networks resulted a set of 610 HPO genes that are primed for functional validation (1.5% of the maize FGS).</w:t>
      </w:r>
      <w:r>
        <w:t xml:space="preserve"> 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923A5D">
        <w:t>Supp. Table 6</w:t>
      </w:r>
      <w:r w:rsidR="00A61442">
        <w:t xml:space="preserve"> and </w:t>
      </w:r>
      <w:r w:rsidR="00923A5D">
        <w:t>Figure 6</w:t>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pPr>
      <w:r>
        <w:t>Relationship between Camoco and previous tools for GWAS analysis</w:t>
      </w:r>
    </w:p>
    <w:p w14:paraId="26E0E321" w14:textId="6D2F6C9F"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rsidRPr="00EA30E4">
        <w:rPr>
          <w:noProof/>
        </w:rPr>
        <w:t xml:space="preserve"> (Lee and Lee, 2018; Shim et al., 2017; Lee et al., 2011)</w:t>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p>
    <w:p w14:paraId="1C763591" w14:textId="4C3F9B66" w:rsidR="00641BC6" w:rsidRDefault="00641BC6" w:rsidP="00641BC6">
      <w:r>
        <w:t>Another series of papers describe the use of co-expression networks from ATTED-II to interpret GWAS results in Arabidopsis</w:t>
      </w:r>
      <w:r w:rsidR="009A295C" w:rsidRPr="009A295C">
        <w:rPr>
          <w:noProof/>
        </w:rPr>
        <w:t xml:space="preserve"> (Chan et al., 2011; Corwin et al., 2016)</w:t>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6342CC16" w:rsidR="00641BC6" w:rsidRDefault="00641BC6" w:rsidP="00641BC6">
      <w:pPr>
        <w:tabs>
          <w:tab w:val="left" w:pos="3720"/>
        </w:tabs>
      </w:pPr>
      <w:r>
        <w:t>We note that there has also been previous work integrating co-expression networks with GWA studies, focused on interpreting human traits</w:t>
      </w:r>
      <w:r w:rsidR="001D30C3" w:rsidRPr="001D30C3">
        <w:rPr>
          <w:noProof/>
        </w:rPr>
        <w:t xml:space="preserve"> (Baillie et al., 2018; Bunyavanich et al., 2014; Calabrese et al., 2017)</w:t>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p>
    <w:p w14:paraId="3F8252AE" w14:textId="77777777" w:rsidR="00641BC6" w:rsidRDefault="00641BC6" w:rsidP="00641BC6">
      <w:pPr>
        <w:tabs>
          <w:tab w:val="left" w:pos="3720"/>
        </w:tabs>
      </w:pPr>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394E4593"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923A5D">
        <w:t>Figure 5</w:t>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7C510EDD"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A01009" w:rsidRPr="00A01009">
        <w:rPr>
          <w:noProof/>
        </w:rPr>
        <w:t xml:space="preserve"> (McMullen et al., 2009)</w:t>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5D5E6DBF"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923A5D">
        <w:t>Table 1</w:t>
      </w:r>
      <w:r w:rsidR="005512E3">
        <w:t>)</w:t>
      </w:r>
      <w:r w:rsidR="00AE58B8">
        <w:t xml:space="preserve"> and had very similar network structure (</w:t>
      </w:r>
      <w:r w:rsidR="00923A5D">
        <w:t>Table 2</w:t>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23A5D">
        <w:t>Table 1</w:t>
      </w:r>
      <w:r w:rsidR="005512E3">
        <w:t>)</w:t>
      </w:r>
      <w:r>
        <w:t>, the actual GO terms that drove that</w:t>
      </w:r>
      <w:r w:rsidR="002904EB">
        <w:t xml:space="preserve"> </w:t>
      </w:r>
      <w:r>
        <w:t>enrichment are quite different (</w:t>
      </w:r>
      <w:r w:rsidR="00923A5D">
        <w:t xml:space="preserve">Supp. </w:t>
      </w:r>
      <w:r w:rsidR="00923A5D" w:rsidRPr="006C60D0">
        <w:t>Table 1</w:t>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F243C0" w:rsidRPr="00F243C0">
        <w:rPr>
          <w:noProof/>
        </w:rPr>
        <w:t xml:space="preserve"> (Schaefer et al., 2014)</w:t>
      </w:r>
      <w:r w:rsidR="003F0DEB">
        <w:t xml:space="preserve">. </w:t>
      </w:r>
    </w:p>
    <w:p w14:paraId="759B5857" w14:textId="0D134D63"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923A5D">
        <w:t>Figure 6</w:t>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1229DAF1"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923A5D">
        <w:t>Figure 6</w:t>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923A5D">
        <w:t>Supp. Figure 6</w:t>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923A5D">
        <w:t>Table 1</w:t>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923A5D">
        <w:t>Supp. Table 8</w:t>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9" w:name="_Ref463088833"/>
      <w:r>
        <w:t>Methods</w:t>
      </w:r>
      <w:bookmarkEnd w:id="9"/>
    </w:p>
    <w:p w14:paraId="4DB9B098" w14:textId="77777777" w:rsidR="00134263" w:rsidRDefault="00134263" w:rsidP="00416E74">
      <w:pPr>
        <w:pStyle w:val="Heading2"/>
      </w:pPr>
      <w:r>
        <w:t>Availability of data and material</w:t>
      </w:r>
    </w:p>
    <w:p w14:paraId="454F547F" w14:textId="38F9166D" w:rsidR="00134263" w:rsidRPr="00134263" w:rsidRDefault="00134263" w:rsidP="00134263">
      <w:r>
        <w:t>Full GWAS information for all traits studied here are publically available from Ziegler et al.</w:t>
      </w:r>
      <w:r w:rsidR="00A01009" w:rsidRPr="00A01009">
        <w:rPr>
          <w:noProof/>
        </w:rPr>
        <w:t xml:space="preserve"> (Ziegler et al., 2017)</w:t>
      </w:r>
      <w:r>
        <w:t>. FPKM values from RNA-Seq data for the ZmSAM network was used from Stelpflug et al.</w:t>
      </w:r>
      <w:r w:rsidR="00A01009" w:rsidRPr="00A01009">
        <w:rPr>
          <w:noProof/>
        </w:rPr>
        <w:t xml:space="preserve"> (Stelpflug et al., 2015)</w:t>
      </w:r>
      <w:r>
        <w:t xml:space="preserve">. FPKM values for the ZmPAN network is available from Hirsch et al. </w:t>
      </w:r>
      <w:r w:rsidR="00A01009" w:rsidRPr="00A01009">
        <w:rPr>
          <w:noProof/>
        </w:rPr>
        <w:t>(Hirsch et al., 2014)</w:t>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457ECC90"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086059" w:rsidRPr="00086059">
        <w:rPr>
          <w:noProof/>
        </w:rPr>
        <w:t xml:space="preserve"> (Camoco Software Repository, 2018)</w:t>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6A239576"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00923A5D">
        <w:t>Supp. Figure 1</w:t>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rsidR="00923A5D">
        <w:t>Supp. Figure 1</w:t>
      </w:r>
      <w:r w:rsidR="009833DF">
        <w:t>B</w:t>
      </w:r>
      <w:r w:rsidRPr="0077751E">
        <w:t>)</w:t>
      </w:r>
      <w:r w:rsidR="00F243C0" w:rsidRPr="00F243C0">
        <w:rPr>
          <w:noProof/>
        </w:rPr>
        <w:t xml:space="preserve"> (Huttenhower et al., 2006; Schaefer et al., 2014)</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2F254E7"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rsidR="00923A5D">
        <w:t>Supp. Figure 1</w:t>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rsidR="00923A5D">
        <w:t>Supp. Figure 1</w:t>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rsidR="00A01009" w:rsidRPr="00A01009">
        <w:rPr>
          <w:noProof/>
        </w:rPr>
        <w:t xml:space="preserve"> (Ghazalpour et al., 2006)</w:t>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72FDDE09" w:rsidR="00DF6622" w:rsidRPr="00456B26" w:rsidRDefault="00BF0C79" w:rsidP="001C401A">
      <w:r>
        <w:t xml:space="preserve">Publicly available gene expression data </w:t>
      </w:r>
      <w:r w:rsidR="0046474E">
        <w:t>were</w:t>
      </w:r>
      <w:r>
        <w:t xml:space="preserve"> generated from Stelpflug et al</w:t>
      </w:r>
      <w:r w:rsidR="00A01009" w:rsidRPr="00A01009">
        <w:rPr>
          <w:noProof/>
        </w:rPr>
        <w:t xml:space="preserve"> (Stelpflug et al., 2015)</w:t>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59045A8" w:rsidR="00101EAA" w:rsidRPr="00456B26" w:rsidRDefault="00923A5D" w:rsidP="001C401A">
      <w:r>
        <w:t>Supp. Figure 2</w:t>
      </w:r>
      <w:r w:rsidR="00D5044D">
        <w:t xml:space="preserve">A shows </w:t>
      </w:r>
      <w:r w:rsidR="000F6DE2">
        <w:t>the distribution of</w:t>
      </w:r>
      <w:r w:rsidR="00DF6622" w:rsidRPr="004E79F7">
        <w:t xml:space="preserve"> edge scores </w:t>
      </w:r>
      <w:r w:rsidR="00D5044D">
        <w:t>before</w:t>
      </w:r>
      <w:r w:rsidR="00DF6622" w:rsidRPr="004E79F7">
        <w:t xml:space="preserve"> </w:t>
      </w:r>
      <w:r w:rsidR="000F6DE2">
        <w:t>they</w:t>
      </w:r>
      <w:r w:rsidR="00DF6622" w:rsidRPr="004E79F7">
        <w:t xml:space="preserve"> were</w:t>
      </w:r>
      <w:r w:rsidR="00233B7F">
        <w:t xml:space="preserve"> F</w:t>
      </w:r>
      <w:r w:rsidR="009B644B">
        <w:t xml:space="preserve">isher transformed </w:t>
      </w:r>
      <w:r w:rsidR="00DF6622" w:rsidRPr="004E79F7">
        <w:t>and standard normalized (</w:t>
      </w:r>
      <w:r>
        <w:t>Supp. Figure 2</w:t>
      </w:r>
      <w:r w:rsidR="00D5044D">
        <w:t>B</w:t>
      </w:r>
      <w:r w:rsidR="002670AF">
        <w:t>). The ZmSAM</w:t>
      </w:r>
      <w:r w:rsidR="00831A27">
        <w:t xml:space="preserve"> network shows a 10.8</w:t>
      </w:r>
      <w:r w:rsidR="00DF6622" w:rsidRPr="004E79F7">
        <w:t>-fold enrichment for strong edge scores (</w:t>
      </w:r>
      <w:r w:rsidR="00DF6622" w:rsidRPr="00323487">
        <w:rPr>
          <w:i/>
        </w:rPr>
        <w:t>p</w:t>
      </w:r>
      <w:r w:rsidR="00DF6622">
        <w:t xml:space="preserve"> ≤ </w:t>
      </w:r>
      <w:r w:rsidR="00DF6622" w:rsidRPr="004E79F7">
        <w:t xml:space="preserve">0.05) between genes annotated </w:t>
      </w:r>
      <w:r w:rsidR="000F6DE2">
        <w:t>to the same</w:t>
      </w:r>
      <w:r w:rsidR="00DF6622" w:rsidRPr="004E79F7">
        <w:t xml:space="preserve"> </w:t>
      </w:r>
      <w:r w:rsidR="009B716E">
        <w:t>GO</w:t>
      </w:r>
      <w:r w:rsidR="00DF6622" w:rsidRPr="004E79F7">
        <w:t xml:space="preserve"> terms</w:t>
      </w:r>
      <w:r w:rsidR="00831A27">
        <w:t xml:space="preserve"> (</w:t>
      </w:r>
      <w:r>
        <w:t>Supp. Figure 2</w:t>
      </w:r>
      <w:r w:rsidR="00831A27">
        <w:t>C)</w:t>
      </w:r>
      <w:r w:rsidR="00DF6622" w:rsidRPr="004E79F7">
        <w:t>. A final network health check shows that the empirical degree distribution of the ZmSAM network is consistent with previously characterized biological networks</w:t>
      </w:r>
      <w:r w:rsidR="00831A27">
        <w:t xml:space="preserve"> (</w:t>
      </w:r>
      <w:r>
        <w:t>Supp. Figure 2</w:t>
      </w:r>
      <w:r w:rsidR="00831A27">
        <w:t>D)</w:t>
      </w:r>
      <w:r w:rsidR="00DF6622"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507AE7D1"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p>
    <w:p w14:paraId="3C08C986" w14:textId="5C509838" w:rsidR="003363AF" w:rsidRDefault="00900D8F" w:rsidP="001C401A">
      <w:r>
        <w:t>Raw</w:t>
      </w:r>
      <w:r w:rsidR="003363AF" w:rsidRPr="00C05203">
        <w:t xml:space="preserve"> reads were passed through quality control using t</w:t>
      </w:r>
      <w:r w:rsidR="003363AF">
        <w:t>he program AdapterRemoval</w:t>
      </w:r>
      <w:r w:rsidR="00A01009" w:rsidRPr="00A01009">
        <w:rPr>
          <w:noProof/>
        </w:rPr>
        <w:t xml:space="preserve"> (Lindgreen, 2012)</w:t>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A01009" w:rsidRPr="00A01009">
        <w:rPr>
          <w:noProof/>
        </w:rPr>
        <w:t xml:space="preserve"> (Li and Durbin, 2009; Schubert et al., 2014)</w:t>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265CE667"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rsidR="00A01009" w:rsidRPr="00A01009">
        <w:rPr>
          <w:noProof/>
        </w:rPr>
        <w:t xml:space="preserve"> (Anders et al., 2014)</w:t>
      </w:r>
      <w:r w:rsidR="009C2CAC">
        <w:t>,</w:t>
      </w:r>
      <w:r w:rsidR="0018603E">
        <w:t xml:space="preserve"> available on GitHub</w:t>
      </w:r>
      <w:r w:rsidR="007B032F" w:rsidRPr="007B032F">
        <w:rPr>
          <w:noProof/>
        </w:rPr>
        <w:t xml:space="preserve"> (MixedHTSeq Software Repository, 2018)</w:t>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923A5D">
        <w:t>Supp. Figure 3</w:t>
      </w:r>
      <w:r w:rsidR="00C275C7">
        <w:t>A shows raw PCC scores</w:t>
      </w:r>
      <w:r w:rsidR="009C2CAC">
        <w:t>,</w:t>
      </w:r>
      <w:r w:rsidR="00C275C7">
        <w:t xml:space="preserve"> while </w:t>
      </w:r>
      <w:r w:rsidR="00923A5D">
        <w:t>Supp. Figure 3</w:t>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923A5D">
        <w:t>Supp. Figure 3</w:t>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923A5D">
        <w:t>Supp. Figure 3</w:t>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1777830A"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923A5D">
        <w:t>Figure 1</w:t>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0" w:name="_Ref447101528"/>
      <w:r w:rsidRPr="0045686C">
        <w:t>Eq.</w:t>
      </w:r>
      <w:r>
        <w:t xml:space="preserve"> </w:t>
      </w:r>
      <w:r w:rsidRPr="0045686C">
        <w:t>1</w:t>
      </w:r>
      <w:bookmarkEnd w:id="10"/>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r>
        <w:rPr>
          <w:i/>
        </w:rPr>
        <w:t>i</w:t>
      </w:r>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 xml:space="preserve">total number of pairwise, non-self gene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w:t>
      </w:r>
      <w:bookmarkStart w:id="11" w:name="_GoBack"/>
      <w:bookmarkEnd w:id="11"/>
      <w:r>
        <w:t xml:space="preserve">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2" w:name="_Ref447101545"/>
      <w:bookmarkStart w:id="13" w:name="_Ref464049667"/>
      <w:r>
        <w:t>Eq.</w:t>
      </w:r>
      <w:bookmarkEnd w:id="12"/>
      <w:r>
        <w:t xml:space="preserve"> 2</w:t>
      </w:r>
      <w:bookmarkEnd w:id="13"/>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14" w:name="_Ref447101563"/>
      <w:bookmarkStart w:id="15" w:name="_Ref464738379"/>
      <w:r w:rsidRPr="0045686C">
        <w:t>Eq.</w:t>
      </w:r>
      <w:bookmarkEnd w:id="14"/>
      <w:r>
        <w:t xml:space="preserve"> 3</w:t>
      </w:r>
      <w:bookmarkEnd w:id="15"/>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16" w:name="_Ref447101571"/>
      <w:r>
        <w:t>Eq. 4</w:t>
      </w:r>
      <w:bookmarkEnd w:id="16"/>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p>
    <w:p w14:paraId="632CCF76" w14:textId="3F0DFF2E" w:rsidR="00F40E28" w:rsidRPr="00111462" w:rsidRDefault="007455F7"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3F3A5A54" w:rsidR="00C92B64" w:rsidRDefault="00D03396" w:rsidP="001C401A">
      <w:r>
        <w:t>GO</w:t>
      </w:r>
      <w:r w:rsidR="00A01009" w:rsidRPr="00A01009">
        <w:rPr>
          <w:noProof/>
        </w:rPr>
        <w:t xml:space="preserve"> (Harris et al., 2004)</w:t>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17" w:name="_Ref484125232"/>
      <w:r>
        <w:t>Eq.</w:t>
      </w:r>
      <w:r w:rsidR="00BB1654">
        <w:t xml:space="preserve"> 5</w:t>
      </w:r>
      <w:bookmarkEnd w:id="17"/>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18" w:name="_Ref458775441"/>
      <w:bookmarkStart w:id="19" w:name="_Ref484125256"/>
      <w:r>
        <w:t>Eq.</w:t>
      </w:r>
      <w:r w:rsidR="00220757">
        <w:t xml:space="preserve"> 6</w:t>
      </w:r>
      <w:bookmarkEnd w:id="18"/>
      <w:bookmarkEnd w:id="19"/>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385F0E8"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A01009" w:rsidRPr="00A01009">
        <w:rPr>
          <w:noProof/>
        </w:rPr>
        <w:t xml:space="preserve"> (Ziegler et al., 2017)</w:t>
      </w:r>
      <w:r>
        <w:t xml:space="preserve"> Outliers were removed from single</w:t>
      </w:r>
      <w:r w:rsidR="00F9373B">
        <w:t>-</w:t>
      </w:r>
      <w:r>
        <w:t>seed measurements using median absolute deviation</w:t>
      </w:r>
      <w:r w:rsidR="000B2818" w:rsidRPr="000B2818">
        <w:rPr>
          <w:noProof/>
        </w:rPr>
        <w:t xml:space="preserve"> (Davies and Gather, 1993)</w:t>
      </w:r>
      <w:r>
        <w:t xml:space="preserve">. Basic linear unbiased predictors (BLUPs) for each elemental concentration were calculated across different environments and </w:t>
      </w:r>
      <w:r w:rsidR="008837BC">
        <w:t>used to</w:t>
      </w:r>
      <w:r>
        <w:t xml:space="preserve"> estimate variance components</w:t>
      </w:r>
      <w:r w:rsidR="00A01009" w:rsidRPr="00A01009">
        <w:rPr>
          <w:noProof/>
        </w:rPr>
        <w:t xml:space="preserve"> (Hung et al., 2012)</w:t>
      </w:r>
      <w:r>
        <w:t>. Joint</w:t>
      </w:r>
      <w:r w:rsidR="0036558F">
        <w:t>-</w:t>
      </w:r>
      <w:r>
        <w:t>linkage analysis was run using TASSEL version 3.0</w:t>
      </w:r>
      <w:r w:rsidR="00A01009" w:rsidRPr="00A01009">
        <w:rPr>
          <w:noProof/>
        </w:rPr>
        <w:t xml:space="preserve"> (Bradbury et al., 2007)</w:t>
      </w:r>
      <w:r>
        <w:t xml:space="preserve"> with over 7</w:t>
      </w:r>
      <w:r w:rsidR="003C73EA">
        <w:t>,</w:t>
      </w:r>
      <w:r>
        <w:t>000 SNPs obtained by genotype</w:t>
      </w:r>
      <w:r w:rsidR="000B10E1">
        <w:t xml:space="preserve"> </w:t>
      </w:r>
      <w:r>
        <w:t>by</w:t>
      </w:r>
      <w:r w:rsidR="000B10E1">
        <w:t xml:space="preserve"> </w:t>
      </w:r>
      <w:r>
        <w:t>sequencing (GBS)</w:t>
      </w:r>
      <w:r w:rsidR="00A01009" w:rsidRPr="00A01009">
        <w:rPr>
          <w:noProof/>
        </w:rPr>
        <w:t xml:space="preserve"> (Elshire et al., 2011)</w:t>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4F538090"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A01009" w:rsidRPr="00A01009">
        <w:rPr>
          <w:noProof/>
        </w:rPr>
        <w:t xml:space="preserve"> (Wallace et al., 2014; Cook et al., 2012; Tian et al., 2011)</w:t>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3778C401" w:rsidR="006F36A4" w:rsidRDefault="00393ABF" w:rsidP="001C401A">
      <w:r>
        <w:t>The final input SNP dataset contained 28.9 million SNPs obtained from the maize HapMap1</w:t>
      </w:r>
      <w:r w:rsidR="00A01009" w:rsidRPr="00A01009">
        <w:rPr>
          <w:noProof/>
        </w:rPr>
        <w:t xml:space="preserve"> (Gore et al., 2009)</w:t>
      </w:r>
      <w:r>
        <w:t>, the maize HapMap2</w:t>
      </w:r>
      <w:r w:rsidR="00A01009" w:rsidRPr="00A01009">
        <w:rPr>
          <w:noProof/>
        </w:rPr>
        <w:t xml:space="preserve"> (Chia et al., 2012)</w:t>
      </w:r>
      <w:r>
        <w:t xml:space="preserve">, as well as an additional </w:t>
      </w:r>
      <w:r w:rsidR="00052D84">
        <w:t>~</w:t>
      </w:r>
      <w:r>
        <w:t>800,000 putative copy-number variants from analysis of read depth counts in HapMap2</w:t>
      </w:r>
      <w:r w:rsidR="00A01009" w:rsidRPr="00A01009">
        <w:rPr>
          <w:noProof/>
        </w:rPr>
        <w:t xml:space="preserve"> (Wallace et al., 2014; Chia et al., 2012)</w:t>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A01009" w:rsidRPr="00A01009">
        <w:rPr>
          <w:noProof/>
        </w:rPr>
        <w:t xml:space="preserve"> (Valdar et al., 2009)</w:t>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pPr>
      <w:r>
        <w:t>Identifying High Priority Genes from</w:t>
      </w:r>
      <w:r w:rsidR="00983911">
        <w:t xml:space="preserve"> 41</w:t>
      </w:r>
      <w:r>
        <w:t xml:space="preserve"> non-Ionomic GWAS</w:t>
      </w:r>
    </w:p>
    <w:p w14:paraId="46C2BCD4" w14:textId="519D1984"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w:t>
      </w:r>
      <w:r w:rsidR="00A01009" w:rsidRPr="00A01009">
        <w:rPr>
          <w:noProof/>
        </w:rPr>
        <w:t xml:space="preserve"> (Wallace et al., 2014)</w:t>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r w:rsidR="00923A5D">
        <w:t>Supp. Table 12</w:t>
      </w:r>
      <w:r w:rsidR="00983911">
        <w:t>)</w:t>
      </w:r>
      <w:r w:rsidR="00D2696C">
        <w:t>.</w:t>
      </w:r>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63362E1C"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Anders, S., Pyl, P.T., and Huber, W.</w:t>
      </w:r>
      <w:r w:rsidRPr="00840228">
        <w:rPr>
          <w:rFonts w:cs="Times New Roman"/>
          <w:noProof/>
          <w:szCs w:val="24"/>
        </w:rPr>
        <w:t xml:space="preserve"> (2014). HTSeq - A Python framework to work with high-throughput sequencing data. Bioinformatics </w:t>
      </w:r>
      <w:r w:rsidRPr="00840228">
        <w:rPr>
          <w:rFonts w:cs="Times New Roman"/>
          <w:b/>
          <w:bCs/>
          <w:noProof/>
          <w:szCs w:val="24"/>
        </w:rPr>
        <w:t>31</w:t>
      </w:r>
      <w:r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12019ECF" w:rsidR="00904378" w:rsidRPr="00904378" w:rsidRDefault="00904378" w:rsidP="001C401A"/>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20" w:name="_Ref522107570"/>
      <w:r>
        <w:t>Table 1</w:t>
      </w:r>
      <w:bookmarkEnd w:id="20"/>
    </w:p>
    <w:p w14:paraId="214D25B1" w14:textId="1CFC3172"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923A5D" w:rsidRPr="0045686C">
        <w:t>Eq.</w:t>
      </w:r>
      <w:r w:rsidR="00923A5D">
        <w:t xml:space="preserve"> </w:t>
      </w:r>
      <w:r w:rsidR="00923A5D" w:rsidRPr="0045686C">
        <w:t>1</w:t>
      </w:r>
      <w:r w:rsidR="001F710F">
        <w:t>) and locality (</w:t>
      </w:r>
      <w:r w:rsidR="00923A5D">
        <w:t>Eq. 2</w:t>
      </w:r>
      <w:r>
        <w:t>). Significance of co-expression metrics was assessed by comparing values to 1,000 random gene sets of the same size.</w:t>
      </w:r>
    </w:p>
    <w:p w14:paraId="7A1D2684" w14:textId="523018C9" w:rsidR="006B6660" w:rsidRDefault="006B6660" w:rsidP="006B6660">
      <w:pPr>
        <w:pStyle w:val="Heading2"/>
      </w:pPr>
      <w:bookmarkStart w:id="21" w:name="_Ref522107582"/>
      <w:r>
        <w:t>Table 2</w:t>
      </w:r>
      <w:bookmarkEnd w:id="21"/>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22" w:name="_Ref444765587"/>
      <w:r>
        <w:t>Figure 1</w:t>
      </w:r>
      <w:bookmarkEnd w:id="22"/>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3" w:name="_Ref487124030"/>
      <w:r>
        <w:t>Figure 2</w:t>
      </w:r>
      <w:bookmarkEnd w:id="23"/>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4" w:name="_Ref456807908"/>
      <w:bookmarkStart w:id="25" w:name="_Ref458794783"/>
      <w:r>
        <w:t>Figure 3</w:t>
      </w:r>
      <w:bookmarkEnd w:id="24"/>
      <w:bookmarkEnd w:id="25"/>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6" w:name="_Ref458700744"/>
      <w:r>
        <w:t>Figure 4</w:t>
      </w:r>
      <w:bookmarkStart w:id="27" w:name="EditPoint"/>
      <w:bookmarkEnd w:id="26"/>
      <w:bookmarkEnd w:id="27"/>
    </w:p>
    <w:p w14:paraId="7AB7AC82" w14:textId="77777777" w:rsidR="00C85AF2" w:rsidRDefault="00C85AF2" w:rsidP="001C401A">
      <w:pPr>
        <w:pStyle w:val="Heading4"/>
        <w:jc w:val="left"/>
      </w:pPr>
      <w:r>
        <w:t>Strength of co-expression among GO terms at varying levels of MCR</w:t>
      </w:r>
    </w:p>
    <w:p w14:paraId="1BB90B9C" w14:textId="06E59C84"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co-expressed genes</w:t>
      </w:r>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8" w:name="_Ref458721156"/>
      <w:bookmarkStart w:id="29" w:name="_Ref447197618"/>
      <w:r>
        <w:t>Figure 5</w:t>
      </w:r>
      <w:bookmarkEnd w:id="28"/>
      <w:bookmarkEnd w:id="29"/>
    </w:p>
    <w:p w14:paraId="38CD5098" w14:textId="65FC48BC" w:rsidR="00C85AF2" w:rsidRDefault="00C85AF2" w:rsidP="001C401A">
      <w:pPr>
        <w:pStyle w:val="Heading4"/>
        <w:jc w:val="left"/>
      </w:pPr>
      <w:r>
        <w:t>S</w:t>
      </w:r>
      <w:r w:rsidR="00282527">
        <w:t>trength of co-expression among GO terms at varying levels of FCR</w:t>
      </w:r>
    </w:p>
    <w:p w14:paraId="64A35CFE" w14:textId="192F8930" w:rsidR="00C85AF2" w:rsidRDefault="00181EDE" w:rsidP="001C401A">
      <w:pPr>
        <w:pStyle w:val="Subtitle"/>
      </w:pPr>
      <w:r>
        <w:t xml:space="preserve">GO terms with significantly co-expressed genes </w:t>
      </w:r>
      <w:r w:rsidR="00C85AF2">
        <w:t xml:space="preserve">(density or locality </w:t>
      </w:r>
      <w:r w:rsidR="00C85AF2" w:rsidRPr="00FB5AA5">
        <w:rPr>
          <w:i/>
        </w:rPr>
        <w:t>p</w:t>
      </w:r>
      <w:r w:rsidR="00C85AF2">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00C85AF2" w:rsidRPr="00FB5AA5">
        <w:rPr>
          <w:i/>
        </w:rPr>
        <w:t>x</w:t>
      </w:r>
      <w:r w:rsidR="00C85AF2">
        <w:t xml:space="preserve"> (red curve). GO terms in each network were also split into two subsets based on initial co-expression strength: “strong,” (initial co-expression </w:t>
      </w:r>
      <w:r w:rsidR="00C85AF2" w:rsidRPr="00FB5AA5">
        <w:rPr>
          <w:i/>
        </w:rPr>
        <w:t>p</w:t>
      </w:r>
      <w:r w:rsidR="00C85AF2">
        <w:t xml:space="preserve"> ≤ 0.001; blue curve), and “moderate,” (initial co-expression 0.001 &lt; </w:t>
      </w:r>
      <w:r w:rsidR="00C85AF2" w:rsidRPr="00FB5AA5">
        <w:rPr>
          <w:i/>
        </w:rPr>
        <w:t>p</w:t>
      </w:r>
      <w:r w:rsidR="00C85AF2">
        <w:t xml:space="preserve"> ≤ 0.05; violet curve).</w:t>
      </w:r>
    </w:p>
    <w:p w14:paraId="032B703B" w14:textId="5560CC1F" w:rsidR="003B691E" w:rsidRPr="008B069A" w:rsidRDefault="00E6464F" w:rsidP="00416E74">
      <w:pPr>
        <w:pStyle w:val="Heading2"/>
      </w:pPr>
      <w:bookmarkStart w:id="30" w:name="_Ref485996339"/>
      <w:r>
        <w:t>Figure 6</w:t>
      </w:r>
      <w:bookmarkEnd w:id="30"/>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1" w:name="_Ref481757037"/>
      <w:bookmarkStart w:id="32" w:name="_Ref484529183"/>
      <w:r>
        <w:t>Figure</w:t>
      </w:r>
      <w:r w:rsidR="004603F1">
        <w:t xml:space="preserve"> 7</w:t>
      </w:r>
      <w:bookmarkEnd w:id="31"/>
      <w:bookmarkEnd w:id="32"/>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3" w:name="_Ref484091798"/>
      <w:r>
        <w:t>Figure</w:t>
      </w:r>
      <w:r w:rsidR="004603F1">
        <w:t xml:space="preserve"> 8</w:t>
      </w:r>
      <w:bookmarkEnd w:id="33"/>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7EF7D6CA"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r w:rsidR="00F65C23">
        <w:t>congenic wild</w:t>
      </w:r>
      <w:r w:rsidR="00700EEB">
        <w:t>-</w:t>
      </w:r>
      <w:r w:rsidR="00F65C23">
        <w:t>type</w:t>
      </w:r>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34" w:name="_Ref522191446"/>
      <w:r>
        <w:t xml:space="preserve">Supp. </w:t>
      </w:r>
      <w:bookmarkStart w:id="35" w:name="_Ref458774860"/>
      <w:r w:rsidRPr="006C60D0">
        <w:t>Table 1</w:t>
      </w:r>
      <w:bookmarkEnd w:id="34"/>
      <w:bookmarkEnd w:id="35"/>
    </w:p>
    <w:p w14:paraId="6AFA5E80" w14:textId="39B47C93"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3A5D">
        <w:t>Table 1</w:t>
      </w:r>
      <w:r w:rsidRPr="00090D50">
        <w:t>.</w:t>
      </w:r>
    </w:p>
    <w:p w14:paraId="673AA25D" w14:textId="15AF32AF" w:rsidR="00D966F0" w:rsidRDefault="00D966F0" w:rsidP="00090D50">
      <w:pPr>
        <w:pStyle w:val="Heading2"/>
      </w:pPr>
      <w:bookmarkStart w:id="36" w:name="_Ref522191469"/>
      <w:r>
        <w:t xml:space="preserve">Supp. </w:t>
      </w:r>
      <w:bookmarkStart w:id="37" w:name="_Ref458774880"/>
      <w:r>
        <w:t>Table 2</w:t>
      </w:r>
      <w:bookmarkEnd w:id="36"/>
      <w:bookmarkEnd w:id="37"/>
    </w:p>
    <w:p w14:paraId="31B0F9BA" w14:textId="74635015"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3A5D">
        <w:t>Table 2</w:t>
      </w:r>
      <w:r w:rsidRPr="00090D50">
        <w:t>.</w:t>
      </w:r>
    </w:p>
    <w:p w14:paraId="2C85D33D" w14:textId="68201420" w:rsidR="00D966F0" w:rsidRDefault="00D966F0" w:rsidP="00090D50">
      <w:pPr>
        <w:pStyle w:val="Heading2"/>
      </w:pPr>
      <w:bookmarkStart w:id="38" w:name="_Ref522191488"/>
      <w:r>
        <w:t>Supp. Table 3</w:t>
      </w:r>
      <w:bookmarkEnd w:id="38"/>
    </w:p>
    <w:p w14:paraId="7751D7DA" w14:textId="2B79C731"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3A5D">
        <w:t>Table 2</w:t>
      </w:r>
      <w:r>
        <w:t>.</w:t>
      </w:r>
    </w:p>
    <w:p w14:paraId="33576DB9" w14:textId="2846EAA1" w:rsidR="00D966F0" w:rsidRDefault="00D966F0" w:rsidP="00D966F0">
      <w:pPr>
        <w:pStyle w:val="Heading2"/>
      </w:pPr>
      <w:bookmarkStart w:id="39" w:name="_Ref522191590"/>
      <w:r>
        <w:t>Supp. Table 4</w:t>
      </w:r>
      <w:bookmarkEnd w:id="39"/>
    </w:p>
    <w:p w14:paraId="43A3EFAA" w14:textId="4FDBDC07"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3A5D">
        <w:t>Figure 4</w:t>
      </w:r>
      <w:r w:rsidR="00926097">
        <w:t xml:space="preserve"> and </w:t>
      </w:r>
      <w:r w:rsidR="00923A5D">
        <w:t>Figure 5</w:t>
      </w:r>
      <w:r>
        <w:t>.</w:t>
      </w:r>
    </w:p>
    <w:p w14:paraId="43B6B337" w14:textId="69D4BFCA" w:rsidR="00D966F0" w:rsidRDefault="00D966F0" w:rsidP="00D966F0">
      <w:pPr>
        <w:pStyle w:val="Heading2"/>
      </w:pPr>
      <w:bookmarkStart w:id="40" w:name="_Ref522191835"/>
      <w:r>
        <w:t>Supp. Table 5</w:t>
      </w:r>
      <w:bookmarkEnd w:id="40"/>
    </w:p>
    <w:p w14:paraId="21CE939B" w14:textId="7E66B1B8"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923A5D">
        <w:t>Figure 6</w:t>
      </w:r>
      <w:r w:rsidR="00E8048C">
        <w:t>.</w:t>
      </w:r>
    </w:p>
    <w:p w14:paraId="6C6A7D09" w14:textId="3A79450D" w:rsidR="00D966F0" w:rsidRDefault="00D966F0" w:rsidP="00D966F0">
      <w:pPr>
        <w:pStyle w:val="Heading2"/>
      </w:pPr>
      <w:bookmarkStart w:id="41" w:name="_Ref522191872"/>
      <w:r>
        <w:t>Supp. Table 6</w:t>
      </w:r>
      <w:bookmarkEnd w:id="41"/>
    </w:p>
    <w:p w14:paraId="21DE17BB" w14:textId="1322E5F6" w:rsidR="00523CA2" w:rsidRDefault="00523CA2" w:rsidP="00523CA2">
      <w:bookmarkStart w:id="42"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923A5D">
        <w:t>Figure 6</w:t>
      </w:r>
      <w:r w:rsidR="00E8048C">
        <w:t>.</w:t>
      </w:r>
    </w:p>
    <w:p w14:paraId="0B7F9160" w14:textId="6CB2EC31" w:rsidR="00D966F0" w:rsidRDefault="00D966F0" w:rsidP="00D966F0">
      <w:pPr>
        <w:pStyle w:val="Heading2"/>
      </w:pPr>
      <w:bookmarkStart w:id="43" w:name="_Ref522191891"/>
      <w:r>
        <w:t>Supp. Table 7</w:t>
      </w:r>
      <w:bookmarkEnd w:id="42"/>
      <w:bookmarkEnd w:id="43"/>
    </w:p>
    <w:p w14:paraId="3D89111B" w14:textId="0A01436E"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923A5D">
        <w:t>Figure 6</w:t>
      </w:r>
      <w:r w:rsidR="00E8048C">
        <w:t>.</w:t>
      </w:r>
    </w:p>
    <w:p w14:paraId="62030EA9" w14:textId="38480232" w:rsidR="00D966F0" w:rsidRDefault="00D966F0" w:rsidP="00D966F0">
      <w:pPr>
        <w:pStyle w:val="Heading2"/>
      </w:pPr>
      <w:bookmarkStart w:id="44" w:name="_Ref522192395"/>
      <w:r>
        <w:t>Supp. Table 8</w:t>
      </w:r>
      <w:bookmarkEnd w:id="44"/>
    </w:p>
    <w:p w14:paraId="2B573E72" w14:textId="2275E817"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923A5D">
        <w:t>Figure 6</w:t>
      </w:r>
      <w:r w:rsidR="00E8048C">
        <w:t>.</w:t>
      </w:r>
    </w:p>
    <w:p w14:paraId="554A0621" w14:textId="0FCFA0C4" w:rsidR="00D966F0" w:rsidRDefault="00D966F0" w:rsidP="00D966F0">
      <w:pPr>
        <w:pStyle w:val="Heading2"/>
      </w:pPr>
      <w:bookmarkStart w:id="45" w:name="_Ref522192418"/>
      <w:r>
        <w:t>Supp. Table 9</w:t>
      </w:r>
      <w:bookmarkEnd w:id="45"/>
    </w:p>
    <w:p w14:paraId="746E73DF" w14:textId="321C1D9F"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923A5D">
        <w:t>Figure 6</w:t>
      </w:r>
      <w:r w:rsidR="00E8048C">
        <w:t>.</w:t>
      </w:r>
    </w:p>
    <w:p w14:paraId="61CAAFD4" w14:textId="4D8B4F4F" w:rsidR="00D966F0" w:rsidRDefault="00D966F0" w:rsidP="00D966F0">
      <w:pPr>
        <w:pStyle w:val="Heading2"/>
      </w:pPr>
      <w:bookmarkStart w:id="46" w:name="_Ref522192440"/>
      <w:r>
        <w:t>Supp. Table 10</w:t>
      </w:r>
      <w:bookmarkEnd w:id="46"/>
    </w:p>
    <w:p w14:paraId="3076F7F7" w14:textId="2A46509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923A5D">
        <w:t>Figure 6</w:t>
      </w:r>
      <w:r w:rsidR="00E8048C">
        <w:t>.</w:t>
      </w:r>
    </w:p>
    <w:p w14:paraId="061F658F" w14:textId="0721A300" w:rsidR="00CF5CA1" w:rsidRDefault="00D966F0" w:rsidP="00CF5CA1">
      <w:pPr>
        <w:pStyle w:val="Heading2"/>
      </w:pPr>
      <w:bookmarkStart w:id="47" w:name="_Ref522192542"/>
      <w:r>
        <w:t>Supp. Table 11</w:t>
      </w:r>
      <w:bookmarkEnd w:id="47"/>
    </w:p>
    <w:p w14:paraId="6CDB140A" w14:textId="5BCA264A" w:rsidR="00523CA2" w:rsidRDefault="00523CA2" w:rsidP="00523CA2">
      <w:bookmarkStart w:id="48"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923A5D">
        <w:t>Figure 6</w:t>
      </w:r>
      <w:r w:rsidR="002D20FF">
        <w:t>.</w:t>
      </w:r>
    </w:p>
    <w:p w14:paraId="111CEE6F" w14:textId="066116A1" w:rsidR="00CF5CA1" w:rsidRDefault="00CF5CA1" w:rsidP="00CF5CA1">
      <w:pPr>
        <w:pStyle w:val="Heading2"/>
      </w:pPr>
      <w:bookmarkStart w:id="49" w:name="_Ref522108751"/>
      <w:r>
        <w:t>Supp. Table 12</w:t>
      </w:r>
      <w:bookmarkEnd w:id="48"/>
      <w:bookmarkEnd w:id="49"/>
    </w:p>
    <w:p w14:paraId="3D653AF8" w14:textId="6EC77E37" w:rsidR="00523CA2" w:rsidRDefault="00523CA2" w:rsidP="00523CA2">
      <w:bookmarkStart w:id="50"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923A5D">
        <w:t>Figure 1</w:t>
      </w:r>
      <w:r w:rsidR="00E75117">
        <w:t>.</w:t>
      </w:r>
    </w:p>
    <w:p w14:paraId="5CC9EFAC" w14:textId="445B68F0" w:rsidR="00CB3408" w:rsidRDefault="00CB3408" w:rsidP="0070742F">
      <w:pPr>
        <w:pStyle w:val="Heading2"/>
      </w:pPr>
      <w:bookmarkStart w:id="51" w:name="_Ref522192707"/>
      <w:r>
        <w:t>Supp</w:t>
      </w:r>
      <w:r w:rsidR="00845A0B">
        <w:t>.</w:t>
      </w:r>
      <w:r>
        <w:t xml:space="preserve"> Table 13</w:t>
      </w:r>
      <w:bookmarkEnd w:id="50"/>
      <w:bookmarkEnd w:id="51"/>
    </w:p>
    <w:p w14:paraId="38A50CF1" w14:textId="1FFA1E84" w:rsidR="00936703" w:rsidRPr="00936703" w:rsidRDefault="00936703" w:rsidP="00936703">
      <w:bookmarkStart w:id="52"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923A5D">
        <w:t>Supp. Table 12</w:t>
      </w:r>
      <w:r w:rsidR="00E75117">
        <w:t>.</w:t>
      </w:r>
    </w:p>
    <w:p w14:paraId="112ECCA1" w14:textId="7BD66C34" w:rsidR="00467DF9" w:rsidRDefault="00467DF9" w:rsidP="0070742F">
      <w:pPr>
        <w:pStyle w:val="Heading2"/>
      </w:pPr>
      <w:bookmarkStart w:id="53" w:name="_Ref522192718"/>
      <w:r>
        <w:t>Supp. Table 14</w:t>
      </w:r>
      <w:bookmarkEnd w:id="52"/>
      <w:bookmarkEnd w:id="53"/>
    </w:p>
    <w:p w14:paraId="527303DD" w14:textId="172DCCF9"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923A5D">
        <w:t>Supp. Table 12</w:t>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4" w:name="_Ref447013206"/>
      <w:r>
        <w:t>Supp. Figure 1</w:t>
      </w:r>
      <w:bookmarkEnd w:id="54"/>
    </w:p>
    <w:p w14:paraId="084FE236" w14:textId="6F277375" w:rsidR="00DB7771" w:rsidRDefault="00DB7771" w:rsidP="00D45ACC">
      <w:pPr>
        <w:pStyle w:val="Heading3"/>
      </w:pPr>
      <w:r>
        <w:t>ZmPAN</w:t>
      </w:r>
      <w:r w:rsidR="00145345">
        <w:t xml:space="preserve"> network health</w:t>
      </w:r>
    </w:p>
    <w:p w14:paraId="7BA5F2BA" w14:textId="3DFBE8DF"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r w:rsidR="00EF40FE">
        <w:t>for</w:t>
      </w:r>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r w:rsidR="009C56AB">
        <w:t xml:space="preserve"> Data points are transparent to show denseness.</w:t>
      </w:r>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E04FA4">
        <w:t>. S</w:t>
      </w:r>
      <w:r w:rsidR="00387864">
        <w:t xml:space="preserve">upports </w:t>
      </w:r>
      <w:r w:rsidR="00923A5D">
        <w:t>Figure 1</w:t>
      </w:r>
      <w:r w:rsidR="00E04FA4">
        <w:t>.</w:t>
      </w:r>
    </w:p>
    <w:p w14:paraId="0FCC0CF0" w14:textId="5B7527BF" w:rsidR="00DE6B75" w:rsidRPr="00DE6B75" w:rsidRDefault="001A457D" w:rsidP="00416E74">
      <w:pPr>
        <w:pStyle w:val="Heading2"/>
      </w:pPr>
      <w:bookmarkStart w:id="55" w:name="_Ref447013895"/>
      <w:r>
        <w:t>Supp. Figure 2</w:t>
      </w:r>
      <w:bookmarkEnd w:id="55"/>
    </w:p>
    <w:p w14:paraId="302F6CD2" w14:textId="12E5730F" w:rsidR="00DB7771" w:rsidRPr="00DB7771" w:rsidRDefault="00DB7771" w:rsidP="00D45ACC">
      <w:pPr>
        <w:pStyle w:val="Heading3"/>
      </w:pPr>
      <w:r>
        <w:t xml:space="preserve">ZmSAM </w:t>
      </w:r>
      <w:r w:rsidR="00145345">
        <w:t>network heal</w:t>
      </w:r>
      <w:r>
        <w:t>th</w:t>
      </w:r>
    </w:p>
    <w:p w14:paraId="774A1C72" w14:textId="1C5D0C9C"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Data points are transparent to show denseness.</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r w:rsidR="00E04FA4">
        <w:t>. S</w:t>
      </w:r>
      <w:r w:rsidR="00387864">
        <w:t xml:space="preserve">upports </w:t>
      </w:r>
      <w:r w:rsidR="00923A5D">
        <w:t>Figure 1</w:t>
      </w:r>
      <w:r w:rsidRPr="008F4971">
        <w:t>.</w:t>
      </w:r>
    </w:p>
    <w:p w14:paraId="3D7B4DED" w14:textId="1942FB55" w:rsidR="00DE6B75" w:rsidRPr="00DE6B75" w:rsidRDefault="001C3822" w:rsidP="00416E74">
      <w:pPr>
        <w:pStyle w:val="Heading2"/>
      </w:pPr>
      <w:bookmarkStart w:id="56" w:name="_Ref447015478"/>
      <w:r>
        <w:t>Supp. Figure 3</w:t>
      </w:r>
      <w:bookmarkEnd w:id="56"/>
    </w:p>
    <w:p w14:paraId="2F6283B4" w14:textId="721D6F03" w:rsidR="00C50EC2" w:rsidRDefault="00C50EC2" w:rsidP="00D45ACC">
      <w:pPr>
        <w:pStyle w:val="Heading3"/>
      </w:pPr>
      <w:r>
        <w:t xml:space="preserve">ZmRoot </w:t>
      </w:r>
      <w:r w:rsidR="00145345">
        <w:t>network he</w:t>
      </w:r>
      <w:r>
        <w:t>alth</w:t>
      </w:r>
    </w:p>
    <w:p w14:paraId="0A125799" w14:textId="166CB9DA"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Data points are transparent to show denseness.</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r w:rsidR="00387864">
        <w:t xml:space="preserve"> </w:t>
      </w:r>
      <w:r w:rsidR="00E04FA4">
        <w:t>S</w:t>
      </w:r>
      <w:r w:rsidR="00387864">
        <w:t xml:space="preserve">upports </w:t>
      </w:r>
      <w:r w:rsidR="00923A5D">
        <w:t>Figure 1</w:t>
      </w:r>
      <w:r w:rsidRPr="008F4971">
        <w:t>.</w:t>
      </w:r>
    </w:p>
    <w:p w14:paraId="591EABF0" w14:textId="65241BC3" w:rsidR="00BE7812" w:rsidRPr="00BE7812" w:rsidRDefault="00B77F44" w:rsidP="00416E74">
      <w:pPr>
        <w:pStyle w:val="Heading2"/>
      </w:pPr>
      <w:bookmarkStart w:id="57" w:name="_Ref447187909"/>
      <w:r>
        <w:t>Supp. Figure 4</w:t>
      </w:r>
      <w:bookmarkEnd w:id="57"/>
    </w:p>
    <w:p w14:paraId="1C3760BF" w14:textId="77777777" w:rsidR="00857489" w:rsidRDefault="00380825" w:rsidP="00D45ACC">
      <w:pPr>
        <w:pStyle w:val="Heading3"/>
      </w:pPr>
      <w:r>
        <w:t xml:space="preserve">MCR </w:t>
      </w:r>
      <w:r w:rsidR="00E814FD">
        <w:t>supplemental figure</w:t>
      </w:r>
    </w:p>
    <w:p w14:paraId="138732DE" w14:textId="6C53F28C"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r w:rsidR="00E04FA4">
        <w:t>.</w:t>
      </w:r>
      <w:r w:rsidR="00FD3325">
        <w:t xml:space="preserve"> </w:t>
      </w:r>
      <w:r w:rsidR="00E04FA4">
        <w:t>S</w:t>
      </w:r>
      <w:r w:rsidR="00FD3325">
        <w:t xml:space="preserve">upports </w:t>
      </w:r>
      <w:r w:rsidR="00923A5D">
        <w:t>Figure 4</w:t>
      </w:r>
      <w:r w:rsidR="00E814FD">
        <w:t>.</w:t>
      </w:r>
    </w:p>
    <w:p w14:paraId="5F9766F8" w14:textId="7E3B9F7C" w:rsidR="00D83E5D" w:rsidRPr="00D83E5D" w:rsidRDefault="00D517F6" w:rsidP="00416E74">
      <w:pPr>
        <w:pStyle w:val="Heading2"/>
      </w:pPr>
      <w:bookmarkStart w:id="58" w:name="_Ref470857301"/>
      <w:r>
        <w:t>Supp. Figure 5</w:t>
      </w:r>
      <w:bookmarkEnd w:id="58"/>
    </w:p>
    <w:p w14:paraId="3F6BA565" w14:textId="77777777" w:rsidR="002002F7" w:rsidRDefault="00E814FD" w:rsidP="00D45ACC">
      <w:pPr>
        <w:pStyle w:val="Heading3"/>
      </w:pPr>
      <w:r>
        <w:t>FCR supplemental figure</w:t>
      </w:r>
    </w:p>
    <w:p w14:paraId="1FB4E1EB" w14:textId="00214F6E"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r w:rsidR="00E04FA4">
        <w:t>.</w:t>
      </w:r>
      <w:r w:rsidR="00E33909">
        <w:t xml:space="preserve"> </w:t>
      </w:r>
      <w:r w:rsidR="00E04FA4">
        <w:t>S</w:t>
      </w:r>
      <w:r w:rsidR="00E33909">
        <w:t xml:space="preserve">upports </w:t>
      </w:r>
      <w:r w:rsidR="00923A5D">
        <w:t>Figure 5</w:t>
      </w:r>
      <w:r w:rsidR="00E814FD">
        <w:t>.</w:t>
      </w:r>
    </w:p>
    <w:p w14:paraId="0DE3D1EA" w14:textId="3259514E" w:rsidR="00803776" w:rsidRPr="00803776" w:rsidRDefault="00623452" w:rsidP="00416E74">
      <w:pPr>
        <w:pStyle w:val="Heading2"/>
      </w:pPr>
      <w:bookmarkStart w:id="59" w:name="_Ref481678956"/>
      <w:r>
        <w:t>Supp. Figure 6</w:t>
      </w:r>
      <w:bookmarkEnd w:id="59"/>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38AC53B3"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923A5D">
        <w:t>Table 1</w:t>
      </w:r>
      <w:r w:rsidR="00E04FA4">
        <w:t>.</w:t>
      </w:r>
    </w:p>
    <w:p w14:paraId="28360837" w14:textId="4B7B9BA7" w:rsidR="004409E3" w:rsidRPr="00844AFF" w:rsidRDefault="004409E3" w:rsidP="00416E74">
      <w:pPr>
        <w:pStyle w:val="Heading2"/>
      </w:pPr>
      <w:bookmarkStart w:id="60" w:name="_Ref486000600"/>
      <w:r>
        <w:t>Supp. Figure 7</w:t>
      </w:r>
      <w:bookmarkEnd w:id="60"/>
    </w:p>
    <w:p w14:paraId="3BE5DCC1" w14:textId="5A26FF2A" w:rsidR="004409E3" w:rsidRPr="00975FFB" w:rsidRDefault="004409E3" w:rsidP="00D45ACC">
      <w:pPr>
        <w:pStyle w:val="Heading3"/>
      </w:pPr>
      <w:r>
        <w:t>Element HPO candidate gene overlap</w:t>
      </w:r>
      <w:r w:rsidR="00C04316">
        <w:t xml:space="preserve"> heatmap</w:t>
      </w:r>
    </w:p>
    <w:p w14:paraId="7C52A97B" w14:textId="478AC7A8"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923A5D">
        <w:t>Figure 6</w:t>
      </w:r>
      <w:r w:rsidR="006149E8">
        <w:t>.</w:t>
      </w:r>
    </w:p>
    <w:p w14:paraId="7EF8D050" w14:textId="77777777" w:rsidR="004409E3" w:rsidRPr="004409E3" w:rsidRDefault="004409E3" w:rsidP="001C401A"/>
    <w:p w14:paraId="2C78F21B" w14:textId="23FA7921" w:rsidR="005F615E" w:rsidRPr="009D6D83" w:rsidRDefault="005F615E" w:rsidP="00416E74">
      <w:pPr>
        <w:pStyle w:val="Heading2"/>
      </w:pPr>
      <w:bookmarkStart w:id="61" w:name="_Ref483951527"/>
      <w:r>
        <w:t>Supp. Figure</w:t>
      </w:r>
      <w:r w:rsidR="005A6B5F">
        <w:t xml:space="preserve"> 8</w:t>
      </w:r>
      <w:bookmarkEnd w:id="61"/>
    </w:p>
    <w:p w14:paraId="36ECB905" w14:textId="77777777" w:rsidR="005F615E" w:rsidRDefault="005F615E" w:rsidP="00D45ACC">
      <w:pPr>
        <w:pStyle w:val="Heading3"/>
      </w:pPr>
      <w:r>
        <w:t>GO biological process enrichment for the ionome</w:t>
      </w:r>
    </w:p>
    <w:p w14:paraId="3282CC09" w14:textId="2404BFA3"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923A5D">
        <w:t>Figure 6</w:t>
      </w:r>
      <w:r w:rsidR="00C30684">
        <w:t>.</w:t>
      </w:r>
    </w:p>
    <w:p w14:paraId="5156D1EC" w14:textId="77777777" w:rsidR="00042EA1" w:rsidRPr="004A497C" w:rsidRDefault="00042EA1" w:rsidP="00042EA1">
      <w:pPr>
        <w:pStyle w:val="Heading2"/>
      </w:pPr>
      <w:bookmarkStart w:id="62" w:name="_Ref522194476"/>
      <w:r>
        <w:t>Supp. Figure 9</w:t>
      </w:r>
      <w:bookmarkEnd w:id="62"/>
    </w:p>
    <w:p w14:paraId="0AC03BE1" w14:textId="77777777" w:rsidR="00042EA1" w:rsidRDefault="00042EA1" w:rsidP="00042EA1">
      <w:pPr>
        <w:pStyle w:val="Heading3"/>
      </w:pPr>
      <w:r>
        <w:t>Number of intervening genes between HPO gene and GWAS locus</w:t>
      </w:r>
    </w:p>
    <w:p w14:paraId="0BC5E4DB" w14:textId="7B61EB39"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rsidR="00923A5D">
        <w:t>Figure 6</w:t>
      </w:r>
      <w:r>
        <w:t>.</w:t>
      </w:r>
    </w:p>
    <w:p w14:paraId="0132906E" w14:textId="77777777" w:rsidR="005F615E" w:rsidRPr="005F615E" w:rsidRDefault="005F615E" w:rsidP="001C401A"/>
    <w:p w14:paraId="595BBE78" w14:textId="66ACD510" w:rsidR="009C78B5" w:rsidRDefault="00D6748B" w:rsidP="001C401A">
      <w:pPr>
        <w:pStyle w:val="Heading1"/>
      </w:pPr>
      <w:bookmarkStart w:id="63" w:name="_Ref502242324"/>
      <w:r>
        <w:t>Supplementary Text</w:t>
      </w:r>
      <w:bookmarkEnd w:id="63"/>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7C1B7532" w:rsidR="000B4EC3" w:rsidRDefault="000B4EC3" w:rsidP="001C401A">
      <w:r>
        <w:t xml:space="preserve">Density and locality were measured for subnetworks consisting of the set of genes co-annotated to each GO term and compared to scores from 1,000 random sets of genes of the same size (see </w:t>
      </w:r>
      <w:r w:rsidR="00923A5D">
        <w:t>Table 1</w:t>
      </w:r>
      <w:r>
        <w:t xml:space="preserve">; </w:t>
      </w:r>
      <w:r w:rsidR="00923A5D">
        <w:t xml:space="preserve">Supp. </w:t>
      </w:r>
      <w:r w:rsidR="00923A5D" w:rsidRPr="006C60D0">
        <w:t>Table 1</w:t>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923A5D">
        <w:t>Table 1</w:t>
      </w:r>
      <w:r>
        <w:t>). Considering terms captured by both scores or by either score, overlap between the two co-expression metrics was comparable. As previously reported</w:t>
      </w:r>
      <w:r w:rsidR="00F243C0" w:rsidRPr="00F243C0">
        <w:rPr>
          <w:noProof/>
        </w:rPr>
        <w:t xml:space="preserve"> (Schaefer et al., 2014)</w:t>
      </w:r>
      <w:r>
        <w:t>, GO terms that exhibit strong co-expression between members often do so in only a subset of the networks (</w:t>
      </w:r>
      <w:r w:rsidR="00923A5D">
        <w:t xml:space="preserve">Supp. </w:t>
      </w:r>
      <w:r w:rsidR="00923A5D" w:rsidRPr="006C60D0">
        <w:t>Table 1</w:t>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923A5D">
        <w:t xml:space="preserve">Supp. </w:t>
      </w:r>
      <w:r w:rsidR="00923A5D" w:rsidRPr="006C60D0">
        <w:t>Table 1</w:t>
      </w:r>
      <w:r>
        <w:t xml:space="preserve">). </w:t>
      </w:r>
    </w:p>
    <w:p w14:paraId="50914E6E" w14:textId="77777777" w:rsidR="000B4EC3" w:rsidRDefault="000B4EC3" w:rsidP="001C401A">
      <w:pPr>
        <w:pStyle w:val="Subtitle"/>
      </w:pPr>
      <w:r>
        <w:t xml:space="preserve"> </w:t>
      </w:r>
    </w:p>
    <w:p w14:paraId="55EA44DB" w14:textId="53804246" w:rsidR="000B4EC3" w:rsidRPr="000B4EC3" w:rsidRDefault="000B4EC3" w:rsidP="001C401A">
      <w:r>
        <w:t>In addition to detecting strong co-expression among genes previously annotated by functional processes, unsupervised network clustering using the Markov Cluster algorithm</w:t>
      </w:r>
      <w:r w:rsidR="00A01009" w:rsidRPr="00A01009">
        <w:rPr>
          <w:noProof/>
        </w:rPr>
        <w:t xml:space="preserve"> (Dongen, 2000)</w:t>
      </w:r>
      <w:r>
        <w:t xml:space="preserve"> showed distinct modules within each network (</w:t>
      </w:r>
      <w:r w:rsidR="00923A5D">
        <w:t>Supp. Table 2</w:t>
      </w:r>
      <w:r>
        <w:t xml:space="preserve">). A large number of clusters were significantly enriched for genes that are co-annotated for the same GO term (hypergeometric </w:t>
      </w:r>
      <w:r w:rsidRPr="00A10F7A">
        <w:rPr>
          <w:i/>
        </w:rPr>
        <w:t>p</w:t>
      </w:r>
      <w:r>
        <w:t xml:space="preserve">-value ≤ 0.01; </w:t>
      </w:r>
      <w:r w:rsidR="00923A5D">
        <w:t>Supp. Table 3</w:t>
      </w:r>
      <w:r>
        <w:t>). Not all clusters identified previously annotated gene sets. Many strongly co-expressed clusters lacked any previously annotated function (</w:t>
      </w:r>
      <w:r w:rsidR="00923A5D">
        <w:t>Table 2</w:t>
      </w:r>
      <w:r>
        <w:t xml:space="preserve">; </w:t>
      </w:r>
      <w:r w:rsidR="00923A5D">
        <w:t>Supp. Table 3</w:t>
      </w:r>
      <w:r>
        <w:t>) potentially identifying novel co-regulated biological processes. Additionally, all networks exhibited a truncated power law distribution in the number of significant interactions (degree) for genes in the network (</w:t>
      </w:r>
      <w:r w:rsidR="00923A5D">
        <w:t>Supp. Figure 1</w:t>
      </w:r>
      <w:r>
        <w:t>–3), which is typical of biological networks</w:t>
      </w:r>
      <w:r w:rsidR="00A01009" w:rsidRPr="00A01009">
        <w:rPr>
          <w:noProof/>
        </w:rPr>
        <w:t xml:space="preserve"> (Ghazalpour et al., 2006)</w:t>
      </w:r>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3C94B840"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923A5D">
        <w:t>Methods</w:t>
      </w:r>
      <w:r w:rsidR="00D6748B">
        <w:t>). The HPO+ sets for several of the ionomic traits showed strong GO enrichments, many of which had terms that passed strict multiple-test correction, including Al, As, Cd, Cu, Fe, K, P, Se, Sr, and Zn (</w:t>
      </w:r>
      <w:r w:rsidR="00923A5D">
        <w:t>Supp. Table 11</w:t>
      </w:r>
      <w:r w:rsidR="00D6748B">
        <w:t>). Several of the enriched GO terms were common across HPO+ sets for different elements (</w:t>
      </w:r>
      <w:r w:rsidR="00923A5D">
        <w:t>Supp. Figure 9</w:t>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923A5D">
        <w:t>Supp. Figure 9</w:t>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923A5D">
        <w:t>Supp. Figure 9</w:t>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A01009" w:rsidRPr="00A01009">
        <w:rPr>
          <w:noProof/>
        </w:rPr>
        <w:t xml:space="preserve"> (Chao et al., 2011)</w:t>
      </w:r>
      <w:r w:rsidR="00D6748B">
        <w:t>.</w:t>
      </w:r>
    </w:p>
    <w:p w14:paraId="5EA840C6" w14:textId="7F62C3DF"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923A5D">
        <w:t>Supp. Table 11</w:t>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rsidR="00A01009" w:rsidRPr="00A01009">
        <w:rPr>
          <w:noProof/>
        </w:rPr>
        <w:t xml:space="preserve"> (Fan et al., 2015)</w:t>
      </w:r>
      <w:r>
        <w:t>, which may alter P accumulation directly or via phosphatidic acid signaling</w:t>
      </w:r>
      <w:r w:rsidR="00A01009" w:rsidRPr="00A01009">
        <w:rPr>
          <w:noProof/>
        </w:rPr>
        <w:t xml:space="preserve"> (Katagiri et al., 2005)</w:t>
      </w:r>
      <w:r>
        <w:t xml:space="preserve">. </w:t>
      </w:r>
      <w:r w:rsidRPr="00F04363">
        <w:t>TGD1</w:t>
      </w:r>
      <w:r>
        <w:t xml:space="preserve"> is an ATP-binding cassette (ABC) transporter known to transport multiple substrates, including inorganic and organic cations and anions</w:t>
      </w:r>
      <w:r w:rsidR="00A01009" w:rsidRPr="00A01009">
        <w:rPr>
          <w:noProof/>
        </w:rPr>
        <w:t xml:space="preserve"> (Roston et al., 2012)</w:t>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rsidR="00923A5D">
        <w:t>Discussion</w:t>
      </w:r>
      <w:r>
        <w:t>)</w:t>
      </w:r>
      <w:r w:rsidRPr="00E81580">
        <w:t>.</w:t>
      </w:r>
    </w:p>
    <w:p w14:paraId="39417251" w14:textId="6CFD91D9"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rsidR="00A01009" w:rsidRPr="00A01009">
        <w:rPr>
          <w:noProof/>
        </w:rPr>
        <w:t xml:space="preserve"> (Lawrence et al., 2004)</w:t>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21C0E473"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923A5D">
        <w:t>Figure 7</w:t>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rsidR="00A01009" w:rsidRPr="00A01009">
        <w:rPr>
          <w:noProof/>
        </w:rPr>
        <w:t xml:space="preserve"> (Wild et al., 2016)</w:t>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08AA9EDC"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rsidR="00A01009" w:rsidRPr="00A01009">
        <w:rPr>
          <w:noProof/>
        </w:rPr>
        <w:t xml:space="preserve"> (Monaco et al., 2013)</w:t>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2531D002"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rsidR="00A01009" w:rsidRPr="00A01009">
        <w:rPr>
          <w:noProof/>
        </w:rPr>
        <w:t xml:space="preserve"> (Baxter et al., 2014)</w:t>
      </w:r>
      <w:r w:rsidRPr="007C768D">
        <w:t xml:space="preserve">. This demonstrated that segregation for a loss of function allele at </w:t>
      </w:r>
      <w:r w:rsidRPr="00262B1A">
        <w:rPr>
          <w:i/>
        </w:rPr>
        <w:t>su1</w:t>
      </w:r>
      <w:r w:rsidRPr="007C768D">
        <w:t>, on the cob, affected the levels of P, S, K, Ca, Mn, Fe, As, Se, and Rb in the seed</w:t>
      </w:r>
      <w:r w:rsidR="00A01009" w:rsidRPr="00A01009">
        <w:rPr>
          <w:noProof/>
        </w:rPr>
        <w:t xml:space="preserve"> (Baxter et al., 2014)</w:t>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923A5D">
        <w:t>Supp. Figure 9</w:t>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1EE5886"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rsidR="00A01009" w:rsidRPr="00A01009">
        <w:rPr>
          <w:noProof/>
        </w:rPr>
        <w:t xml:space="preserve"> (Chao et al., 2011)</w:t>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6549E2CF" w:rsidR="00A26D91" w:rsidRPr="00D6748B" w:rsidRDefault="00730EEA" w:rsidP="001C401A">
      <w:r>
        <w:t>Cadmium is well measured by ICP-MS and affected by substantial genetic variance</w:t>
      </w:r>
      <w:r w:rsidR="00A01009" w:rsidRPr="00A01009">
        <w:rPr>
          <w:noProof/>
        </w:rPr>
        <w:t xml:space="preserve"> (Ziegler et al., 2017)</w:t>
      </w:r>
      <w:r>
        <w:t xml:space="preserve">. We detected the largest number of HPO candidate genes for Cd (209 genes; see </w:t>
      </w:r>
      <w:r w:rsidR="00923A5D">
        <w:t>Figure 6</w:t>
      </w:r>
      <w:r>
        <w:t xml:space="preserve">). Among these were the maize </w:t>
      </w:r>
      <w:r w:rsidRPr="00262B1A">
        <w:rPr>
          <w:i/>
        </w:rPr>
        <w:t>glossy2</w:t>
      </w:r>
      <w:r>
        <w:t xml:space="preserve"> gene (GRMZM2G098239; ZmPAN-Cd), which is responsible for a step in the biosynthesis of hydrophobic barriers</w:t>
      </w:r>
      <w:r w:rsidR="00A01009" w:rsidRPr="00A01009">
        <w:rPr>
          <w:noProof/>
        </w:rPr>
        <w:t xml:space="preserve"> (Tacke et al., 1995)</w:t>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rsidR="00A01009" w:rsidRPr="00A01009">
        <w:rPr>
          <w:noProof/>
        </w:rPr>
        <w:t xml:space="preserve"> (Mason et al., 2010)</w:t>
      </w:r>
      <w:r>
        <w:t>. This gene was expressed at the highest level in th</w:t>
      </w:r>
      <w:r w:rsidR="00F52A7B">
        <w:t>e stele at 3 days after sowing.</w:t>
      </w:r>
    </w:p>
    <w:sectPr w:rsidR="00A26D91" w:rsidRPr="00D6748B" w:rsidSect="0078713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2267634" w:rsidR="000A6AF6" w:rsidRDefault="000A6AF6" w:rsidP="006804EA">
        <w:pPr>
          <w:pStyle w:val="Footer"/>
        </w:pPr>
        <w:r>
          <w:fldChar w:fldCharType="begin"/>
        </w:r>
        <w:r w:rsidRPr="006A5509">
          <w:instrText xml:space="preserve"> PAGE   \* MERGEFORMAT </w:instrText>
        </w:r>
        <w:r>
          <w:fldChar w:fldCharType="separate"/>
        </w:r>
        <w:r w:rsidR="007455F7">
          <w:rPr>
            <w:noProof/>
          </w:rPr>
          <w:t>33</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9E4"/>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6FF5"/>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5F2"/>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6CC7"/>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AB5"/>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5F7"/>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6E2"/>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767"/>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111244072">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151927644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6216-7ECA-43C8-89E4-205403535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63</Pages>
  <Words>20481</Words>
  <Characters>116748</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136956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11</cp:revision>
  <cp:lastPrinted>2017-11-17T22:34:00Z</cp:lastPrinted>
  <dcterms:created xsi:type="dcterms:W3CDTF">2018-08-16T21:05:00Z</dcterms:created>
  <dcterms:modified xsi:type="dcterms:W3CDTF">2018-08-17T00:13:00Z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