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t>Abstract</w:t>
      </w:r>
    </w:p>
    <w:p w14:paraId="557195E0" w14:textId="563E4FBA" w:rsidR="00FD145F" w:rsidRDefault="000478E9" w:rsidP="001C401A">
      <w:pPr>
        <w:spacing w:line="360" w:lineRule="auto"/>
      </w:pPr>
      <w:bookmarkStart w:id="7" w:name="_GoBack"/>
      <w:bookmarkEnd w:id="7"/>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 xml:space="preserve">non-model </w:t>
      </w:r>
      <w:r w:rsidR="00166936" w:rsidRPr="00166936">
        <w:lastRenderedPageBreak/>
        <w:t>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w:t>
      </w:r>
      <w:r>
        <w:t>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2A75137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w:t>
      </w:r>
      <w:r w:rsidRPr="006804EA">
        <w:lastRenderedPageBreak/>
        <w:t>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1C401A">
      <w:pPr>
        <w:spacing w:line="360" w:lineRule="auto"/>
      </w:pPr>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w:t>
      </w:r>
      <w:r w:rsidR="00B77B21">
        <w:lastRenderedPageBreak/>
        <w:t xml:space="preserve">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5A9CDA62"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w:t>
      </w:r>
      <w:r w:rsidR="0021270E">
        <w:lastRenderedPageBreak/>
        <w:t>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w:t>
      </w:r>
      <w:r w:rsidR="004C74DC">
        <w:lastRenderedPageBreak/>
        <w:t>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lastRenderedPageBreak/>
        <w:t>Evaluation of the Camoco framework</w:t>
      </w:r>
    </w:p>
    <w:p w14:paraId="50E2EA3F" w14:textId="0EE2D276"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w:t>
      </w:r>
      <w:r w:rsidR="00D149DC">
        <w:lastRenderedPageBreak/>
        <w:t xml:space="preserve">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w:t>
      </w:r>
      <w:r w:rsidR="000B21DB">
        <w:lastRenderedPageBreak/>
        <w:t xml:space="preserve">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t>
      </w:r>
      <w:r w:rsidR="007E3561">
        <w:lastRenderedPageBreak/>
        <w:t xml:space="preserve">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25FA39EF"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 xml:space="preserve">scalable to thousands of </w:t>
      </w:r>
      <w:r w:rsidR="0093253C">
        <w:lastRenderedPageBreak/>
        <w:t>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 xml:space="preserve">at least two SNP-to-gene mapping parameter settings </w:t>
      </w:r>
      <w:r>
        <w:lastRenderedPageBreak/>
        <w:t>(e.g.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w:t>
      </w:r>
      <w:r w:rsidR="00F11BB0">
        <w:lastRenderedPageBreak/>
        <w:t>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1D4335C0"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w:t>
      </w:r>
      <w:r w:rsidR="00404981" w:rsidRPr="007C768D">
        <w:lastRenderedPageBreak/>
        <w:t xml:space="preserve">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8"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77777777"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 There was only moderate, but positive, co-</w:t>
      </w:r>
      <w:r>
        <w:lastRenderedPageBreak/>
        <w:t xml:space="preserve">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w:t>
      </w:r>
      <w:r>
        <w:lastRenderedPageBreak/>
        <w:t xml:space="preserve">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9" w:name="_Ref487125611"/>
      <w:r>
        <w:t>Discussion</w:t>
      </w:r>
      <w:bookmarkEnd w:id="8"/>
      <w:bookmarkEnd w:id="9"/>
    </w:p>
    <w:p w14:paraId="0DCBCE29" w14:textId="31BCC976"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w:t>
      </w:r>
      <w:r>
        <w:lastRenderedPageBreak/>
        <w:t xml:space="preserve">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w:t>
      </w:r>
      <w:r w:rsidR="00744D8C">
        <w:lastRenderedPageBreak/>
        <w:t>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lastRenderedPageBreak/>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2745483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lastRenderedPageBreak/>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 xml:space="preserve">for </w:t>
      </w:r>
      <w:r w:rsidR="00271E79">
        <w:lastRenderedPageBreak/>
        <w:t>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AC8DC3A" w14:textId="2D19A45D" w:rsidR="00C42754" w:rsidRDefault="00C42754" w:rsidP="001C401A">
      <w:pPr>
        <w:pStyle w:val="Heading1"/>
        <w:spacing w:line="360" w:lineRule="auto"/>
      </w:pPr>
      <w:r>
        <w:t>Conclusion</w:t>
      </w:r>
      <w:r w:rsidR="000A4BE3">
        <w:t>s</w:t>
      </w:r>
    </w:p>
    <w:p w14:paraId="16B58200" w14:textId="06451C34" w:rsidR="0019799E" w:rsidRPr="0019799E" w:rsidRDefault="00E3277B" w:rsidP="001C401A">
      <w:pPr>
        <w:spacing w:line="360" w:lineRule="auto"/>
      </w:pPr>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lastRenderedPageBreak/>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D1712C">
        <w:t xml:space="preserve">associations </w:t>
      </w:r>
      <w:r w:rsidR="00C13811">
        <w:t>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1C401A">
      <w:pPr>
        <w:pStyle w:val="Heading1"/>
        <w:spacing w:line="360" w:lineRule="auto"/>
      </w:pPr>
      <w:bookmarkStart w:id="10" w:name="_Ref463088833"/>
      <w:r>
        <w:t>Methods</w:t>
      </w:r>
      <w:bookmarkEnd w:id="10"/>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lastRenderedPageBreak/>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1C401A">
      <w:pPr>
        <w:pStyle w:val="Heading3"/>
        <w:spacing w:line="360" w:lineRule="auto"/>
      </w:pPr>
      <w:r>
        <w:lastRenderedPageBreak/>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4CF48D53"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w:t>
      </w:r>
      <w:r w:rsidR="00C275C7">
        <w:lastRenderedPageBreak/>
        <w:t xml:space="preserve">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16" w:name="_Ref447101571"/>
      <w:r>
        <w:t>Eq.</w:t>
      </w:r>
      <w:r w:rsidR="000853EA">
        <w:t xml:space="preserve"> </w:t>
      </w:r>
      <w:r w:rsidR="00503064">
        <w:t>4</w:t>
      </w:r>
      <w:bookmarkEnd w:id="16"/>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1C401A">
      <w:pPr>
        <w:spacing w:line="360" w:lineRule="auto"/>
      </w:pPr>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17" w:name="_Ref484125232"/>
      <w:r>
        <w:t>Eq.</w:t>
      </w:r>
      <w:r w:rsidR="00BB1654">
        <w:t xml:space="preserve"> 5</w:t>
      </w:r>
      <w:bookmarkEnd w:id="17"/>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18" w:name="_Ref458775441"/>
      <w:bookmarkStart w:id="19" w:name="_Ref484125256"/>
      <w:r>
        <w:t>Eq.</w:t>
      </w:r>
      <w:r w:rsidR="00220757">
        <w:t xml:space="preserve"> 6</w:t>
      </w:r>
      <w:bookmarkEnd w:id="18"/>
      <w:bookmarkEnd w:id="19"/>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lastRenderedPageBreak/>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3AE3C7B8"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w:t>
      </w:r>
      <w:r>
        <w:lastRenderedPageBreak/>
        <w:t>analysis for each trait was performed 100 times by randomly sampling, without replacement, 80% of the lines from each population.</w:t>
      </w:r>
    </w:p>
    <w:p w14:paraId="06DE2463" w14:textId="0BB7D78C" w:rsidR="006F36A4" w:rsidRDefault="00393ABF" w:rsidP="001C401A">
      <w:pPr>
        <w:spacing w:line="360" w:lineRule="auto"/>
      </w:pPr>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lastRenderedPageBreak/>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1C401A">
      <w:pPr>
        <w:pStyle w:val="Heading1"/>
        <w:spacing w:line="360" w:lineRule="auto"/>
      </w:pPr>
      <w:r>
        <w:t>Declarations</w:t>
      </w:r>
    </w:p>
    <w:p w14:paraId="3FC05FCE" w14:textId="1F6AEA03" w:rsidR="00A76A79" w:rsidRDefault="00A76A79" w:rsidP="001C401A">
      <w:pPr>
        <w:pStyle w:val="Heading2"/>
        <w:spacing w:line="360" w:lineRule="auto"/>
      </w:pPr>
      <w:r>
        <w:t>Ethics approval and consent to participate</w:t>
      </w:r>
    </w:p>
    <w:p w14:paraId="63A02903" w14:textId="655AB395" w:rsidR="00A76A79" w:rsidRPr="00A76A79" w:rsidRDefault="00A76A79" w:rsidP="001C401A">
      <w:pPr>
        <w:spacing w:line="360" w:lineRule="auto"/>
      </w:pPr>
      <w:r>
        <w:t>Not applicable.</w:t>
      </w:r>
    </w:p>
    <w:p w14:paraId="52282831" w14:textId="49FAD83A" w:rsidR="00A76A79" w:rsidRDefault="00A76A79" w:rsidP="001C401A">
      <w:pPr>
        <w:pStyle w:val="Heading2"/>
        <w:spacing w:line="360" w:lineRule="auto"/>
      </w:pPr>
      <w:r>
        <w:t>Consent for publication</w:t>
      </w:r>
    </w:p>
    <w:p w14:paraId="3745F739" w14:textId="048077F4" w:rsidR="00A76A79" w:rsidRPr="00A76A79" w:rsidRDefault="00A76A79" w:rsidP="001C401A">
      <w:pPr>
        <w:spacing w:line="360" w:lineRule="auto"/>
      </w:pPr>
      <w:r>
        <w:t>Not applicable.</w:t>
      </w:r>
    </w:p>
    <w:p w14:paraId="699ACF24" w14:textId="320CE403" w:rsidR="00A76A79" w:rsidRDefault="00A76A79" w:rsidP="001C401A">
      <w:pPr>
        <w:pStyle w:val="Heading2"/>
        <w:spacing w:line="360" w:lineRule="auto"/>
      </w:pPr>
      <w:r>
        <w:t>Availability of data and material</w:t>
      </w:r>
    </w:p>
    <w:p w14:paraId="339427D3" w14:textId="371F0359" w:rsidR="00A76A79" w:rsidRPr="00A76A79" w:rsidRDefault="003D04E0" w:rsidP="001C401A">
      <w:pPr>
        <w:spacing w:line="360" w:lineRule="auto"/>
      </w:pPr>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lastRenderedPageBreak/>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1C401A">
      <w:pPr>
        <w:pStyle w:val="Heading2"/>
        <w:spacing w:line="360" w:lineRule="auto"/>
      </w:pPr>
      <w:r>
        <w:t>Competing interests</w:t>
      </w:r>
    </w:p>
    <w:p w14:paraId="164496D8" w14:textId="5EB679FB" w:rsidR="00A76A79" w:rsidRPr="00A76A79" w:rsidRDefault="00A76A79" w:rsidP="001C401A">
      <w:pPr>
        <w:spacing w:line="360" w:lineRule="auto"/>
      </w:pPr>
      <w:r>
        <w:t>The authors declare they have no competing interests.</w:t>
      </w:r>
    </w:p>
    <w:p w14:paraId="51AB1942" w14:textId="68822761" w:rsidR="00A76A79" w:rsidRDefault="00A76A79" w:rsidP="001C401A">
      <w:pPr>
        <w:pStyle w:val="Heading2"/>
        <w:spacing w:line="360" w:lineRule="auto"/>
      </w:pPr>
      <w:r>
        <w:t>Funding</w:t>
      </w:r>
    </w:p>
    <w:p w14:paraId="686D5BE3" w14:textId="466EAC2E" w:rsidR="003F4242" w:rsidRPr="003F4242" w:rsidRDefault="003C494A" w:rsidP="001C401A">
      <w:pPr>
        <w:spacing w:line="360" w:lineRule="auto"/>
      </w:pPr>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1C401A">
      <w:pPr>
        <w:pStyle w:val="Heading2"/>
        <w:spacing w:line="360" w:lineRule="auto"/>
      </w:pPr>
      <w:r>
        <w:t>Authors' contributions</w:t>
      </w:r>
    </w:p>
    <w:p w14:paraId="097DFBE7" w14:textId="4F29F4A4" w:rsidR="002E7DDF" w:rsidRPr="002E7DDF" w:rsidRDefault="002E7DDF"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1C401A">
      <w:pPr>
        <w:pStyle w:val="Heading2"/>
        <w:spacing w:line="360" w:lineRule="auto"/>
      </w:pPr>
      <w:r>
        <w:t>Acknowledgements</w:t>
      </w:r>
    </w:p>
    <w:p w14:paraId="463DA6BE" w14:textId="4487BAAA"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1C401A">
      <w:pPr>
        <w:pStyle w:val="Heading1"/>
        <w:spacing w:line="360" w:lineRule="auto"/>
      </w:pPr>
      <w:r>
        <w:t>References</w:t>
      </w:r>
    </w:p>
    <w:p w14:paraId="52AA224B" w14:textId="06941C26" w:rsidR="002E7ACB" w:rsidRPr="002E7ACB" w:rsidRDefault="003F1192" w:rsidP="001C401A">
      <w:pPr>
        <w:widowControl w:val="0"/>
        <w:autoSpaceDE w:val="0"/>
        <w:autoSpaceDN w:val="0"/>
        <w:adjustRightInd w:val="0"/>
        <w:spacing w:line="360" w:lineRule="auto"/>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 Peiffer JA, Romay MC, Gore MA, Flint-Garcia SA, Zhang Z, Millard MJ, et al. The </w:t>
      </w:r>
      <w:r w:rsidRPr="002E7ACB">
        <w:rPr>
          <w:rFonts w:cs="Times New Roman"/>
          <w:noProof/>
          <w:szCs w:val="24"/>
        </w:rPr>
        <w:lastRenderedPageBreak/>
        <w:t xml:space="preserve">Genetic Architecture of Maize Height. Genetics. 2014; </w:t>
      </w:r>
    </w:p>
    <w:p w14:paraId="6A7F61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w:t>
      </w:r>
      <w:r w:rsidRPr="002E7ACB">
        <w:rPr>
          <w:rFonts w:cs="Times New Roman"/>
          <w:noProof/>
          <w:szCs w:val="24"/>
        </w:rPr>
        <w:lastRenderedPageBreak/>
        <w:t xml:space="preserve">(Bethesda). 2014;4:805–12. </w:t>
      </w:r>
    </w:p>
    <w:p w14:paraId="516FE8A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23. Swanson-Wagner R, Briskine R, Schaefer R, Hufford MB, Ross-Ibarra J, Myers CL, </w:t>
      </w:r>
      <w:r w:rsidRPr="002E7ACB">
        <w:rPr>
          <w:rFonts w:cs="Times New Roman"/>
          <w:noProof/>
          <w:szCs w:val="24"/>
        </w:rPr>
        <w:lastRenderedPageBreak/>
        <w:t xml:space="preserve">et al. Reshaping of the maize transcriptome by domestication. PNAS. National Acad Sciences; 2012;109:11878–83. </w:t>
      </w:r>
    </w:p>
    <w:p w14:paraId="03E04A7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w:t>
      </w:r>
      <w:r w:rsidRPr="002E7ACB">
        <w:rPr>
          <w:rFonts w:cs="Times New Roman"/>
          <w:noProof/>
          <w:szCs w:val="24"/>
        </w:rPr>
        <w:lastRenderedPageBreak/>
        <w:t xml:space="preserve">Acad. Sci. U. S. A. 2008;105:12081–6. </w:t>
      </w:r>
    </w:p>
    <w:p w14:paraId="03A95D3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w:t>
      </w:r>
      <w:r w:rsidRPr="002E7ACB">
        <w:rPr>
          <w:rFonts w:cs="Times New Roman"/>
          <w:noProof/>
          <w:szCs w:val="24"/>
        </w:rPr>
        <w:lastRenderedPageBreak/>
        <w:t xml:space="preserve">Signals of Gene by Environment Interactions. bioRxiv. 2017; </w:t>
      </w:r>
    </w:p>
    <w:p w14:paraId="3B1E8F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w:t>
      </w:r>
      <w:r w:rsidRPr="002E7ACB">
        <w:rPr>
          <w:rFonts w:cs="Times New Roman"/>
          <w:noProof/>
          <w:szCs w:val="24"/>
        </w:rPr>
        <w:lastRenderedPageBreak/>
        <w:t xml:space="preserve">RNA Transcriptomes in Maize. Plant Cell Online. 2009;21:1053–69. </w:t>
      </w:r>
    </w:p>
    <w:p w14:paraId="49561DC7" w14:textId="4FF8B0E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1C401A">
      <w:pPr>
        <w:widowControl w:val="0"/>
        <w:autoSpaceDE w:val="0"/>
        <w:autoSpaceDN w:val="0"/>
        <w:adjustRightInd w:val="0"/>
        <w:spacing w:line="360" w:lineRule="auto"/>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lastRenderedPageBreak/>
        <w:t xml:space="preserve">64. Lindgreen S. AdapterRemoval: easy cleaning of next-generation sequencing reads. BMC Res. Notes. 2012;5:337. </w:t>
      </w:r>
    </w:p>
    <w:p w14:paraId="5B58594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1C401A">
      <w:pPr>
        <w:widowControl w:val="0"/>
        <w:autoSpaceDE w:val="0"/>
        <w:autoSpaceDN w:val="0"/>
        <w:adjustRightInd w:val="0"/>
        <w:spacing w:line="360" w:lineRule="auto"/>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1C401A">
      <w:pPr>
        <w:spacing w:line="360" w:lineRule="auto"/>
      </w:pPr>
      <w:r>
        <w:lastRenderedPageBreak/>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20" w:name="_Ref444765587"/>
      <w:r>
        <w:t>Figure 1</w:t>
      </w:r>
      <w:bookmarkEnd w:id="20"/>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21" w:name="_Ref487124030"/>
      <w:r>
        <w:t>Figure 2</w:t>
      </w:r>
      <w:bookmarkEnd w:id="21"/>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w:t>
      </w:r>
      <w:r>
        <w:lastRenderedPageBreak/>
        <w:t xml:space="preserve">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22" w:name="_Ref456807908"/>
      <w:bookmarkStart w:id="23" w:name="_Ref458794783"/>
      <w:r>
        <w:t>Figure 3</w:t>
      </w:r>
      <w:bookmarkEnd w:id="22"/>
      <w:bookmarkEnd w:id="23"/>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24" w:name="_Ref458700744"/>
      <w:r>
        <w:t>Figure 4</w:t>
      </w:r>
      <w:bookmarkStart w:id="25" w:name="EditPoint"/>
      <w:bookmarkEnd w:id="24"/>
      <w:bookmarkEnd w:id="25"/>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26" w:name="_Ref458721156"/>
      <w:bookmarkStart w:id="27" w:name="_Ref447197618"/>
      <w:r>
        <w:lastRenderedPageBreak/>
        <w:t>Figure 5</w:t>
      </w:r>
      <w:bookmarkEnd w:id="26"/>
      <w:bookmarkEnd w:id="27"/>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28" w:name="_Ref485996339"/>
      <w:r>
        <w:t>Figure 6</w:t>
      </w:r>
      <w:bookmarkEnd w:id="28"/>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29" w:name="_Ref481757037"/>
      <w:bookmarkStart w:id="30" w:name="_Ref484529183"/>
      <w:r>
        <w:t>Figure</w:t>
      </w:r>
      <w:r w:rsidR="004603F1">
        <w:t xml:space="preserve"> 7</w:t>
      </w:r>
      <w:bookmarkEnd w:id="29"/>
      <w:bookmarkEnd w:id="30"/>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31" w:name="_Ref484091798"/>
      <w:r>
        <w:lastRenderedPageBreak/>
        <w:t>Figure</w:t>
      </w:r>
      <w:r w:rsidR="004603F1">
        <w:t xml:space="preserve"> 8</w:t>
      </w:r>
      <w:bookmarkEnd w:id="31"/>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1C401A">
      <w:pPr>
        <w:pStyle w:val="Heading1"/>
        <w:spacing w:line="360" w:lineRule="auto"/>
      </w:pPr>
      <w:r>
        <w:t>Tables</w:t>
      </w:r>
    </w:p>
    <w:p w14:paraId="673C8DCE" w14:textId="5C0A8D5C" w:rsidR="00107824" w:rsidRPr="0067528A" w:rsidRDefault="00B6189E" w:rsidP="001C401A">
      <w:pPr>
        <w:pStyle w:val="Heading2"/>
        <w:spacing w:line="360" w:lineRule="auto"/>
        <w:rPr>
          <w:rStyle w:val="SubtleEmphasis"/>
        </w:rPr>
      </w:pPr>
      <w:bookmarkStart w:id="32" w:name="_Ref458774860"/>
      <w:r>
        <w:rPr>
          <w:rStyle w:val="SubtleEmphasis"/>
        </w:rPr>
        <w:t>Table 1</w:t>
      </w:r>
      <w:bookmarkEnd w:id="32"/>
    </w:p>
    <w:p w14:paraId="4ED5F69B" w14:textId="22C0A06D" w:rsidR="00CB2E22" w:rsidRPr="00CB2E22" w:rsidRDefault="00107824" w:rsidP="001C401A">
      <w:pPr>
        <w:pStyle w:val="Heading3"/>
        <w:spacing w:line="360" w:lineRule="auto"/>
      </w:pPr>
      <w:r>
        <w:t>Significantly co-expressed GO terms</w:t>
      </w:r>
    </w:p>
    <w:p w14:paraId="1C5B80B3" w14:textId="58E91AE8" w:rsidR="00107824" w:rsidRDefault="00107824" w:rsidP="001C401A">
      <w:pPr>
        <w:pStyle w:val="Subtitle"/>
        <w:spacing w:line="360" w:lineRule="auto"/>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1C401A">
      <w:pPr>
        <w:pStyle w:val="Heading2"/>
        <w:spacing w:line="360" w:lineRule="auto"/>
      </w:pPr>
      <w:bookmarkStart w:id="33" w:name="_Ref458774880"/>
      <w:r>
        <w:t>Table 2</w:t>
      </w:r>
      <w:bookmarkEnd w:id="33"/>
    </w:p>
    <w:p w14:paraId="7BF079A5" w14:textId="77777777" w:rsidR="00107824" w:rsidRDefault="00107824" w:rsidP="001C401A">
      <w:pPr>
        <w:pStyle w:val="Heading3"/>
        <w:spacing w:line="360" w:lineRule="auto"/>
      </w:pPr>
      <w:r>
        <w:t>Gene co-expression network cluster assignments</w:t>
      </w:r>
    </w:p>
    <w:p w14:paraId="6EA73C44" w14:textId="53C4C7D7" w:rsidR="00107824" w:rsidRDefault="00107824" w:rsidP="001C401A">
      <w:pPr>
        <w:pStyle w:val="Subtitle"/>
        <w:spacing w:line="360" w:lineRule="auto"/>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34" w:name="_Ref447013206"/>
      <w:r>
        <w:t>Supp. Figure 1</w:t>
      </w:r>
      <w:bookmarkEnd w:id="34"/>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35" w:name="_Ref447013895"/>
      <w:r>
        <w:lastRenderedPageBreak/>
        <w:t>Supp. Figure 2</w:t>
      </w:r>
      <w:bookmarkEnd w:id="35"/>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36" w:name="_Ref447015478"/>
      <w:r>
        <w:t>Supp. Figure 3</w:t>
      </w:r>
      <w:bookmarkEnd w:id="36"/>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37" w:name="_Ref447187909"/>
      <w:r>
        <w:t>Supp. Figure 4</w:t>
      </w:r>
      <w:bookmarkEnd w:id="37"/>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38" w:name="_Ref470857301"/>
      <w:r>
        <w:t>Supp. Figure 5</w:t>
      </w:r>
      <w:bookmarkEnd w:id="38"/>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39" w:name="_Ref481678956"/>
      <w:r>
        <w:t>Supp. Figure 6</w:t>
      </w:r>
      <w:bookmarkEnd w:id="39"/>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40" w:name="_Ref486000600"/>
      <w:r>
        <w:t>Supp. Figure 7</w:t>
      </w:r>
      <w:bookmarkEnd w:id="40"/>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41" w:name="_Ref489428564"/>
      <w:r>
        <w:t>Supp. Figure 8</w:t>
      </w:r>
      <w:bookmarkEnd w:id="41"/>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w:t>
      </w:r>
      <w:r>
        <w:lastRenderedPageBreak/>
        <w:t xml:space="preserve">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42" w:name="_Ref483951527"/>
      <w:r>
        <w:t>Supp. Figure 9</w:t>
      </w:r>
      <w:bookmarkEnd w:id="42"/>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6CD419B6" w14:textId="422426BE" w:rsidR="005F2ACB" w:rsidRDefault="003B691E" w:rsidP="001C401A">
      <w:pPr>
        <w:pStyle w:val="Heading1"/>
        <w:spacing w:line="360" w:lineRule="auto"/>
      </w:pPr>
      <w:r>
        <w:t>Supplemental Data</w:t>
      </w:r>
    </w:p>
    <w:p w14:paraId="1FEB41FF" w14:textId="04765546" w:rsidR="00247FEC" w:rsidRDefault="000B40B5" w:rsidP="001C401A">
      <w:pPr>
        <w:pStyle w:val="Heading2"/>
        <w:spacing w:line="360" w:lineRule="auto"/>
      </w:pPr>
      <w:bookmarkStart w:id="43" w:name="_Ref479246505"/>
      <w:r>
        <w:t>Supp. Table 1</w:t>
      </w:r>
      <w:bookmarkEnd w:id="43"/>
    </w:p>
    <w:p w14:paraId="1F4F9640" w14:textId="77777777" w:rsidR="00247FEC" w:rsidRDefault="00301559" w:rsidP="001C401A">
      <w:pPr>
        <w:pStyle w:val="Heading3"/>
        <w:spacing w:line="360" w:lineRule="auto"/>
      </w:pPr>
      <w:r>
        <w:t>Full gene ontology term density and l</w:t>
      </w:r>
      <w:r w:rsidR="00247FEC">
        <w:t>ocality</w:t>
      </w:r>
      <w:r>
        <w:t xml:space="preserve"> </w:t>
      </w:r>
      <w:r w:rsidRPr="0068745C">
        <w:rPr>
          <w:i/>
        </w:rPr>
        <w:t>p</w:t>
      </w:r>
      <w:r>
        <w:t>-values</w:t>
      </w:r>
    </w:p>
    <w:p w14:paraId="4B43DB15" w14:textId="728F3F82" w:rsidR="00247FEC" w:rsidRDefault="00247FEC" w:rsidP="001C401A">
      <w:pPr>
        <w:pStyle w:val="Subtitle"/>
        <w:spacing w:line="360" w:lineRule="auto"/>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1C401A">
      <w:pPr>
        <w:pStyle w:val="Heading2"/>
        <w:spacing w:line="360" w:lineRule="auto"/>
      </w:pPr>
      <w:bookmarkStart w:id="44" w:name="_Ref483825641"/>
      <w:r>
        <w:t>Supp. Table 2</w:t>
      </w:r>
      <w:bookmarkEnd w:id="44"/>
    </w:p>
    <w:p w14:paraId="6767D020" w14:textId="77777777" w:rsidR="00301559" w:rsidRDefault="00301559" w:rsidP="001C401A">
      <w:pPr>
        <w:pStyle w:val="Heading3"/>
        <w:spacing w:line="360" w:lineRule="auto"/>
      </w:pPr>
      <w:r>
        <w:t>Network MCL cluster gene assignments</w:t>
      </w:r>
    </w:p>
    <w:p w14:paraId="14A838EA" w14:textId="3357E154" w:rsidR="00634DFC" w:rsidRDefault="002E7652" w:rsidP="001C401A">
      <w:pPr>
        <w:pStyle w:val="Subtitle"/>
        <w:spacing w:line="360" w:lineRule="auto"/>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1C401A">
      <w:pPr>
        <w:pStyle w:val="Heading2"/>
        <w:spacing w:line="360" w:lineRule="auto"/>
      </w:pPr>
      <w:bookmarkStart w:id="45" w:name="_Ref494793753"/>
      <w:r>
        <w:t>Supp. Tabl</w:t>
      </w:r>
      <w:r w:rsidR="0070283E">
        <w:t>e 3</w:t>
      </w:r>
      <w:r>
        <w:t xml:space="preserve"> </w:t>
      </w:r>
      <w:bookmarkEnd w:id="45"/>
    </w:p>
    <w:p w14:paraId="23662C7F" w14:textId="117DED48" w:rsidR="00976C8A" w:rsidRDefault="00976C8A" w:rsidP="001C401A">
      <w:pPr>
        <w:pStyle w:val="Heading3"/>
        <w:spacing w:line="360" w:lineRule="auto"/>
      </w:pPr>
      <w:r>
        <w:t>Network MCL cluster GO enrichment</w:t>
      </w:r>
    </w:p>
    <w:p w14:paraId="2704907D" w14:textId="0A092ADD" w:rsidR="00976C8A" w:rsidRPr="00976C8A" w:rsidRDefault="00F31445" w:rsidP="001C401A">
      <w:pPr>
        <w:pStyle w:val="Subtitle"/>
        <w:spacing w:line="360" w:lineRule="auto"/>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1C401A">
      <w:pPr>
        <w:pStyle w:val="Heading2"/>
        <w:spacing w:line="360" w:lineRule="auto"/>
      </w:pPr>
      <w:bookmarkStart w:id="46" w:name="_Ref479248756"/>
      <w:r>
        <w:lastRenderedPageBreak/>
        <w:t>Supp. Table 4</w:t>
      </w:r>
      <w:bookmarkEnd w:id="46"/>
    </w:p>
    <w:p w14:paraId="44CF6947" w14:textId="10082D5B" w:rsidR="00573EC0" w:rsidRDefault="00573EC0" w:rsidP="001C401A">
      <w:pPr>
        <w:pStyle w:val="Heading3"/>
        <w:spacing w:line="360" w:lineRule="auto"/>
      </w:pPr>
      <w:r>
        <w:t>Network signal of GO terms with various levels of MCR/FCR</w:t>
      </w:r>
    </w:p>
    <w:p w14:paraId="6406A840" w14:textId="023993EA" w:rsidR="008A3B8C" w:rsidRDefault="00DF2FBA" w:rsidP="001C401A">
      <w:pPr>
        <w:pStyle w:val="Subtitle"/>
        <w:spacing w:line="360" w:lineRule="auto"/>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1C401A">
      <w:pPr>
        <w:pStyle w:val="Heading2"/>
        <w:spacing w:line="360" w:lineRule="auto"/>
      </w:pPr>
      <w:bookmarkStart w:id="47" w:name="_Ref499548832"/>
      <w:r>
        <w:t>Supp. Table 5</w:t>
      </w:r>
      <w:bookmarkEnd w:id="47"/>
    </w:p>
    <w:p w14:paraId="5DA9F384" w14:textId="77777777" w:rsidR="003067B4" w:rsidRDefault="003067B4" w:rsidP="001C401A">
      <w:pPr>
        <w:pStyle w:val="Heading3"/>
        <w:spacing w:line="360" w:lineRule="auto"/>
      </w:pPr>
      <w:r>
        <w:t>Maize grain ionome SNP-to-gene mapping results</w:t>
      </w:r>
    </w:p>
    <w:p w14:paraId="48F087FD" w14:textId="719A2619" w:rsidR="003067B4" w:rsidRPr="003067B4" w:rsidRDefault="003067B4" w:rsidP="001C401A">
      <w:pPr>
        <w:pStyle w:val="Subtitle"/>
        <w:spacing w:line="360" w:lineRule="auto"/>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1C401A">
      <w:pPr>
        <w:pStyle w:val="Heading2"/>
        <w:spacing w:line="360" w:lineRule="auto"/>
      </w:pPr>
      <w:bookmarkStart w:id="48" w:name="_Ref479162360"/>
      <w:bookmarkStart w:id="49" w:name="_Ref479250924"/>
      <w:r>
        <w:t>Supp. Table 6</w:t>
      </w:r>
      <w:bookmarkEnd w:id="48"/>
      <w:bookmarkEnd w:id="49"/>
    </w:p>
    <w:p w14:paraId="149ADDDF" w14:textId="7F8A72C6" w:rsidR="00301559" w:rsidRDefault="00301559" w:rsidP="001C401A">
      <w:pPr>
        <w:pStyle w:val="Heading3"/>
        <w:spacing w:line="360" w:lineRule="auto"/>
      </w:pPr>
      <w:r>
        <w:t xml:space="preserve">Maize </w:t>
      </w:r>
      <w:r w:rsidR="00145345">
        <w:t>grain ion</w:t>
      </w:r>
      <w:r>
        <w:t xml:space="preserve">ome GWAS </w:t>
      </w:r>
      <w:r w:rsidR="00145345">
        <w:t>network overlap candidate ge</w:t>
      </w:r>
      <w:r>
        <w:t>nes</w:t>
      </w:r>
    </w:p>
    <w:p w14:paraId="143E77FA" w14:textId="7E9FC87D" w:rsidR="00301559" w:rsidRDefault="00301559" w:rsidP="001C401A">
      <w:pPr>
        <w:pStyle w:val="Subtitle"/>
        <w:spacing w:line="360" w:lineRule="auto"/>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1C401A">
      <w:pPr>
        <w:pStyle w:val="Heading2"/>
        <w:spacing w:line="360" w:lineRule="auto"/>
      </w:pPr>
      <w:bookmarkStart w:id="50" w:name="_Ref480187199"/>
      <w:r>
        <w:t>Supp. Table 7</w:t>
      </w:r>
      <w:bookmarkEnd w:id="50"/>
    </w:p>
    <w:p w14:paraId="390116F7" w14:textId="64836F2B" w:rsidR="0099107B" w:rsidRDefault="0099107B" w:rsidP="001C401A">
      <w:pPr>
        <w:pStyle w:val="Heading3"/>
        <w:spacing w:line="360" w:lineRule="auto"/>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1C401A">
      <w:pPr>
        <w:pStyle w:val="Subtitle"/>
        <w:spacing w:line="360" w:lineRule="auto"/>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w:t>
      </w:r>
      <w:r w:rsidR="00B95386">
        <w:lastRenderedPageBreak/>
        <w:t>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1C401A">
      <w:pPr>
        <w:pStyle w:val="Heading2"/>
        <w:spacing w:line="360" w:lineRule="auto"/>
      </w:pPr>
      <w:bookmarkStart w:id="51" w:name="_Ref486516422"/>
      <w:r>
        <w:t>Supp. Table 8</w:t>
      </w:r>
      <w:bookmarkEnd w:id="51"/>
    </w:p>
    <w:p w14:paraId="3AF90F38" w14:textId="77777777" w:rsidR="003A4EB2" w:rsidRDefault="003A4EB2" w:rsidP="001C401A">
      <w:pPr>
        <w:pStyle w:val="Heading3"/>
        <w:spacing w:line="360" w:lineRule="auto"/>
      </w:pPr>
      <w:r>
        <w:t>HPO genes discovered with networks built from accessions subsets</w:t>
      </w:r>
    </w:p>
    <w:p w14:paraId="7FC9B54D" w14:textId="3483F94F" w:rsidR="003A4EB2" w:rsidRDefault="00871A6F" w:rsidP="001C401A">
      <w:pPr>
        <w:pStyle w:val="Subtitle"/>
        <w:spacing w:line="360" w:lineRule="auto"/>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1C401A">
      <w:pPr>
        <w:pStyle w:val="Heading2"/>
        <w:spacing w:line="360" w:lineRule="auto"/>
      </w:pPr>
      <w:bookmarkStart w:id="52" w:name="_Ref486581168"/>
      <w:r>
        <w:t>Supp. Table 9</w:t>
      </w:r>
      <w:bookmarkEnd w:id="52"/>
    </w:p>
    <w:p w14:paraId="61321DD6" w14:textId="4C51046D" w:rsidR="002F7BB4" w:rsidRDefault="002F7BB4" w:rsidP="001C401A">
      <w:pPr>
        <w:pStyle w:val="Heading3"/>
        <w:spacing w:line="360" w:lineRule="auto"/>
      </w:pPr>
      <w:r>
        <w:t xml:space="preserve">Multiple </w:t>
      </w:r>
      <w:r w:rsidR="00566BF8">
        <w:t>e</w:t>
      </w:r>
      <w:r>
        <w:t>lement HPO gene list</w:t>
      </w:r>
    </w:p>
    <w:p w14:paraId="5AAF849D" w14:textId="23F43FFA" w:rsidR="002F7BB4" w:rsidRPr="002F7BB4" w:rsidRDefault="002F7BB4" w:rsidP="001C401A">
      <w:pPr>
        <w:pStyle w:val="Subtitle"/>
        <w:spacing w:line="360" w:lineRule="auto"/>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1C401A">
      <w:pPr>
        <w:pStyle w:val="Heading2"/>
        <w:spacing w:line="360" w:lineRule="auto"/>
      </w:pPr>
      <w:bookmarkStart w:id="53" w:name="_Ref479316734"/>
      <w:bookmarkStart w:id="54" w:name="_Ref486000980"/>
      <w:r>
        <w:t>Supp. Table 10</w:t>
      </w:r>
      <w:bookmarkEnd w:id="53"/>
      <w:bookmarkEnd w:id="54"/>
    </w:p>
    <w:p w14:paraId="25B09B77" w14:textId="2E09F0F3" w:rsidR="00DF5470" w:rsidRDefault="00DF5470" w:rsidP="001C401A">
      <w:pPr>
        <w:pStyle w:val="Heading3"/>
        <w:spacing w:line="360" w:lineRule="auto"/>
      </w:pPr>
      <w:r>
        <w:t>Element</w:t>
      </w:r>
      <w:r w:rsidR="00566BF8">
        <w:t xml:space="preserve"> gene ontology enrich</w:t>
      </w:r>
      <w:r>
        <w:t>ment</w:t>
      </w:r>
    </w:p>
    <w:p w14:paraId="0348F5E8" w14:textId="0FD66258" w:rsidR="00D04EE5" w:rsidRDefault="00DF5470" w:rsidP="001C401A">
      <w:pPr>
        <w:pStyle w:val="Subtitle"/>
        <w:spacing w:line="360" w:lineRule="auto"/>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1C401A">
      <w:pPr>
        <w:pStyle w:val="Heading2"/>
        <w:spacing w:line="360" w:lineRule="auto"/>
      </w:pPr>
      <w:bookmarkStart w:id="55" w:name="_Ref481755630"/>
      <w:bookmarkStart w:id="56" w:name="_Ref483912443"/>
      <w:bookmarkStart w:id="57" w:name="_Ref486581620"/>
      <w:r>
        <w:t>Supp. Table 11</w:t>
      </w:r>
      <w:bookmarkEnd w:id="55"/>
      <w:bookmarkEnd w:id="56"/>
      <w:bookmarkEnd w:id="57"/>
    </w:p>
    <w:p w14:paraId="432A3CED" w14:textId="7F12F051" w:rsidR="009C78B5" w:rsidRDefault="009C78B5" w:rsidP="001C401A">
      <w:pPr>
        <w:pStyle w:val="Heading3"/>
        <w:spacing w:line="360" w:lineRule="auto"/>
      </w:pPr>
      <w:r>
        <w:t xml:space="preserve">HPO plus neighbors </w:t>
      </w:r>
      <w:r w:rsidR="00566BF8">
        <w:t>gene ontology enri</w:t>
      </w:r>
      <w:r>
        <w:t>chment</w:t>
      </w:r>
    </w:p>
    <w:p w14:paraId="1C595455" w14:textId="62FC3FB8" w:rsidR="00631193" w:rsidRDefault="00515562" w:rsidP="001C401A">
      <w:pPr>
        <w:pStyle w:val="Subtitle"/>
        <w:spacing w:line="360" w:lineRule="auto"/>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1C401A">
      <w:pPr>
        <w:pStyle w:val="Heading1"/>
        <w:spacing w:line="360" w:lineRule="auto"/>
      </w:pPr>
      <w:bookmarkStart w:id="58" w:name="_Ref502242324"/>
      <w:r>
        <w:lastRenderedPageBreak/>
        <w:t>Supplementary Text</w:t>
      </w:r>
      <w:bookmarkEnd w:id="58"/>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57AF3742"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4F389E1"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1C401A">
      <w:pPr>
        <w:pStyle w:val="Heading2"/>
        <w:spacing w:line="360" w:lineRule="auto"/>
      </w:pPr>
      <w:r w:rsidRPr="00333516">
        <w:lastRenderedPageBreak/>
        <w:t xml:space="preserve">Enrichment analysis of </w:t>
      </w:r>
      <w:r w:rsidR="00CD7DC7">
        <w:t>HPO and HPO+ candidate gene sets</w:t>
      </w:r>
    </w:p>
    <w:p w14:paraId="0FD44D5A" w14:textId="0E49745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xml:space="preserve">, which may alter P accumulation directly or via phosphatidic acid </w:t>
      </w:r>
      <w:r>
        <w:lastRenderedPageBreak/>
        <w:t>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6BDF2525"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w:t>
      </w:r>
      <w:r>
        <w:lastRenderedPageBreak/>
        <w:t xml:space="preserve">(GRMZM2G079470).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lastRenderedPageBreak/>
        <w:t>Previously described HPO genes and their effects on the ionome</w:t>
      </w:r>
    </w:p>
    <w:p w14:paraId="007BAB1E" w14:textId="3E87D46D"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w:t>
      </w:r>
      <w:r w:rsidRPr="00B750E1">
        <w:lastRenderedPageBreak/>
        <w:t xml:space="preserve">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1C401A">
      <w:pPr>
        <w:spacing w:line="360" w:lineRule="auto"/>
      </w:pPr>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w:t>
      </w:r>
      <w:r>
        <w:lastRenderedPageBreak/>
        <w:t xml:space="preserve">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1C401A" w:rsidRDefault="001C401A" w:rsidP="006804EA">
      <w:r>
        <w:separator/>
      </w:r>
    </w:p>
  </w:endnote>
  <w:endnote w:type="continuationSeparator" w:id="0">
    <w:p w14:paraId="74C69D6B" w14:textId="77777777" w:rsidR="001C401A" w:rsidRDefault="001C401A" w:rsidP="006804EA">
      <w:r>
        <w:continuationSeparator/>
      </w:r>
    </w:p>
  </w:endnote>
  <w:endnote w:type="continuationNotice" w:id="1">
    <w:p w14:paraId="362E72DC" w14:textId="77777777" w:rsidR="001C401A" w:rsidRDefault="001C40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784E63A" w:rsidR="001C401A" w:rsidRDefault="001C401A" w:rsidP="006804EA">
        <w:pPr>
          <w:pStyle w:val="Footer"/>
        </w:pPr>
        <w:r>
          <w:fldChar w:fldCharType="begin"/>
        </w:r>
        <w:r w:rsidRPr="006A5509">
          <w:instrText xml:space="preserve"> PAGE   \* MERGEFORMAT </w:instrText>
        </w:r>
        <w:r>
          <w:fldChar w:fldCharType="separate"/>
        </w:r>
        <w:r w:rsidR="000478E9">
          <w:rPr>
            <w:noProof/>
          </w:rPr>
          <w:t>3</w:t>
        </w:r>
        <w:r>
          <w:rPr>
            <w:noProof/>
          </w:rPr>
          <w:fldChar w:fldCharType="end"/>
        </w:r>
      </w:p>
    </w:sdtContent>
  </w:sdt>
  <w:p w14:paraId="1B93D360" w14:textId="77777777" w:rsidR="001C401A" w:rsidRDefault="001C40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1C401A" w:rsidRDefault="001C401A" w:rsidP="006804EA">
      <w:r>
        <w:separator/>
      </w:r>
    </w:p>
  </w:footnote>
  <w:footnote w:type="continuationSeparator" w:id="0">
    <w:p w14:paraId="058E8EFA" w14:textId="77777777" w:rsidR="001C401A" w:rsidRDefault="001C401A" w:rsidP="006804EA">
      <w:r>
        <w:continuationSeparator/>
      </w:r>
    </w:p>
  </w:footnote>
  <w:footnote w:type="continuationNotice" w:id="1">
    <w:p w14:paraId="7EB259DC" w14:textId="77777777" w:rsidR="001C401A" w:rsidRDefault="001C40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1C401A" w:rsidRDefault="001C40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14888-38B7-4881-B906-12A3BB91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56</Pages>
  <Words>69420</Words>
  <Characters>395694</Characters>
  <Application>Microsoft Office Word</Application>
  <DocSecurity>0</DocSecurity>
  <Lines>3297</Lines>
  <Paragraphs>928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cp:revision>
  <cp:lastPrinted>2017-11-17T23:34:00Z</cp:lastPrinted>
  <dcterms:created xsi:type="dcterms:W3CDTF">2018-03-15T10:30:00Z</dcterms:created>
  <dcterms:modified xsi:type="dcterms:W3CDTF">2018-04-10T23:52:00Z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