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002F183B" w:rsidR="003B563A" w:rsidRDefault="003B563A" w:rsidP="000B4EC3">
      <w:pPr>
        <w:pStyle w:val="Title"/>
        <w:spacing w:line="48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B544C02" w:rsidR="00AF54D7" w:rsidRPr="003A2CA1" w:rsidRDefault="00AF54D7" w:rsidP="00A35634">
      <w:pPr>
        <w:pStyle w:val="Title"/>
        <w:spacing w:line="480" w:lineRule="auto"/>
        <w:jc w:val="center"/>
      </w:pPr>
    </w:p>
    <w:p w14:paraId="35A1A184" w14:textId="3F038536"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67252E">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194E94A1"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4" w:history="1">
        <w:r w:rsidR="003B563A" w:rsidRPr="000450E1">
          <w:rPr>
            <w:rStyle w:val="Hyperlink"/>
          </w:rPr>
          <w:t>chadm@umn.edu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576220A9" w:rsidR="00D41498" w:rsidRDefault="00166936" w:rsidP="005524D4">
      <w:r w:rsidRPr="00166936">
        <w:t xml:space="preserve">Genome wide association studies (GWAS) have identified thousands of loci linked to hundreds of traits in many different species. However, </w:t>
      </w:r>
      <w:r>
        <w:t>because linkage equilibrium implicates a broad region surrounding each i</w:t>
      </w:r>
      <w:r w:rsidR="002A0249">
        <w:t>dentified locus</w:t>
      </w:r>
      <w:r>
        <w:t xml:space="preserve">, </w:t>
      </w:r>
      <w:r w:rsidRPr="00166936">
        <w:t xml:space="preserve">the causal genes </w:t>
      </w:r>
      <w:r>
        <w:t xml:space="preserve">often </w:t>
      </w:r>
      <w:r w:rsidRPr="00166936">
        <w:t xml:space="preserve">remain unknown. This problem is </w:t>
      </w:r>
      <w:r w:rsidR="000F7A71">
        <w:t xml:space="preserve">especially </w:t>
      </w:r>
      <w:r w:rsidRPr="00166936">
        <w:t xml:space="preserve">pronounced in </w:t>
      </w:r>
      <w:r w:rsidR="002A0249">
        <w:t xml:space="preserve">non-human, </w:t>
      </w:r>
      <w:r w:rsidRPr="00166936">
        <w:t>non-model species where functional annotations are sparse</w:t>
      </w:r>
      <w:r>
        <w:t xml:space="preserve"> and there is frequently little information available for prioritizing candidate</w:t>
      </w:r>
      <w:r w:rsidR="00FD145F">
        <w:t xml:space="preserve"> genes</w:t>
      </w:r>
      <w:r w:rsidR="00832253">
        <w:t xml:space="preserve">. </w:t>
      </w:r>
    </w:p>
    <w:p w14:paraId="43619888" w14:textId="589743F6" w:rsidR="00C22885" w:rsidRDefault="00C22885" w:rsidP="00C22885">
      <w:pPr>
        <w:pStyle w:val="Heading2"/>
      </w:pPr>
      <w:r>
        <w:t>Results</w:t>
      </w:r>
    </w:p>
    <w:p w14:paraId="39D45F0E" w14:textId="59692BDF" w:rsidR="00F029A6" w:rsidRDefault="00166936" w:rsidP="00EF2814">
      <w:r>
        <w:t>To address this issue</w:t>
      </w:r>
      <w:r w:rsidRPr="00166936">
        <w:t>, we developed a c</w:t>
      </w:r>
      <w:r w:rsidR="00DB52D8">
        <w:t xml:space="preserve">omputational </w:t>
      </w:r>
      <w:r w:rsidR="00FD145F">
        <w:t>approach</w:t>
      </w:r>
      <w:r w:rsidR="00DB52D8">
        <w:t xml:space="preserve"> called C</w:t>
      </w:r>
      <w:r w:rsidR="000B4EC3">
        <w:t>amoco</w:t>
      </w:r>
      <w:r w:rsidRPr="00166936">
        <w:t xml:space="preserve"> (Co-Analysis of Molecular Components) that systematically integrates loci identified by GWAS with gene co-expression networks to </w:t>
      </w:r>
      <w:r w:rsidR="002A0249">
        <w:t>prioritize</w:t>
      </w:r>
      <w:r w:rsidRPr="00166936">
        <w:t xml:space="preserve"> putative causal genes.</w:t>
      </w:r>
      <w:r>
        <w:t xml:space="preserve"> </w:t>
      </w:r>
      <w:r w:rsidR="002A0249" w:rsidRPr="00121B87">
        <w:t>We applied Camoco to prioritize candidate genes from a large-scale GWAS examining the accumulation of 17 different elements in maize seeds</w:t>
      </w:r>
      <w:r w:rsidR="002A0249">
        <w:t xml:space="preserve">. </w:t>
      </w:r>
      <w:r w:rsidR="00DB52D8">
        <w:t>Indeed, Camoco identified signif</w:t>
      </w:r>
      <w:r w:rsidR="00FD145F">
        <w:t xml:space="preserve">icantly significant subnetworks </w:t>
      </w:r>
      <w:r w:rsidR="00DB52D8">
        <w:t xml:space="preserve">for </w:t>
      </w:r>
      <w:r w:rsidR="00F029A6">
        <w:t xml:space="preserve">the majority of traits examined, producing a prioritized list of high-confidence causal genes for several </w:t>
      </w:r>
      <w:r w:rsidR="000B4EC3">
        <w:t>agronomically</w:t>
      </w:r>
      <w:r w:rsidR="00F029A6">
        <w:t xml:space="preserve"> important maize traits. T</w:t>
      </w:r>
      <w:r w:rsidR="00F029A6" w:rsidRPr="00121B87">
        <w:t xml:space="preserve">wo </w:t>
      </w:r>
      <w:r w:rsidR="00F029A6">
        <w:t xml:space="preserve">candidate </w:t>
      </w:r>
      <w:r w:rsidR="00F029A6" w:rsidRPr="00121B87">
        <w:t xml:space="preserve">genes identified by our approach </w:t>
      </w:r>
      <w:r w:rsidR="00F029A6">
        <w:t xml:space="preserve">were validated through analysis of mutant phenotypes. Strikingly, we observed a strong dependence in the performance of our approach on the type of </w:t>
      </w:r>
      <w:r w:rsidR="008D4EC5">
        <w:t>co-expression network used:</w:t>
      </w:r>
      <w:r w:rsidR="00FD145F">
        <w:t xml:space="preserve"> expression variation across genetically diverse individuals in a relevant tissue context (in our case, maize roots) outperformed other alternatives.</w:t>
      </w:r>
    </w:p>
    <w:p w14:paraId="3513EE99" w14:textId="54C22D89" w:rsidR="00FD145F" w:rsidRDefault="00FD145F" w:rsidP="000B4EC3">
      <w:pPr>
        <w:pStyle w:val="Heading2"/>
      </w:pPr>
      <w:r>
        <w:t>Conclusions</w:t>
      </w:r>
    </w:p>
    <w:p w14:paraId="557195E0" w14:textId="49A7D2F2" w:rsidR="00FD145F" w:rsidRDefault="00FD145F" w:rsidP="009E09E6">
      <w:r w:rsidRPr="00FD145F">
        <w:t xml:space="preserve">Our study </w:t>
      </w:r>
      <w:r>
        <w:t>demonstrates that co-expression networks can provide a powerful basis for prioriti</w:t>
      </w:r>
      <w:r w:rsidR="000F7A71">
        <w:t>zi</w:t>
      </w:r>
      <w:r>
        <w:t xml:space="preserve">ng candidate causal genes from GWAS loci, but suggests that the success of such strategies can highly depend on the </w:t>
      </w:r>
      <w:r w:rsidRPr="00FD145F">
        <w:t>gene expression data context</w:t>
      </w:r>
      <w:r>
        <w:t>.</w:t>
      </w:r>
      <w:r w:rsidRPr="00FD145F">
        <w:t xml:space="preserve"> Both the</w:t>
      </w:r>
      <w:r>
        <w:t xml:space="preserve"> C</w:t>
      </w:r>
      <w:r w:rsidR="000B4EC3">
        <w:t>amoco</w:t>
      </w:r>
      <w:r>
        <w:t xml:space="preserve"> </w:t>
      </w:r>
      <w:r w:rsidRPr="00FD145F">
        <w:t xml:space="preserve">software and </w:t>
      </w:r>
      <w:r w:rsidRPr="00FD145F">
        <w:lastRenderedPageBreak/>
        <w:t>the lessons on integrating GWAS data with co-expression networks generalize to</w:t>
      </w:r>
      <w:r>
        <w:t xml:space="preserve"> species beyond maize</w:t>
      </w:r>
      <w:r w:rsidRPr="00FD145F">
        <w:t>.</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w:t>
      </w:r>
      <w:r w:rsidR="00EF75BE">
        <w:lastRenderedPageBreak/>
        <w:t xml:space="preserve">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722B00B" w:rsidR="00C076A9" w:rsidRDefault="0057418A" w:rsidP="0067252E">
      <w:r>
        <w:t>T</w:t>
      </w:r>
      <w:r w:rsidR="00D73850">
        <w:t xml:space="preserve">hese issues are </w:t>
      </w:r>
      <w:r w:rsidR="00F05EE8">
        <w:t xml:space="preserve">compounded </w:t>
      </w:r>
      <w:r w:rsidR="00D73850">
        <w:t>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 xml:space="preserve">Systematic </w:t>
      </w:r>
      <w:r w:rsidR="00F946A7" w:rsidRPr="00002A0F">
        <w:lastRenderedPageBreak/>
        <w:t>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39C7B3B4" w:rsidR="00F946A7" w:rsidRDefault="00F946A7" w:rsidP="0067252E">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w:t>
      </w:r>
      <w:r w:rsidRPr="00002A0F">
        <w:lastRenderedPageBreak/>
        <w:t xml:space="preserve">modules captured by co-expression networks and GWAS candidate SNPs for the maize grain ionome. We present high-confidence candidate genes identified for a variety of different ionomic traits, </w:t>
      </w:r>
      <w:r w:rsidR="00527368">
        <w:t>test single</w:t>
      </w:r>
      <w:bookmarkStart w:id="7" w:name="_GoBack"/>
      <w:bookmarkEnd w:id="7"/>
      <w:r w:rsidR="00527368">
        <w:t xml:space="preserv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0922F7F7"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40865892" w14:textId="40A7F9BE"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lastRenderedPageBreak/>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w:t>
      </w:r>
      <w:r w:rsidR="00930BBB">
        <w:lastRenderedPageBreak/>
        <w:t>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E8D2F7F"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lastRenderedPageBreak/>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 unsupervised clustering (</w:t>
      </w:r>
      <w:r w:rsidR="00BF1A19">
        <w:fldChar w:fldCharType="begin"/>
      </w:r>
      <w:r w:rsidR="00BF1A19">
        <w:instrText xml:space="preserve"> REF _Ref458774880 \h </w:instrText>
      </w:r>
      <w:r w:rsidR="00BF1A19">
        <w:fldChar w:fldCharType="separate"/>
      </w:r>
      <w:r w:rsidR="00BF1A19">
        <w:t>Table 2</w:t>
      </w:r>
      <w:r w:rsidR="00BF1A19">
        <w:fldChar w:fldCharType="end"/>
      </w:r>
      <w:r w:rsidR="00BF1A19">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67252E">
      <w:r>
        <w:lastRenderedPageBreak/>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31A9D">
      <w:pPr>
        <w:pStyle w:val="Heading4"/>
      </w:pPr>
      <w:r>
        <w:t>Evaluation of the Camoco framework</w:t>
      </w:r>
    </w:p>
    <w:p w14:paraId="50E2EA3F" w14:textId="550E947E"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44FBAFAD"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46E9D0E2"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 xml:space="preserve">ability to </w:t>
      </w:r>
      <w:r w:rsidR="008D7F45">
        <w:lastRenderedPageBreak/>
        <w:t>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3DCC5BE1"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17297738"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lastRenderedPageBreak/>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67252E">
      <w:r>
        <w:lastRenderedPageBreak/>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lastRenderedPageBreak/>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3D3B5A">
      <w:pPr>
        <w:pStyle w:val="Heading4"/>
      </w:pPr>
      <w:r>
        <w:t>H</w:t>
      </w:r>
      <w:r w:rsidR="00817D7D">
        <w:t>igh-priority candidate causal genes under ionomic GWAS loci</w:t>
      </w:r>
    </w:p>
    <w:p w14:paraId="499682D5" w14:textId="242B0F66"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w:t>
      </w:r>
      <w:r w:rsidR="00934F65">
        <w:lastRenderedPageBreak/>
        <w:t xml:space="preserve">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6FEF9926"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215823A6" w:rsidR="00F11BB0" w:rsidRDefault="002172E7" w:rsidP="003E5405">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pPr>
        <w:pStyle w:val="Heading2"/>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3D3B5A">
      <w:pPr>
        <w:pStyle w:val="Heading4"/>
      </w:pPr>
      <w:r>
        <w:lastRenderedPageBreak/>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18F761"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 xml:space="preserve">. </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4409E3">
        <w:t xml:space="preserve"> however,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02E98353"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763F32">
        <w:fldChar w:fldCharType="separate"/>
      </w:r>
      <w:r w:rsidR="00D30974">
        <w:t>Supplementary Text</w:t>
      </w:r>
      <w:r w:rsidR="00763F32">
        <w:fldChar w:fldCharType="end"/>
      </w:r>
      <w:r w:rsidR="00763F32">
        <w:t xml:space="preserve"> for in-depth </w:t>
      </w:r>
      <w:r w:rsidR="00027E1C">
        <w:t>report</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w:t>
      </w:r>
      <w:r w:rsidR="0056086D">
        <w:lastRenderedPageBreak/>
        <w:t>described pathways known to impact elemental traits</w:t>
      </w:r>
      <w:r w:rsidR="00EB7AD2">
        <w:t xml:space="preserve"> (</w:t>
      </w:r>
      <w:r w:rsidR="003D3B5A">
        <w:fldChar w:fldCharType="begin"/>
      </w:r>
      <w:r w:rsidR="003D3B5A">
        <w:instrText xml:space="preserve"> REF _Ref483951527 \h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p>
    <w:p w14:paraId="276A3C0A" w14:textId="3906A118" w:rsidR="00335FB6" w:rsidRDefault="002E212F" w:rsidP="0067252E">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684C98">
        <w:fldChar w:fldCharType="separate"/>
      </w:r>
      <w:r w:rsidR="00684C98">
        <w:t>Supplementary Text</w:t>
      </w:r>
      <w:r w:rsidR="00684C98">
        <w:fldChar w:fldCharType="end"/>
      </w:r>
      <w:r w:rsidR="00684C98">
        <w:t xml:space="preserve"> for in-depth report)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8"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A36B70">
      <w:pPr>
        <w:pStyle w:val="Heading2"/>
      </w:pPr>
      <w:r>
        <w:lastRenderedPageBreak/>
        <w:t xml:space="preserve">Mutant analysis validates </w:t>
      </w:r>
      <w:r w:rsidR="00A36B70">
        <w:t>GA-signaling DELLA domain transcription factors influence the maize</w:t>
      </w:r>
      <w:r>
        <w:t xml:space="preserve"> ionome</w:t>
      </w:r>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2D5EEEA9"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w:t>
      </w:r>
      <w:r>
        <w:lastRenderedPageBreak/>
        <w:t>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074F57EC" w:rsidR="00A36B70" w:rsidRPr="0089389D" w:rsidRDefault="00A36B70" w:rsidP="00A36B70">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 the type II iron uptake mechanism used by grasses to affect the Maize ionome.</w:t>
      </w:r>
    </w:p>
    <w:p w14:paraId="7C3163BA" w14:textId="44627D4C" w:rsidR="006B33EA" w:rsidRDefault="006B33EA" w:rsidP="0067252E">
      <w:pPr>
        <w:pStyle w:val="Heading1"/>
      </w:pPr>
      <w:bookmarkStart w:id="9" w:name="_Ref487125611"/>
      <w:r>
        <w:t>Discussion</w:t>
      </w:r>
      <w:bookmarkEnd w:id="8"/>
      <w:bookmarkEnd w:id="9"/>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 xml:space="preserve">implicate many </w:t>
      </w:r>
      <w:r w:rsidR="004C123B">
        <w:lastRenderedPageBreak/>
        <w:t>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67252E">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7DC2209"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4BD97F14"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 xml:space="preserve">eighboring genes (encoded nearby on the genome) were added to simulate the scenario where </w:t>
      </w:r>
      <w:r>
        <w:lastRenderedPageBreak/>
        <w:t>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 xml:space="preserve">and </w:t>
      </w:r>
      <w:r>
        <w:lastRenderedPageBreak/>
        <w:t>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27454838"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w:t>
      </w:r>
      <w:r>
        <w:lastRenderedPageBreak/>
        <w:t xml:space="preserve">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3CC220B2"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760C60F2"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lastRenderedPageBreak/>
        <w:t>(</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6E54C3C5"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w:t>
      </w:r>
      <w:r w:rsidR="00C42754">
        <w:lastRenderedPageBreak/>
        <w:t>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w:t>
      </w:r>
      <w:r w:rsidR="00213DFA">
        <w:t>y of</w:t>
      </w:r>
      <w:r w:rsidR="00BF75F4">
        <w:t xml:space="preserve">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10" w:name="_Ref463088833"/>
      <w:r>
        <w:t>Methods</w:t>
      </w:r>
      <w:bookmarkEnd w:id="10"/>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29CD071A"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67252E">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 xml:space="preserve">Seq) reads. </w:t>
      </w:r>
      <w:r w:rsidRPr="00C05203">
        <w:lastRenderedPageBreak/>
        <w:t>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77AF603"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lastRenderedPageBreak/>
        <w:t>(</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11" w:name="_Ref447101528"/>
      <w:r w:rsidRPr="0045686C">
        <w:rPr>
          <w:rFonts w:eastAsiaTheme="minorEastAsia"/>
        </w:rPr>
        <w:t>Eq.</w:t>
      </w:r>
      <w:r w:rsidR="00145345">
        <w:rPr>
          <w:rFonts w:eastAsiaTheme="minorEastAsia"/>
        </w:rPr>
        <w:t xml:space="preserve"> </w:t>
      </w:r>
      <w:r w:rsidRPr="0045686C">
        <w:rPr>
          <w:rFonts w:eastAsiaTheme="minorEastAsia"/>
        </w:rPr>
        <w:t>1</w:t>
      </w:r>
      <w:bookmarkEnd w:id="11"/>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w:t>
      </w:r>
      <w:r w:rsidR="004047D8">
        <w:lastRenderedPageBreak/>
        <w:t>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12" w:name="_Ref447101545"/>
      <w:bookmarkStart w:id="13" w:name="_Ref464049667"/>
      <w:r>
        <w:t>Eq.</w:t>
      </w:r>
      <w:bookmarkEnd w:id="12"/>
      <w:r w:rsidR="00145345">
        <w:t xml:space="preserve"> </w:t>
      </w:r>
      <w:r w:rsidR="0020783F">
        <w:t>2</w:t>
      </w:r>
      <w:bookmarkEnd w:id="13"/>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14" w:name="_Ref447101563"/>
      <w:bookmarkStart w:id="15" w:name="_Ref464738379"/>
      <w:r w:rsidRPr="0045686C">
        <w:rPr>
          <w:rFonts w:eastAsiaTheme="minorEastAsia"/>
        </w:rPr>
        <w:t>Eq.</w:t>
      </w:r>
      <w:bookmarkEnd w:id="14"/>
      <w:r w:rsidR="00145345">
        <w:rPr>
          <w:rFonts w:eastAsiaTheme="minorEastAsia"/>
        </w:rPr>
        <w:t xml:space="preserve"> </w:t>
      </w:r>
      <w:r>
        <w:rPr>
          <w:rFonts w:eastAsiaTheme="minorEastAsia"/>
        </w:rPr>
        <w:t>3</w:t>
      </w:r>
      <w:bookmarkEnd w:id="15"/>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16" w:name="_Ref447101571"/>
      <w:r>
        <w:t>Eq.</w:t>
      </w:r>
      <w:r w:rsidR="000853EA">
        <w:t xml:space="preserve"> </w:t>
      </w:r>
      <w:r w:rsidR="00503064">
        <w:t>4</w:t>
      </w:r>
      <w:bookmarkEnd w:id="16"/>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lastRenderedPageBreak/>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6FF1822E" w:rsidR="00D64D8E" w:rsidRPr="00294A97" w:rsidRDefault="00D64D8E" w:rsidP="0067252E">
      <w:pPr>
        <w:pStyle w:val="Heading3"/>
      </w:pPr>
      <w:bookmarkStart w:id="17" w:name="_Ref484125232"/>
      <w:r>
        <w:t>Eq.</w:t>
      </w:r>
      <w:r w:rsidR="00BB1654">
        <w:t xml:space="preserve"> 5</w:t>
      </w:r>
      <w:bookmarkEnd w:id="17"/>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1810087" w:rsidR="005936F2" w:rsidRDefault="005936F2" w:rsidP="0067252E">
      <w:pPr>
        <w:pStyle w:val="Heading3"/>
      </w:pPr>
      <w:bookmarkStart w:id="18" w:name="_Ref458775441"/>
      <w:bookmarkStart w:id="19" w:name="_Ref484125256"/>
      <w:r>
        <w:t>Eq.</w:t>
      </w:r>
      <w:r w:rsidR="00220757">
        <w:t xml:space="preserve"> 6</w:t>
      </w:r>
      <w:bookmarkEnd w:id="18"/>
      <w:bookmarkEnd w:id="19"/>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 xml:space="preserve">wide association was </w:t>
      </w:r>
      <w:r>
        <w:lastRenderedPageBreak/>
        <w:t>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 xml:space="preserve">FDR ≤ 30% in two or more SNP-to-gene mapping </w:t>
      </w:r>
      <w:r>
        <w:lastRenderedPageBreak/>
        <w:t>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w:t>
      </w:r>
      <w:r w:rsidR="00F07037">
        <w:lastRenderedPageBreak/>
        <w:t xml:space="preserve">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lastRenderedPageBreak/>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w:t>
      </w:r>
      <w:r w:rsidRPr="002E7ACB">
        <w:rPr>
          <w:rFonts w:cs="Times New Roman"/>
          <w:noProof/>
          <w:szCs w:val="24"/>
        </w:rPr>
        <w:lastRenderedPageBreak/>
        <w:t xml:space="preserve">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w:t>
      </w:r>
      <w:r w:rsidRPr="002E7ACB">
        <w:rPr>
          <w:rFonts w:cs="Times New Roman"/>
          <w:noProof/>
          <w:szCs w:val="24"/>
        </w:rPr>
        <w:lastRenderedPageBreak/>
        <w:t xml:space="preserve">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w:t>
      </w:r>
      <w:r w:rsidRPr="002E7ACB">
        <w:rPr>
          <w:rFonts w:cs="Times New Roman"/>
          <w:noProof/>
          <w:szCs w:val="24"/>
        </w:rPr>
        <w:lastRenderedPageBreak/>
        <w:t xml:space="preserve">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w:t>
      </w:r>
      <w:r w:rsidRPr="002E7ACB">
        <w:rPr>
          <w:rFonts w:cs="Times New Roman"/>
          <w:noProof/>
          <w:szCs w:val="24"/>
        </w:rPr>
        <w:lastRenderedPageBreak/>
        <w:t xml:space="preserve">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1980763F" w:rsidR="00734F93" w:rsidRPr="00107824" w:rsidRDefault="009E7937" w:rsidP="00107824">
      <w:pPr>
        <w:pStyle w:val="Heading2"/>
      </w:pPr>
      <w:bookmarkStart w:id="20" w:name="_Ref444765587"/>
      <w:r>
        <w:t>Figure 1</w:t>
      </w:r>
      <w:bookmarkEnd w:id="20"/>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w:t>
      </w:r>
      <w:r>
        <w:lastRenderedPageBreak/>
        <w:t xml:space="preserve">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21" w:name="_Ref487124030"/>
      <w:r>
        <w:t>Figure 2</w:t>
      </w:r>
      <w:bookmarkEnd w:id="21"/>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22" w:name="_Ref456807908"/>
      <w:bookmarkStart w:id="23" w:name="_Ref458794783"/>
      <w:r>
        <w:lastRenderedPageBreak/>
        <w:t>Figure 3</w:t>
      </w:r>
      <w:bookmarkEnd w:id="22"/>
      <w:bookmarkEnd w:id="23"/>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24" w:name="_Ref458700744"/>
      <w:r>
        <w:t>Figure 4</w:t>
      </w:r>
      <w:bookmarkStart w:id="25" w:name="EditPoint"/>
      <w:bookmarkEnd w:id="24"/>
      <w:bookmarkEnd w:id="25"/>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t>
      </w:r>
      <w:r>
        <w:lastRenderedPageBreak/>
        <w:t xml:space="preserve">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26" w:name="_Ref458721156"/>
      <w:bookmarkStart w:id="27" w:name="_Ref447197618"/>
      <w:r>
        <w:t>Figure 5</w:t>
      </w:r>
      <w:bookmarkEnd w:id="26"/>
      <w:bookmarkEnd w:id="27"/>
    </w:p>
    <w:p w14:paraId="38CD5098" w14:textId="65FC48BC" w:rsidR="00C85AF2" w:rsidRDefault="00C85AF2" w:rsidP="00C85AF2">
      <w:pPr>
        <w:pStyle w:val="Heading4"/>
        <w:jc w:val="left"/>
      </w:pPr>
      <w:r>
        <w:t>S</w:t>
      </w:r>
      <w:r w:rsidR="00282527">
        <w:t>trength of co-expression among GO terms at varying levels of FCR</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28" w:name="_Ref485996339"/>
      <w:r>
        <w:t>Figure 6</w:t>
      </w:r>
      <w:bookmarkEnd w:id="28"/>
    </w:p>
    <w:p w14:paraId="347D2EC6" w14:textId="5E113C4F" w:rsidR="003B691E" w:rsidRDefault="003B691E" w:rsidP="003B691E">
      <w:pPr>
        <w:pStyle w:val="Heading3"/>
      </w:pPr>
      <w:r>
        <w:t>Maize grain ionome high-priority candidate genes</w:t>
      </w:r>
      <w:r w:rsidR="00C04316">
        <w:t xml:space="preserve"> heatmap summary</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29" w:name="_Ref481757037"/>
      <w:bookmarkStart w:id="30" w:name="_Ref484529183"/>
      <w:r>
        <w:lastRenderedPageBreak/>
        <w:t>Figure</w:t>
      </w:r>
      <w:r w:rsidR="004603F1">
        <w:t xml:space="preserve"> 7</w:t>
      </w:r>
      <w:bookmarkEnd w:id="29"/>
      <w:bookmarkEnd w:id="30"/>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037E45">
      <w:pPr>
        <w:pStyle w:val="Heading2"/>
      </w:pPr>
      <w:bookmarkStart w:id="31" w:name="_Ref484091798"/>
      <w:r>
        <w:t>Figure</w:t>
      </w:r>
      <w:r w:rsidR="004603F1">
        <w:t xml:space="preserve"> 8</w:t>
      </w:r>
      <w:bookmarkEnd w:id="31"/>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32" w:name="_Ref458774860"/>
      <w:r>
        <w:rPr>
          <w:rStyle w:val="SubtleEmphasis"/>
        </w:rPr>
        <w:t>Table 1</w:t>
      </w:r>
      <w:bookmarkEnd w:id="32"/>
    </w:p>
    <w:p w14:paraId="4ED5F69B" w14:textId="22C0A06D" w:rsidR="00CB2E22" w:rsidRPr="00CB2E22" w:rsidRDefault="00107824" w:rsidP="00CB2E22">
      <w:pPr>
        <w:pStyle w:val="Heading3"/>
      </w:pPr>
      <w:r>
        <w:t>Significantly co-expressed GO terms</w:t>
      </w:r>
    </w:p>
    <w:p w14:paraId="1C5B80B3" w14:textId="58E91AE8"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D30974" w:rsidRPr="0045686C">
        <w:t>Eq.</w:t>
      </w:r>
      <w:r w:rsidR="00D30974">
        <w:t xml:space="preserve"> </w:t>
      </w:r>
      <w:r w:rsidR="00D30974" w:rsidRPr="0045686C">
        <w:t>1</w:t>
      </w:r>
      <w:r>
        <w:fldChar w:fldCharType="end"/>
      </w:r>
      <w:r>
        <w:t>) and locality (</w:t>
      </w:r>
      <w:r>
        <w:fldChar w:fldCharType="begin"/>
      </w:r>
      <w:r>
        <w:instrText xml:space="preserve"> REF _Ref464049667 \h  \* MERGEFORMAT </w:instrText>
      </w:r>
      <w:r>
        <w:fldChar w:fldCharType="separate"/>
      </w:r>
      <w:r w:rsidR="00D30974">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33" w:name="_Ref458774880"/>
      <w:r>
        <w:lastRenderedPageBreak/>
        <w:t>Table 2</w:t>
      </w:r>
      <w:bookmarkEnd w:id="33"/>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29F8477F" w:rsidR="00DE6B75" w:rsidRPr="00DE6B75" w:rsidRDefault="000313FE" w:rsidP="0067252E">
      <w:pPr>
        <w:pStyle w:val="Heading2"/>
      </w:pPr>
      <w:bookmarkStart w:id="34" w:name="_Ref447013206"/>
      <w:r>
        <w:t>Supp. Figure 1</w:t>
      </w:r>
      <w:bookmarkEnd w:id="34"/>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35" w:name="_Ref447013895"/>
      <w:r>
        <w:t>Supp. Figure 2</w:t>
      </w:r>
      <w:bookmarkEnd w:id="35"/>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lastRenderedPageBreak/>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36" w:name="_Ref447015478"/>
      <w:r>
        <w:t>Supp. Figure 3</w:t>
      </w:r>
      <w:bookmarkEnd w:id="36"/>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37" w:name="_Ref447187909"/>
      <w:r>
        <w:t>Supp. Figure 4</w:t>
      </w:r>
      <w:bookmarkEnd w:id="37"/>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38" w:name="_Ref470857301"/>
      <w:r>
        <w:t>Supp. Figure 5</w:t>
      </w:r>
      <w:bookmarkEnd w:id="38"/>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w:t>
      </w:r>
      <w:r w:rsidR="00E814FD">
        <w:lastRenderedPageBreak/>
        <w:t xml:space="preserve">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39" w:name="_Ref481678956"/>
      <w:r>
        <w:t>Supp. Figure 6</w:t>
      </w:r>
      <w:bookmarkEnd w:id="39"/>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40" w:name="_Ref486000600"/>
      <w:r>
        <w:t>Supp. Figure 7</w:t>
      </w:r>
      <w:bookmarkEnd w:id="40"/>
    </w:p>
    <w:p w14:paraId="3BE5DCC1" w14:textId="5A26FF2A" w:rsidR="004409E3" w:rsidRPr="00975FFB" w:rsidRDefault="004409E3" w:rsidP="004409E3">
      <w:pPr>
        <w:pStyle w:val="Heading3"/>
      </w:pPr>
      <w:r>
        <w:t>Element HPO candidate gene overlap</w:t>
      </w:r>
      <w:r w:rsidR="00C04316">
        <w:t xml:space="preserve"> heatmap</w:t>
      </w:r>
    </w:p>
    <w:p w14:paraId="7C52A97B" w14:textId="717BE2F9" w:rsidR="004409E3" w:rsidRPr="003B691E" w:rsidRDefault="004409E3" w:rsidP="004409E3">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4409E3"/>
    <w:p w14:paraId="7B52D951" w14:textId="1D7EE7EC" w:rsidR="00EA1705" w:rsidRPr="004A497C" w:rsidRDefault="00214BAC" w:rsidP="00790531">
      <w:pPr>
        <w:pStyle w:val="Heading2"/>
      </w:pPr>
      <w:bookmarkStart w:id="41" w:name="_Ref489428564"/>
      <w:r>
        <w:t>Supp. Figure 8</w:t>
      </w:r>
      <w:bookmarkEnd w:id="41"/>
    </w:p>
    <w:p w14:paraId="3467E29A" w14:textId="77777777" w:rsidR="00EA1705" w:rsidRDefault="00EA1705" w:rsidP="006F5DE2">
      <w:pPr>
        <w:pStyle w:val="Heading3"/>
      </w:pPr>
      <w:r>
        <w:t>Number of intervening genes between HPO gene and GWAS locus</w:t>
      </w:r>
    </w:p>
    <w:p w14:paraId="312BCE93" w14:textId="56226968"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5F615E">
      <w:pPr>
        <w:pStyle w:val="Heading2"/>
      </w:pPr>
      <w:bookmarkStart w:id="42" w:name="_Ref483951527"/>
      <w:r>
        <w:t>Supp. Figure 9</w:t>
      </w:r>
      <w:bookmarkEnd w:id="42"/>
    </w:p>
    <w:p w14:paraId="36ECB905" w14:textId="77777777" w:rsidR="005F615E" w:rsidRDefault="005F615E" w:rsidP="005F615E">
      <w:pPr>
        <w:pStyle w:val="Heading3"/>
      </w:pPr>
      <w:r>
        <w:t>GO biological process enrichment for the ionome</w:t>
      </w:r>
    </w:p>
    <w:p w14:paraId="3282CC09" w14:textId="77777777" w:rsidR="005F615E" w:rsidRPr="00FF7C43" w:rsidRDefault="005F615E" w:rsidP="005F615E">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5F615E"/>
    <w:p w14:paraId="6CD419B6" w14:textId="422426BE" w:rsidR="005F2ACB" w:rsidRDefault="003B691E" w:rsidP="0067252E">
      <w:pPr>
        <w:pStyle w:val="Heading1"/>
      </w:pPr>
      <w:r>
        <w:lastRenderedPageBreak/>
        <w:t>Supplemental Data</w:t>
      </w:r>
    </w:p>
    <w:p w14:paraId="1FEB41FF" w14:textId="04765546" w:rsidR="00247FEC" w:rsidRDefault="000B40B5" w:rsidP="0067252E">
      <w:pPr>
        <w:pStyle w:val="Heading2"/>
      </w:pPr>
      <w:bookmarkStart w:id="43" w:name="_Ref479246505"/>
      <w:r>
        <w:t>Supp. Table 1</w:t>
      </w:r>
      <w:bookmarkEnd w:id="43"/>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44" w:name="_Ref483825641"/>
      <w:r>
        <w:t>Supp. Table 2</w:t>
      </w:r>
      <w:bookmarkEnd w:id="44"/>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45" w:name="_Ref494793753"/>
      <w:r>
        <w:t>Supp. Tabl</w:t>
      </w:r>
      <w:r w:rsidR="0070283E">
        <w:t>e 3</w:t>
      </w:r>
      <w:r>
        <w:t xml:space="preserve"> </w:t>
      </w:r>
      <w:bookmarkEnd w:id="45"/>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46" w:name="_Ref479248756"/>
      <w:r>
        <w:t>Supp. Table 4</w:t>
      </w:r>
      <w:bookmarkEnd w:id="46"/>
    </w:p>
    <w:p w14:paraId="44CF6947" w14:textId="10082D5B" w:rsidR="00573EC0" w:rsidRDefault="00573EC0" w:rsidP="0067252E">
      <w:pPr>
        <w:pStyle w:val="Heading3"/>
      </w:pPr>
      <w:r>
        <w:t>Network signal of GO terms with various levels of MCR/FCR</w:t>
      </w:r>
    </w:p>
    <w:p w14:paraId="6406A840" w14:textId="023993EA"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 xml:space="preserve">lse candidates were introduced using SNP-to-gene </w:t>
      </w:r>
      <w:r w:rsidR="00193BFA" w:rsidRPr="00256622">
        <w:lastRenderedPageBreak/>
        <w:t>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D30974">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47" w:name="_Ref499548832"/>
      <w:r>
        <w:t>Supp. Table 5</w:t>
      </w:r>
      <w:bookmarkEnd w:id="47"/>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67252E">
      <w:pPr>
        <w:pStyle w:val="Heading2"/>
      </w:pPr>
      <w:bookmarkStart w:id="48" w:name="_Ref479162360"/>
      <w:bookmarkStart w:id="49" w:name="_Ref479250924"/>
      <w:r>
        <w:t>Supp. Table 6</w:t>
      </w:r>
      <w:bookmarkEnd w:id="48"/>
      <w:bookmarkEnd w:id="49"/>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7E9FC87D"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D30974" w:rsidRPr="0045686C">
        <w:t>Eq.</w:t>
      </w:r>
      <w:r w:rsidR="00D30974">
        <w:t xml:space="preserve"> 3</w:t>
      </w:r>
      <w:r>
        <w:fldChar w:fldCharType="end"/>
      </w:r>
      <w:r>
        <w:t>) or locality (</w:t>
      </w:r>
      <w:r>
        <w:fldChar w:fldCharType="begin"/>
      </w:r>
      <w:r>
        <w:instrText xml:space="preserve"> REF _Ref447101571 \h  \* MERGEFORMAT </w:instrText>
      </w:r>
      <w:r>
        <w:fldChar w:fldCharType="separate"/>
      </w:r>
      <w:r w:rsidR="00D30974">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50" w:name="_Ref480187199"/>
      <w:r>
        <w:t>Supp. Table 7</w:t>
      </w:r>
      <w:bookmarkEnd w:id="50"/>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lastRenderedPageBreak/>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51" w:name="_Ref486516422"/>
      <w:r>
        <w:t>Supp. Table 8</w:t>
      </w:r>
      <w:bookmarkEnd w:id="51"/>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52" w:name="_Ref486581168"/>
      <w:r>
        <w:t>Supp. Table 9</w:t>
      </w:r>
      <w:bookmarkEnd w:id="52"/>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53" w:name="_Ref479316734"/>
      <w:bookmarkStart w:id="54" w:name="_Ref486000980"/>
      <w:r>
        <w:t>Supp. Table 10</w:t>
      </w:r>
      <w:bookmarkEnd w:id="53"/>
      <w:bookmarkEnd w:id="54"/>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55" w:name="_Ref481755630"/>
      <w:bookmarkStart w:id="56" w:name="_Ref483912443"/>
      <w:bookmarkStart w:id="57" w:name="_Ref486581620"/>
      <w:r>
        <w:lastRenderedPageBreak/>
        <w:t>Supp. Table 11</w:t>
      </w:r>
      <w:bookmarkEnd w:id="55"/>
      <w:bookmarkEnd w:id="56"/>
      <w:bookmarkEnd w:id="57"/>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66ACD510" w:rsidR="009C78B5" w:rsidRDefault="00D6748B" w:rsidP="00D6748B">
      <w:pPr>
        <w:pStyle w:val="Heading1"/>
      </w:pPr>
      <w:bookmarkStart w:id="58" w:name="_Ref502242324"/>
      <w:r>
        <w:t>Supplementary Text</w:t>
      </w:r>
      <w:bookmarkEnd w:id="58"/>
    </w:p>
    <w:p w14:paraId="0F76A42D" w14:textId="4ED52D20" w:rsidR="000B4EC3" w:rsidRPr="000B4EC3" w:rsidRDefault="000B4EC3" w:rsidP="000B4EC3">
      <w:pPr>
        <w:pStyle w:val="Heading2"/>
      </w:pPr>
      <w:r>
        <w:t>Validating</w:t>
      </w:r>
      <w:r w:rsidR="004C74DC">
        <w:t xml:space="preserve"> density and locality </w:t>
      </w:r>
    </w:p>
    <w:p w14:paraId="42A50A84" w14:textId="57AF3742" w:rsidR="000B4EC3" w:rsidRDefault="000B4EC3" w:rsidP="000B4EC3">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0B4EC3">
      <w:pPr>
        <w:pStyle w:val="Subtitle"/>
      </w:pPr>
      <w:r>
        <w:t xml:space="preserve"> </w:t>
      </w:r>
    </w:p>
    <w:p w14:paraId="55EA44DB" w14:textId="1DDDEB3C" w:rsidR="000B4EC3" w:rsidRPr="000B4EC3" w:rsidRDefault="000B4EC3" w:rsidP="000B4EC3">
      <w:r>
        <w:lastRenderedPageBreak/>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0E49745A"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w:t>
      </w:r>
      <w:r w:rsidR="00D6748B">
        <w:lastRenderedPageBreak/>
        <w:t xml:space="preserve">“Transport”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2B002C17"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AA41ED2" w:rsidR="00F52A7B" w:rsidRDefault="00D6748B" w:rsidP="00982666">
      <w:r>
        <w:lastRenderedPageBreak/>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6BDF2525"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w:t>
      </w:r>
      <w:r>
        <w:lastRenderedPageBreak/>
        <w:t xml:space="preserve">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3E87D46D"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w:t>
      </w:r>
      <w:r w:rsidR="00A7235E">
        <w:lastRenderedPageBreak/>
        <w:t xml:space="preserve">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w:t>
      </w:r>
      <w:r w:rsidRPr="00B750E1">
        <w:lastRenderedPageBreak/>
        <w:t xml:space="preserve">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545BC46"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C19BC" w14:textId="77777777" w:rsidR="000B4EC3" w:rsidRDefault="000B4EC3" w:rsidP="006804EA">
      <w:r>
        <w:separator/>
      </w:r>
    </w:p>
  </w:endnote>
  <w:endnote w:type="continuationSeparator" w:id="0">
    <w:p w14:paraId="0AF8F510" w14:textId="77777777" w:rsidR="000B4EC3" w:rsidRDefault="000B4EC3" w:rsidP="006804EA">
      <w:r>
        <w:continuationSeparator/>
      </w:r>
    </w:p>
  </w:endnote>
  <w:endnote w:type="continuationNotice" w:id="1">
    <w:p w14:paraId="639A8F6E" w14:textId="77777777" w:rsidR="000B4EC3" w:rsidRDefault="000B4E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509F54A3" w:rsidR="000B4EC3" w:rsidRDefault="000B4EC3" w:rsidP="006804EA">
        <w:pPr>
          <w:pStyle w:val="Footer"/>
        </w:pPr>
        <w:r>
          <w:fldChar w:fldCharType="begin"/>
        </w:r>
        <w:r w:rsidRPr="006A5509">
          <w:instrText xml:space="preserve"> PAGE   \* MERGEFORMAT </w:instrText>
        </w:r>
        <w:r>
          <w:fldChar w:fldCharType="separate"/>
        </w:r>
        <w:r w:rsidR="00527368">
          <w:rPr>
            <w:noProof/>
          </w:rPr>
          <w:t>6</w:t>
        </w:r>
        <w:r>
          <w:rPr>
            <w:noProof/>
          </w:rPr>
          <w:fldChar w:fldCharType="end"/>
        </w:r>
      </w:p>
    </w:sdtContent>
  </w:sdt>
  <w:p w14:paraId="1B93D360" w14:textId="77777777" w:rsidR="000B4EC3" w:rsidRDefault="000B4EC3"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5EEB0" w14:textId="77777777" w:rsidR="000B4EC3" w:rsidRDefault="000B4EC3" w:rsidP="006804EA">
      <w:r>
        <w:separator/>
      </w:r>
    </w:p>
  </w:footnote>
  <w:footnote w:type="continuationSeparator" w:id="0">
    <w:p w14:paraId="131089E8" w14:textId="77777777" w:rsidR="000B4EC3" w:rsidRDefault="000B4EC3" w:rsidP="006804EA">
      <w:r>
        <w:continuationSeparator/>
      </w:r>
    </w:p>
  </w:footnote>
  <w:footnote w:type="continuationNotice" w:id="1">
    <w:p w14:paraId="6BFEC6F7" w14:textId="77777777" w:rsidR="000B4EC3" w:rsidRDefault="000B4EC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0B4EC3" w:rsidRDefault="000B4E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9C427895-3D01-4A2F-8D12-A9BF2C06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FC481-88C2-4629-A2A1-C835E403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64</Pages>
  <Words>69385</Words>
  <Characters>395497</Characters>
  <Application>Microsoft Office Word</Application>
  <DocSecurity>0</DocSecurity>
  <Lines>3295</Lines>
  <Paragraphs>927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23</cp:revision>
  <cp:lastPrinted>2017-11-17T23:34:00Z</cp:lastPrinted>
  <dcterms:created xsi:type="dcterms:W3CDTF">2018-01-15T23:03:00Z</dcterms:created>
  <dcterms:modified xsi:type="dcterms:W3CDTF">2018-01-16T22:02:00Z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