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F038536" w:rsidR="006B33EA" w:rsidRDefault="006B33EA" w:rsidP="001C401A">
      <w:pPr>
        <w:spacing w:line="360" w:lineRule="auto"/>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spacing w:line="360" w:lineRule="auto"/>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spacing w:line="360" w:lineRule="auto"/>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spacing w:line="360" w:lineRule="auto"/>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spacing w:line="360" w:lineRule="auto"/>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spacing w:line="360" w:lineRule="auto"/>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spacing w:line="360" w:lineRule="auto"/>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spacing w:line="360" w:lineRule="auto"/>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spacing w:line="360" w:lineRule="auto"/>
        <w:jc w:val="left"/>
      </w:pPr>
      <w:r>
        <w:t>*Corresponding Authors</w:t>
      </w:r>
    </w:p>
    <w:p w14:paraId="1ED0AF70" w14:textId="77777777" w:rsidR="00056788" w:rsidRDefault="00056788" w:rsidP="001C401A">
      <w:pPr>
        <w:pStyle w:val="ListParagraph"/>
        <w:spacing w:line="360" w:lineRule="auto"/>
        <w:ind w:left="0"/>
        <w:jc w:val="left"/>
      </w:pPr>
    </w:p>
    <w:p w14:paraId="53C6EB06" w14:textId="32C9FCC5" w:rsidR="004D7899" w:rsidRDefault="00056788" w:rsidP="001C401A">
      <w:pPr>
        <w:pStyle w:val="ListParagraph"/>
        <w:spacing w:line="360" w:lineRule="auto"/>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spacing w:line="360" w:lineRule="auto"/>
        <w:jc w:val="left"/>
      </w:pPr>
    </w:p>
    <w:p w14:paraId="375B44FD" w14:textId="3ED53F2D" w:rsidR="001C401A" w:rsidRDefault="001C401A" w:rsidP="001C401A">
      <w:pPr>
        <w:pStyle w:val="ListParagraph"/>
        <w:spacing w:line="360" w:lineRule="auto"/>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spacing w:line="360" w:lineRule="auto"/>
        <w:ind w:left="0"/>
        <w:jc w:val="left"/>
        <w:rPr>
          <w:rStyle w:val="Hyperlink"/>
        </w:rPr>
      </w:pPr>
    </w:p>
    <w:p w14:paraId="7A8B558D" w14:textId="2887F98A" w:rsidR="006B33EA" w:rsidRDefault="006B33EA" w:rsidP="001C401A">
      <w:pPr>
        <w:pStyle w:val="Heading1"/>
        <w:spacing w:line="360" w:lineRule="auto"/>
      </w:pPr>
      <w:r>
        <w:lastRenderedPageBreak/>
        <w:t>Abstract</w:t>
      </w:r>
    </w:p>
    <w:p w14:paraId="557195E0" w14:textId="563E4FBA" w:rsidR="00FD145F" w:rsidRDefault="000478E9" w:rsidP="001C401A">
      <w:pPr>
        <w:spacing w:line="360" w:lineRule="auto"/>
      </w:pPr>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 outperformed other alternatives.</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spacing w:line="360" w:lineRule="auto"/>
      </w:pPr>
      <w:r>
        <w:t>Keywords</w:t>
      </w:r>
    </w:p>
    <w:p w14:paraId="1EAA50B3" w14:textId="05360C87" w:rsidR="000A4BE3" w:rsidRPr="000A4BE3" w:rsidRDefault="000A4BE3" w:rsidP="001C401A">
      <w:pPr>
        <w:spacing w:line="360" w:lineRule="auto"/>
      </w:pPr>
      <w:r>
        <w:t>Genome-wide Association Study; Gene Expression; Co-expression Networks; Maize; Ionome; Functional Genomics;</w:t>
      </w:r>
    </w:p>
    <w:p w14:paraId="06848D73" w14:textId="0521C57D" w:rsidR="006B33EA" w:rsidRDefault="000A4BE3" w:rsidP="001C401A">
      <w:pPr>
        <w:pStyle w:val="Heading1"/>
        <w:spacing w:line="360" w:lineRule="auto"/>
      </w:pPr>
      <w:r>
        <w:t>Background</w:t>
      </w:r>
    </w:p>
    <w:p w14:paraId="5C508213" w14:textId="2A751373" w:rsidR="00A71A15" w:rsidRDefault="00EF75BE" w:rsidP="001C401A">
      <w:pPr>
        <w:spacing w:line="360" w:lineRule="auto"/>
      </w:pPr>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CDC4768" w:rsidR="00B02A47" w:rsidRDefault="000F67AE" w:rsidP="001C401A">
      <w:pPr>
        <w:spacing w:line="360" w:lineRule="auto"/>
      </w:pPr>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118C443A" w:rsidR="00C076A9" w:rsidRDefault="00937BE3" w:rsidP="001C401A">
      <w:pPr>
        <w:spacing w:line="360" w:lineRule="auto"/>
      </w:pPr>
      <w:r>
        <w:t>The issues with n</w:t>
      </w:r>
      <w:r w:rsidR="0057418A">
        <w:t>arrowing</w:t>
      </w:r>
      <w:r>
        <w:t xml:space="preserve"> a large set of</w:t>
      </w:r>
      <w:r w:rsidR="0057418A">
        <w:t xml:space="preserve"> candidate</w:t>
      </w:r>
      <w:r>
        <w:t xml:space="preserve"> gene</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F9044A7" w:rsidR="00EF75BE" w:rsidRPr="00002A0F" w:rsidRDefault="00F946A7" w:rsidP="001C401A">
      <w:pPr>
        <w:spacing w:line="360" w:lineRule="auto"/>
      </w:pPr>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424E59E6" w:rsidR="00EF75BE" w:rsidRPr="00002A0F" w:rsidRDefault="00EF75BE" w:rsidP="001C401A">
      <w:pPr>
        <w:spacing w:line="360" w:lineRule="auto"/>
      </w:pPr>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1C401A">
      <w:pPr>
        <w:spacing w:line="360" w:lineRule="auto"/>
      </w:pPr>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1C401A">
      <w:pPr>
        <w:spacing w:line="360" w:lineRule="auto"/>
      </w:pPr>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39C7B3B4" w:rsidR="00F946A7" w:rsidRDefault="00F946A7" w:rsidP="001C401A">
      <w:pPr>
        <w:spacing w:line="360" w:lineRule="auto"/>
      </w:pPr>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spacing w:line="360" w:lineRule="auto"/>
      </w:pPr>
      <w:r w:rsidRPr="003E2EAC">
        <w:t>Results</w:t>
      </w:r>
    </w:p>
    <w:p w14:paraId="1EC5BF49" w14:textId="5307F6CB" w:rsidR="005E39F8" w:rsidRDefault="006F064F" w:rsidP="001C401A">
      <w:pPr>
        <w:pStyle w:val="Heading2"/>
        <w:spacing w:line="360" w:lineRule="auto"/>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CC0DB3F" w:rsidR="00B77B21" w:rsidRDefault="00B77B21" w:rsidP="001C401A">
      <w:pPr>
        <w:spacing w:line="360" w:lineRule="auto"/>
      </w:pPr>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0922F7F7" w:rsidR="00013461" w:rsidRDefault="00EA3C7A" w:rsidP="001C401A">
      <w:pPr>
        <w:spacing w:line="360" w:lineRule="auto"/>
      </w:pPr>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40865892" w14:textId="106B70B5" w:rsidR="00F42CCC" w:rsidRDefault="00AF201D" w:rsidP="001C401A">
      <w:pPr>
        <w:spacing w:line="360" w:lineRule="auto"/>
      </w:pPr>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D30974" w:rsidRPr="0045686C">
        <w:rPr>
          <w:rFonts w:eastAsiaTheme="minorEastAsia"/>
        </w:rPr>
        <w:t>Eq.</w:t>
      </w:r>
      <w:r w:rsidR="00D30974">
        <w:rPr>
          <w:rFonts w:eastAsiaTheme="minorEastAsia"/>
        </w:rPr>
        <w:t xml:space="preserve"> </w:t>
      </w:r>
      <w:r w:rsidR="00D3097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D30974">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C401A">
      <w:pPr>
        <w:pStyle w:val="Heading4"/>
        <w:spacing w:line="360" w:lineRule="auto"/>
      </w:pPr>
      <w:r w:rsidRPr="00C36685">
        <w:t>Generating co-expression networks from diverse transcriptional data</w:t>
      </w:r>
    </w:p>
    <w:p w14:paraId="268B9343" w14:textId="5A9CDA62" w:rsidR="00B41120" w:rsidRDefault="00C63949" w:rsidP="001C401A">
      <w:pPr>
        <w:spacing w:line="360" w:lineRule="auto"/>
      </w:pPr>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C401A">
      <w:pPr>
        <w:spacing w:line="360" w:lineRule="auto"/>
      </w:pPr>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5E965FB" w:rsidR="00AC5E1A" w:rsidRDefault="005D6663" w:rsidP="001C401A">
      <w:pPr>
        <w:spacing w:line="360" w:lineRule="auto"/>
      </w:pPr>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1C401A">
        <w:instrText xml:space="preserve"> \* MERGEFORMAT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BF1A19">
        <w:fldChar w:fldCharType="begin"/>
      </w:r>
      <w:r w:rsidR="00BF1A19">
        <w:instrText xml:space="preserve"> REF _Ref458774880 \h </w:instrText>
      </w:r>
      <w:r w:rsidR="001C401A">
        <w:instrText xml:space="preserve"> \* MERGEFORMAT </w:instrText>
      </w:r>
      <w:r w:rsidR="00BF1A19">
        <w:fldChar w:fldCharType="separate"/>
      </w:r>
      <w:r w:rsidR="00BF1A19">
        <w:t>Table 2</w:t>
      </w:r>
      <w:r w:rsidR="00BF1A19">
        <w:fldChar w:fldCharType="end"/>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482BFA">
        <w:t>Discussion</w:t>
      </w:r>
      <w:r w:rsidR="00482BFA">
        <w:fldChar w:fldCharType="end"/>
      </w:r>
      <w:r w:rsidR="00482BFA">
        <w:t xml:space="preserve"> and </w:t>
      </w:r>
      <w:r w:rsidR="004C74DC">
        <w:fldChar w:fldCharType="begin"/>
      </w:r>
      <w:r w:rsidR="004C74DC">
        <w:instrText xml:space="preserve"> REF _Ref502242324 \h </w:instrText>
      </w:r>
      <w:r w:rsidR="001C401A">
        <w:instrText xml:space="preserve"> \* MERGEFORMAT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C401A">
      <w:pPr>
        <w:pStyle w:val="Heading4"/>
        <w:spacing w:line="360" w:lineRule="auto"/>
      </w:pPr>
      <w:r w:rsidRPr="00462918">
        <w:t xml:space="preserve">Accounting for </w:t>
      </w:r>
      <w:r w:rsidRPr="00462918">
        <w:rPr>
          <w:i/>
        </w:rPr>
        <w:t>cis</w:t>
      </w:r>
      <w:r w:rsidRPr="00462918">
        <w:t xml:space="preserve"> </w:t>
      </w:r>
      <w:r>
        <w:t>gene interactions</w:t>
      </w:r>
    </w:p>
    <w:p w14:paraId="1E466466" w14:textId="78F513F5" w:rsidR="009756C7" w:rsidRDefault="00894739" w:rsidP="001C401A">
      <w:pPr>
        <w:spacing w:line="360" w:lineRule="auto"/>
      </w:pPr>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1C401A">
      <w:pPr>
        <w:spacing w:line="360" w:lineRule="auto"/>
      </w:pPr>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5BBCDC9" w:rsidR="002927F7" w:rsidRDefault="00760BC6" w:rsidP="001C401A">
      <w:pPr>
        <w:spacing w:line="360" w:lineRule="auto"/>
      </w:pPr>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D30974">
        <w:t>Methods</w:t>
      </w:r>
      <w:r w:rsidR="008C083D">
        <w:fldChar w:fldCharType="end"/>
      </w:r>
      <w:r>
        <w:t>).</w:t>
      </w:r>
    </w:p>
    <w:p w14:paraId="605FA8FD" w14:textId="77777777" w:rsidR="00F32D68" w:rsidRDefault="00F32D68" w:rsidP="001C401A">
      <w:pPr>
        <w:pStyle w:val="Heading4"/>
        <w:spacing w:line="360" w:lineRule="auto"/>
      </w:pPr>
      <w:r>
        <w:t>Evaluation of the Camoco framework</w:t>
      </w:r>
    </w:p>
    <w:p w14:paraId="50E2EA3F" w14:textId="0EE2D276" w:rsidR="000412AD" w:rsidRDefault="00CA0B8B" w:rsidP="001C401A">
      <w:pPr>
        <w:spacing w:line="360" w:lineRule="auto"/>
      </w:pPr>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1030C24E" w:rsidR="008D7F45" w:rsidRDefault="000F1264" w:rsidP="001C401A">
      <w:pPr>
        <w:spacing w:line="360" w:lineRule="auto"/>
      </w:pPr>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1F480504" w:rsidR="008D7F45" w:rsidRPr="00066CFC" w:rsidRDefault="00DF0076" w:rsidP="001C401A">
      <w:pPr>
        <w:spacing w:line="360" w:lineRule="auto"/>
      </w:pPr>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1C401A">
      <w:pPr>
        <w:spacing w:line="360" w:lineRule="auto"/>
      </w:pPr>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01365345" w:rsidR="008F1EA0" w:rsidRDefault="001C046B" w:rsidP="001C401A">
      <w:pPr>
        <w:spacing w:line="360" w:lineRule="auto"/>
      </w:pPr>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1C401A">
      <w:pPr>
        <w:pStyle w:val="Heading4"/>
        <w:spacing w:line="360" w:lineRule="auto"/>
      </w:pPr>
      <w:r>
        <w:t>Simulated GWAS datasets s</w:t>
      </w:r>
      <w:r w:rsidR="00AA6D61">
        <w:t>how robust co-expression s</w:t>
      </w:r>
      <w:r w:rsidR="00F43151">
        <w:t>ignal to MCR</w:t>
      </w:r>
      <w:r w:rsidR="001A50B4">
        <w:t xml:space="preserve"> and FCR</w:t>
      </w:r>
    </w:p>
    <w:p w14:paraId="1CA74236" w14:textId="17297738" w:rsidR="009838D1" w:rsidRDefault="00727EAC" w:rsidP="001C401A">
      <w:pPr>
        <w:spacing w:line="360" w:lineRule="auto"/>
      </w:pPr>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1C401A">
      <w:pPr>
        <w:spacing w:line="360" w:lineRule="auto"/>
      </w:pPr>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C2736E" w:rsidR="002B68E1" w:rsidRDefault="006F1358" w:rsidP="001C401A">
      <w:pPr>
        <w:spacing w:line="360" w:lineRule="auto"/>
      </w:pPr>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1EBAA5B" w:rsidR="009838D1" w:rsidRDefault="001A50B4" w:rsidP="001C401A">
      <w:pPr>
        <w:spacing w:line="360" w:lineRule="auto"/>
      </w:pPr>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1C401A">
      <w:pPr>
        <w:spacing w:line="360" w:lineRule="auto"/>
      </w:pPr>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155C310B" w:rsidR="005A4C13" w:rsidRDefault="00571A97" w:rsidP="001C401A">
      <w:pPr>
        <w:spacing w:line="360" w:lineRule="auto"/>
      </w:pPr>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1C401A">
      <w:pPr>
        <w:spacing w:line="360" w:lineRule="auto"/>
      </w:pPr>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pPr>
        <w:spacing w:line="360" w:lineRule="auto"/>
      </w:pPr>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1C401A">
      <w:pPr>
        <w:spacing w:line="360" w:lineRule="auto"/>
      </w:pPr>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1C401A">
      <w:pPr>
        <w:pStyle w:val="Heading4"/>
        <w:spacing w:line="360" w:lineRule="auto"/>
      </w:pPr>
      <w:r>
        <w:t>H</w:t>
      </w:r>
      <w:r w:rsidR="00817D7D">
        <w:t>igh-priority candidate causal genes under ionomic GWAS loci</w:t>
      </w:r>
    </w:p>
    <w:p w14:paraId="499682D5" w14:textId="25FA39EF" w:rsidR="0049242C" w:rsidRDefault="005619D7" w:rsidP="001C401A">
      <w:pPr>
        <w:spacing w:line="360" w:lineRule="auto"/>
      </w:pPr>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1C401A">
        <w:instrText xml:space="preserve"> \* MERGEFORMAT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3E3CF817" w:rsidR="0052006B" w:rsidRDefault="00F11BB0" w:rsidP="001C401A">
      <w:pPr>
        <w:spacing w:line="360" w:lineRule="auto"/>
      </w:pPr>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6C8B5CB6" w:rsidR="00F11BB0" w:rsidRDefault="002172E7" w:rsidP="001C401A">
      <w:pPr>
        <w:spacing w:line="360" w:lineRule="auto"/>
      </w:pPr>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rsidP="001C401A">
      <w:pPr>
        <w:pStyle w:val="Heading2"/>
        <w:spacing w:line="360" w:lineRule="auto"/>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1C401A">
      <w:pPr>
        <w:spacing w:line="360" w:lineRule="auto"/>
      </w:pPr>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1C401A">
      <w:pPr>
        <w:pStyle w:val="Heading4"/>
        <w:spacing w:line="360" w:lineRule="auto"/>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0B8D40F2" w:rsidR="00F11BB0" w:rsidRDefault="00641852" w:rsidP="001C401A">
      <w:pPr>
        <w:spacing w:line="360" w:lineRule="auto"/>
      </w:pPr>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1C401A">
        <w:instrText xml:space="preserve"> \* MERGEFORMAT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1C401A">
      <w:pPr>
        <w:pStyle w:val="Heading2"/>
        <w:spacing w:line="360" w:lineRule="auto"/>
      </w:pPr>
      <w:r>
        <w:t>Camoco identifies</w:t>
      </w:r>
      <w:r w:rsidR="00131A9D">
        <w:t xml:space="preserve"> genes with known roles in </w:t>
      </w:r>
      <w:r w:rsidR="00DE74DA">
        <w:t>elemental accumulation</w:t>
      </w:r>
    </w:p>
    <w:p w14:paraId="61970299" w14:textId="0CE3E134" w:rsidR="00624BC1" w:rsidRPr="00624BC1" w:rsidRDefault="00E57950" w:rsidP="001C401A">
      <w:pPr>
        <w:spacing w:line="360" w:lineRule="auto"/>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D30974">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1C401A">
        <w:instrText xml:space="preserve"> \* MERGEFORMAT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 </w:t>
      </w:r>
      <w:r w:rsidR="00862348">
        <w:t xml:space="preserve"> </w:t>
      </w:r>
    </w:p>
    <w:p w14:paraId="276A3C0A" w14:textId="1D4335C0" w:rsidR="00335FB6" w:rsidRDefault="002E212F" w:rsidP="001C401A">
      <w:pPr>
        <w:spacing w:line="360" w:lineRule="auto"/>
      </w:pPr>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684C98">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7"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1C401A">
      <w:pPr>
        <w:pStyle w:val="Heading2"/>
        <w:spacing w:line="360" w:lineRule="auto"/>
      </w:pPr>
      <w:r>
        <w:t xml:space="preserve">Mutant analysis validates </w:t>
      </w:r>
      <w:r w:rsidR="00A36B70">
        <w:t>GA-signaling DELLA domain transcription factors influence the maize</w:t>
      </w:r>
      <w:r>
        <w:t xml:space="preserve"> ionome</w:t>
      </w:r>
    </w:p>
    <w:p w14:paraId="0A8BC6D5" w14:textId="44ADC15A" w:rsidR="00A36B70" w:rsidRDefault="00A36B70" w:rsidP="001C401A">
      <w:pPr>
        <w:spacing w:line="360" w:lineRule="auto"/>
      </w:pPr>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 xml:space="preserve">).  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FB6953">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E612E0">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2D5EEEA9" w:rsidR="00A36B70" w:rsidRDefault="00A36B70" w:rsidP="001C401A">
      <w:pPr>
        <w:spacing w:line="360" w:lineRule="auto"/>
      </w:pPr>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3671C085" w:rsidR="00A36B70" w:rsidRPr="0089389D" w:rsidRDefault="00A36B70" w:rsidP="001C401A">
      <w:pPr>
        <w:spacing w:line="360" w:lineRule="auto"/>
      </w:pPr>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Maize ionome.</w:t>
      </w:r>
    </w:p>
    <w:p w14:paraId="7C3163BA" w14:textId="44627D4C" w:rsidR="006B33EA" w:rsidRDefault="006B33EA" w:rsidP="001C401A">
      <w:pPr>
        <w:pStyle w:val="Heading1"/>
        <w:spacing w:line="360" w:lineRule="auto"/>
      </w:pPr>
      <w:bookmarkStart w:id="8" w:name="_Ref487125611"/>
      <w:r>
        <w:t>Discussion</w:t>
      </w:r>
      <w:bookmarkEnd w:id="7"/>
      <w:bookmarkEnd w:id="8"/>
    </w:p>
    <w:p w14:paraId="0DCBCE29" w14:textId="31BCC976" w:rsidR="00382E9B" w:rsidRDefault="00D339E0" w:rsidP="001C401A">
      <w:pPr>
        <w:spacing w:line="360" w:lineRule="auto"/>
      </w:pPr>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9565234" w:rsidR="000272DE" w:rsidRDefault="006301D4" w:rsidP="001C401A">
      <w:pPr>
        <w:spacing w:line="360" w:lineRule="auto"/>
      </w:pPr>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1C401A">
      <w:pPr>
        <w:spacing w:line="360" w:lineRule="auto"/>
      </w:pPr>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FED1BCD" w:rsidR="000272DE" w:rsidRDefault="004C123B" w:rsidP="001C401A">
      <w:pPr>
        <w:spacing w:line="360" w:lineRule="auto"/>
      </w:pPr>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7926E064" w:rsidR="004C123B" w:rsidRDefault="004C123B" w:rsidP="001C401A">
      <w:pPr>
        <w:spacing w:line="360" w:lineRule="auto"/>
      </w:pPr>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1C401A">
      <w:pPr>
        <w:pStyle w:val="Heading2"/>
        <w:spacing w:line="360" w:lineRule="auto"/>
      </w:pPr>
      <w:r>
        <w:t>Camoco</w:t>
      </w:r>
      <w:r w:rsidR="000A3EDD">
        <w:t>-</w:t>
      </w:r>
      <w:r>
        <w:t xml:space="preserve">discovered </w:t>
      </w:r>
      <w:r w:rsidR="007D29CF">
        <w:t>gene sets</w:t>
      </w:r>
      <w:r>
        <w:t xml:space="preserve"> are as coherent as GO terms</w:t>
      </w:r>
    </w:p>
    <w:p w14:paraId="38A790EA" w14:textId="5ABD5DA1" w:rsidR="0021466E" w:rsidRDefault="004C123B" w:rsidP="001C401A">
      <w:pPr>
        <w:spacing w:line="360" w:lineRule="auto"/>
      </w:pPr>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pPr>
        <w:spacing w:line="360" w:lineRule="auto"/>
      </w:pPr>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1C401A">
      <w:pPr>
        <w:spacing w:line="360" w:lineRule="auto"/>
      </w:pPr>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1C401A">
      <w:pPr>
        <w:spacing w:line="360" w:lineRule="auto"/>
      </w:pPr>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1C401A">
      <w:pPr>
        <w:pStyle w:val="Heading2"/>
        <w:spacing w:line="360" w:lineRule="auto"/>
      </w:pPr>
      <w:r>
        <w:t>Co-expression context matters</w:t>
      </w:r>
    </w:p>
    <w:p w14:paraId="3B70E8AF" w14:textId="27454838" w:rsidR="003C16CC" w:rsidRDefault="004C123B" w:rsidP="001C401A">
      <w:pPr>
        <w:spacing w:line="360" w:lineRule="auto"/>
      </w:pPr>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2F9D8D30" w:rsidR="003F0DEB" w:rsidRDefault="004C123B" w:rsidP="001C401A">
      <w:pPr>
        <w:spacing w:line="360" w:lineRule="auto"/>
      </w:pPr>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BAE3003" w:rsidR="0007635B" w:rsidRDefault="009A0805" w:rsidP="001C401A">
      <w:pPr>
        <w:spacing w:line="360" w:lineRule="auto"/>
      </w:pPr>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p>
    <w:p w14:paraId="7C1B9FA8" w14:textId="41D80B18" w:rsidR="004C123B" w:rsidRPr="004C123B" w:rsidRDefault="004C123B" w:rsidP="001C401A">
      <w:pPr>
        <w:spacing w:line="360" w:lineRule="auto"/>
      </w:pPr>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spacing w:line="360" w:lineRule="auto"/>
      </w:pPr>
      <w:bookmarkStart w:id="9" w:name="_Ref463088833"/>
      <w:r>
        <w:t>Methods</w:t>
      </w:r>
      <w:bookmarkEnd w:id="9"/>
    </w:p>
    <w:p w14:paraId="4DB9B098" w14:textId="77777777" w:rsidR="00134263" w:rsidRDefault="00134263" w:rsidP="00134263">
      <w:pPr>
        <w:pStyle w:val="Heading2"/>
        <w:spacing w:line="360" w:lineRule="auto"/>
      </w:pPr>
      <w:r>
        <w:t>Availability of data and material</w:t>
      </w:r>
    </w:p>
    <w:p w14:paraId="454F547F" w14:textId="27A6DA22" w:rsidR="00134263" w:rsidRPr="00134263" w:rsidRDefault="00134263" w:rsidP="00134263">
      <w:pPr>
        <w:spacing w:line="360" w:lineRule="auto"/>
      </w:pPr>
      <w:r>
        <w:t>Full GWAS information for all traits studied here are publically available from Ziegler et al.</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FPKM values from RNA-Seq data for the ZmSAM network was used from Stelpflug et al. </w:t>
      </w:r>
      <w:r>
        <w:fldChar w:fldCharType="begin" w:fldLock="1"/>
      </w:r>
      <w:r>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Pr="003F4242">
        <w:rPr>
          <w:noProof/>
        </w:rPr>
        <w:t>[38]</w:t>
      </w:r>
      <w:r>
        <w:fldChar w:fldCharType="end"/>
      </w:r>
      <w:r>
        <w:t xml:space="preserve">. FPKM values for the ZmPAN network is available from Hirsch et al. </w:t>
      </w:r>
      <w:r>
        <w:fldChar w:fldCharType="begin" w:fldLock="1"/>
      </w:r>
      <w:r>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fldChar w:fldCharType="separate"/>
      </w:r>
      <w:r w:rsidRPr="00CB7D27">
        <w:rPr>
          <w:noProof/>
        </w:rPr>
        <w:t>[37]</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r>
        <w:fldChar w:fldCharType="begin" w:fldLock="1"/>
      </w:r>
      <w:r>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fldChar w:fldCharType="separate"/>
      </w:r>
      <w:r w:rsidRPr="00CB7D27">
        <w:rPr>
          <w:noProof/>
        </w:rPr>
        <w:t>[63]</w:t>
      </w:r>
      <w:r>
        <w:fldChar w:fldCharType="end"/>
      </w:r>
      <w:r>
        <w:t>.</w:t>
      </w:r>
    </w:p>
    <w:p w14:paraId="28A526A3" w14:textId="77777777" w:rsidR="008D2BA7" w:rsidRDefault="008D2BA7" w:rsidP="001C401A">
      <w:pPr>
        <w:pStyle w:val="Heading2"/>
        <w:spacing w:line="360" w:lineRule="auto"/>
      </w:pPr>
      <w:r>
        <w:t>Software implementation of Camoco</w:t>
      </w:r>
    </w:p>
    <w:p w14:paraId="62C7F429" w14:textId="69465319" w:rsidR="008D2BA7" w:rsidRDefault="008D2BA7" w:rsidP="001C401A">
      <w:pPr>
        <w:spacing w:line="360" w:lineRule="auto"/>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spacing w:line="360" w:lineRule="auto"/>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1C401A">
      <w:pPr>
        <w:spacing w:line="360" w:lineRule="auto"/>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1C401A">
      <w:pPr>
        <w:pStyle w:val="Heading2"/>
        <w:spacing w:line="360" w:lineRule="auto"/>
      </w:pPr>
      <w:r>
        <w:t>Construction quality control</w:t>
      </w:r>
      <w:r w:rsidR="00B341BD">
        <w:t xml:space="preserve"> of co-expression networks</w:t>
      </w:r>
    </w:p>
    <w:p w14:paraId="4C8CAC2D" w14:textId="487B1EAC" w:rsidR="009516E9" w:rsidRDefault="009516E9" w:rsidP="001C401A">
      <w:pPr>
        <w:pStyle w:val="Heading3"/>
        <w:spacing w:line="360" w:lineRule="auto"/>
      </w:pPr>
      <w:r>
        <w:t>Camoco Parameters</w:t>
      </w:r>
    </w:p>
    <w:p w14:paraId="2719DE16" w14:textId="34D1D5D3" w:rsidR="009516E9" w:rsidRDefault="009516E9" w:rsidP="001C401A">
      <w:pPr>
        <w:spacing w:line="360" w:lineRule="auto"/>
      </w:pPr>
      <w:r>
        <w:t>All networks were built</w:t>
      </w:r>
      <w:r w:rsidR="008D3184">
        <w:t xml:space="preserve"> (using the CLI)</w:t>
      </w:r>
      <w:r>
        <w:t xml:space="preserve"> with the following Camoco QC parameters:</w:t>
      </w:r>
    </w:p>
    <w:p w14:paraId="1436526B" w14:textId="1594CF00" w:rsidR="009516E9" w:rsidRDefault="009516E9" w:rsidP="001C401A">
      <w:pPr>
        <w:pStyle w:val="ListParagraph"/>
        <w:numPr>
          <w:ilvl w:val="0"/>
          <w:numId w:val="9"/>
        </w:numPr>
        <w:spacing w:line="360" w:lineRule="auto"/>
      </w:pPr>
      <w:r>
        <w:t>min_expr_level: 0.001  (expression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spacing w:line="360" w:lineRule="auto"/>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spacing w:line="360" w:lineRule="auto"/>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spacing w:line="360" w:lineRule="auto"/>
      </w:pPr>
      <w:r>
        <w:t>min_single_sample_expr: 1.0 (genes must have at least this amount of expression [FPKM] in one accession)</w:t>
      </w:r>
    </w:p>
    <w:p w14:paraId="58723C91" w14:textId="77777777" w:rsidR="007255FD" w:rsidRPr="00456B26" w:rsidRDefault="00330ED2" w:rsidP="001C401A">
      <w:pPr>
        <w:pStyle w:val="Heading3"/>
        <w:spacing w:line="360" w:lineRule="auto"/>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1C401A">
      <w:pPr>
        <w:spacing w:line="360" w:lineRule="auto"/>
      </w:pPr>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29CD071A" w:rsidR="00101EAA" w:rsidRDefault="00101EAA" w:rsidP="001C401A">
      <w:pPr>
        <w:spacing w:line="360" w:lineRule="auto"/>
      </w:pPr>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1C401A">
      <w:pPr>
        <w:pStyle w:val="Heading3"/>
        <w:spacing w:line="360" w:lineRule="auto"/>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1C401A">
      <w:pPr>
        <w:spacing w:line="360" w:lineRule="auto"/>
      </w:pPr>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2514672" w:rsidR="00101EAA" w:rsidRPr="00456B26" w:rsidRDefault="00DF6622" w:rsidP="001C401A">
      <w:pPr>
        <w:spacing w:line="360" w:lineRule="auto"/>
      </w:pPr>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1C401A">
      <w:pPr>
        <w:pStyle w:val="Heading3"/>
        <w:spacing w:line="360" w:lineRule="auto"/>
      </w:pPr>
      <w:r>
        <w:t xml:space="preserve">ZmRoot: A </w:t>
      </w:r>
      <w:r w:rsidR="009B716E">
        <w:t>genotypically diverse maize root co-expression network</w:t>
      </w:r>
    </w:p>
    <w:p w14:paraId="3C08C986" w14:textId="4CF48D53" w:rsidR="003363AF" w:rsidRDefault="003363AF" w:rsidP="001C401A">
      <w:pPr>
        <w:spacing w:line="360" w:lineRule="auto"/>
      </w:pPr>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77AF603" w:rsidR="007255FD" w:rsidRPr="00456B26" w:rsidRDefault="003363AF" w:rsidP="001C401A">
      <w:pPr>
        <w:spacing w:line="360" w:lineRule="auto"/>
      </w:pPr>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1C401A">
      <w:pPr>
        <w:pStyle w:val="Heading2"/>
        <w:spacing w:line="360" w:lineRule="auto"/>
      </w:pPr>
      <w:r>
        <w:t>SNP-to-</w:t>
      </w:r>
      <w:r w:rsidR="00145345">
        <w:t>g</w:t>
      </w:r>
      <w:r w:rsidR="00C571E9">
        <w:t>ene m</w:t>
      </w:r>
      <w:r w:rsidR="00097BC0">
        <w:t>apping</w:t>
      </w:r>
      <w:r w:rsidR="00C571E9">
        <w:t xml:space="preserve"> and effective loci</w:t>
      </w:r>
    </w:p>
    <w:p w14:paraId="71FF43E1" w14:textId="235FF12A" w:rsidR="00C51B9A" w:rsidRDefault="00097BC0" w:rsidP="001C401A">
      <w:pPr>
        <w:spacing w:line="360" w:lineRule="auto"/>
      </w:pPr>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1C401A">
      <w:pPr>
        <w:pStyle w:val="Heading2"/>
        <w:spacing w:line="360" w:lineRule="auto"/>
      </w:pPr>
      <w:r w:rsidRPr="004727BA">
        <w:t xml:space="preserve">Calculating </w:t>
      </w:r>
      <w:r w:rsidR="008533FD">
        <w:t>subnetwork density and locality</w:t>
      </w:r>
    </w:p>
    <w:p w14:paraId="5DA9001F" w14:textId="2E0CDB5C" w:rsidR="00047C4E" w:rsidRDefault="00D13B6D" w:rsidP="001C401A">
      <w:pPr>
        <w:spacing w:line="360" w:lineRule="auto"/>
      </w:pPr>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1C401A">
      <w:pPr>
        <w:pStyle w:val="Heading3"/>
        <w:spacing w:line="360" w:lineRule="auto"/>
        <w:jc w:val="left"/>
        <w:rPr>
          <w:rFonts w:eastAsiaTheme="minorEastAsia"/>
        </w:rPr>
      </w:pPr>
      <w:bookmarkStart w:id="10" w:name="_Ref447101528"/>
      <w:r w:rsidRPr="0045686C">
        <w:rPr>
          <w:rFonts w:eastAsiaTheme="minorEastAsia"/>
        </w:rPr>
        <w:t>Eq.</w:t>
      </w:r>
      <w:r w:rsidR="00145345">
        <w:rPr>
          <w:rFonts w:eastAsiaTheme="minorEastAsia"/>
        </w:rPr>
        <w:t xml:space="preserve"> </w:t>
      </w:r>
      <w:r w:rsidRPr="0045686C">
        <w:rPr>
          <w:rFonts w:eastAsiaTheme="minorEastAsia"/>
        </w:rPr>
        <w:t>1</w:t>
      </w:r>
      <w:bookmarkEnd w:id="10"/>
    </w:p>
    <w:p w14:paraId="5CFBC04F" w14:textId="0BB2F23A" w:rsidR="00EF5E7C" w:rsidRDefault="002A41DF" w:rsidP="008374DE">
      <w:pPr>
        <w:spacing w:line="360" w:lineRule="auto"/>
        <w:ind w:firstLine="720"/>
        <w:jc w:val="left"/>
        <w:pPrChange w:id="11" w:author="rob" w:date="2018-06-11T15:15:00Z">
          <w:pPr>
            <w:spacing w:line="360" w:lineRule="auto"/>
            <w:jc w:val="left"/>
          </w:pPr>
        </w:pPrChange>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del w:id="12" w:author="rob" w:date="2018-06-11T15:12:00Z">
                  <m:rPr>
                    <m:sty m:val="p"/>
                  </m:rPr>
                  <w:rPr>
                    <w:rFonts w:ascii="Cambria Math" w:hAnsi="Cambria Math"/>
                  </w:rPr>
                  <m:t>-</m:t>
                </w:del>
              </m:r>
              <m:r>
                <w:del w:id="13" w:author="rob" w:date="2018-06-11T15:12:00Z">
                  <w:rPr>
                    <w:rFonts w:ascii="Cambria Math" w:hAnsi="Cambria Math"/>
                  </w:rPr>
                  <m:t>E</m:t>
                </w:del>
              </m:r>
              <m:d>
                <m:dPr>
                  <m:ctrlPr>
                    <w:del w:id="14" w:author="rob" w:date="2018-06-11T15:12:00Z">
                      <w:rPr>
                        <w:rFonts w:ascii="Cambria Math" w:hAnsi="Cambria Math"/>
                      </w:rPr>
                    </w:del>
                  </m:ctrlPr>
                </m:dPr>
                <m:e>
                  <m:r>
                    <w:del w:id="15" w:author="rob" w:date="2018-06-11T15:12:00Z">
                      <w:rPr>
                        <w:rFonts w:ascii="Cambria Math" w:hAnsi="Cambria Math"/>
                      </w:rPr>
                      <m:t>X</m:t>
                    </w:del>
                  </m:r>
                </m:e>
              </m:d>
              <m:r>
                <w:ins w:id="16" w:author="rob" w:date="2018-06-11T15:15:00Z">
                  <w:rPr>
                    <w:rFonts w:ascii="Cambria Math" w:hAnsi="Cambria Math"/>
                  </w:rPr>
                  <m:t xml:space="preserve">× </m:t>
                </w:ins>
              </m:r>
              <m:rad>
                <m:radPr>
                  <m:degHide m:val="1"/>
                  <m:ctrlPr>
                    <w:ins w:id="17" w:author="rob" w:date="2018-06-11T15:15:00Z">
                      <w:rPr>
                        <w:rFonts w:ascii="Cambria Math" w:hAnsi="Cambria Math"/>
                      </w:rPr>
                    </w:ins>
                  </m:ctrlPr>
                </m:radPr>
                <m:deg/>
                <m:e>
                  <m:r>
                    <w:ins w:id="18" w:author="rob" w:date="2018-06-11T15:15:00Z">
                      <w:rPr>
                        <w:rFonts w:ascii="Cambria Math" w:hAnsi="Cambria Math"/>
                      </w:rPr>
                      <m:t>N</m:t>
                    </w:ins>
                  </m:r>
                </m:e>
              </m:rad>
            </m:num>
            <m:den>
              <m:r>
                <w:del w:id="19" w:author="rob" w:date="2018-06-11T15:12:00Z">
                  <w:rPr>
                    <w:rFonts w:ascii="Cambria Math" w:hAnsi="Cambria Math"/>
                  </w:rPr>
                  <m:t>σ</m:t>
                </w:del>
              </m:r>
              <m:r>
                <w:del w:id="20" w:author="rob" w:date="2018-06-11T15:12:00Z">
                  <m:rPr>
                    <m:sty m:val="p"/>
                  </m:rPr>
                  <w:rPr>
                    <w:rFonts w:ascii="Cambria Math" w:hAnsi="Cambria Math"/>
                  </w:rPr>
                  <m:t>(</m:t>
                </w:del>
              </m:r>
              <m:r>
                <w:del w:id="21" w:author="rob" w:date="2018-06-11T15:12:00Z">
                  <w:rPr>
                    <w:rFonts w:ascii="Cambria Math" w:hAnsi="Cambria Math"/>
                  </w:rPr>
                  <m:t>X</m:t>
                </w:del>
              </m:r>
              <m:r>
                <w:del w:id="22" w:author="rob" w:date="2018-06-11T15:12:00Z">
                  <m:rPr>
                    <m:sty m:val="p"/>
                  </m:rPr>
                  <w:rPr>
                    <w:rFonts w:ascii="Cambria Math" w:hAnsi="Cambria Math"/>
                  </w:rPr>
                  <m:t>)</m:t>
                </w:del>
              </m:r>
              <m:r>
                <w:del w:id="23" w:author="rob" w:date="2018-06-11T15:13:00Z">
                  <m:rPr>
                    <m:sty m:val="p"/>
                  </m:rPr>
                  <w:rPr>
                    <w:rFonts w:ascii="Cambria Math" w:hAnsi="Cambria Math"/>
                  </w:rPr>
                  <m:t>/</m:t>
                </w:del>
              </m:r>
              <m:rad>
                <m:radPr>
                  <m:degHide m:val="1"/>
                  <m:ctrlPr>
                    <w:del w:id="24" w:author="rob" w:date="2018-06-11T15:15:00Z">
                      <w:rPr>
                        <w:rFonts w:ascii="Cambria Math" w:hAnsi="Cambria Math"/>
                      </w:rPr>
                    </w:del>
                  </m:ctrlPr>
                </m:radPr>
                <m:deg/>
                <m:e>
                  <m:r>
                    <w:del w:id="25" w:author="rob" w:date="2018-06-11T15:15:00Z">
                      <w:rPr>
                        <w:rFonts w:ascii="Cambria Math" w:hAnsi="Cambria Math"/>
                      </w:rPr>
                      <m:t>N</m:t>
                    </w:del>
                  </m:r>
                </m:e>
              </m:rad>
            </m:den>
          </m:f>
        </m:oMath>
      </m:oMathPara>
    </w:p>
    <w:p w14:paraId="410D6F6A" w14:textId="2B628836" w:rsidR="008720EA" w:rsidRPr="00EF5E7C" w:rsidRDefault="009C2CAC" w:rsidP="001C401A">
      <w:pPr>
        <w:pStyle w:val="Subtitle"/>
        <w:spacing w:line="360" w:lineRule="auto"/>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w:t>
      </w:r>
      <w:del w:id="26" w:author="rob" w:date="2018-06-11T15:29:00Z">
        <w:r w:rsidR="005822E6" w:rsidDel="001B40FB">
          <w:delText xml:space="preserve">As the interaction data </w:delText>
        </w:r>
        <w:r w:rsidDel="001B40FB">
          <w:delText xml:space="preserve">were </w:delText>
        </w:r>
        <w:r w:rsidR="005822E6" w:rsidDel="001B40FB">
          <w:delText>standard normalized,</w:delText>
        </w:r>
        <w:r w:rsidR="00065C7F" w:rsidDel="001B40FB">
          <w:delText xml:space="preserve"> </w:delText>
        </w:r>
        <w:r w:rsidR="005822E6" w:rsidDel="001B40FB">
          <w:delText xml:space="preserve">the </w:delText>
        </w:r>
        <w:r w:rsidR="00065C7F" w:rsidRPr="00065C7F" w:rsidDel="001B40FB">
          <w:delText>expected networ</w:delText>
        </w:r>
        <w:r w:rsidR="00065C7F" w:rsidDel="001B40FB">
          <w:delText xml:space="preserve">k interaction score, </w:delText>
        </w:r>
        <w:r w:rsidR="00065C7F" w:rsidRPr="00A2437F" w:rsidDel="001B40FB">
          <w:rPr>
            <w:i/>
          </w:rPr>
          <w:delText>E</w:delText>
        </w:r>
        <w:r w:rsidR="00065C7F" w:rsidDel="001B40FB">
          <w:delText>(</w:delText>
        </w:r>
        <w:r w:rsidR="00065C7F" w:rsidRPr="00A2437F" w:rsidDel="001B40FB">
          <w:rPr>
            <w:i/>
          </w:rPr>
          <w:delText>X</w:delText>
        </w:r>
        <w:r w:rsidR="00065C7F" w:rsidDel="001B40FB">
          <w:delText>)</w:delText>
        </w:r>
        <w:r w:rsidR="005822E6" w:rsidDel="001B40FB">
          <w:delText>,</w:delText>
        </w:r>
        <w:r w:rsidR="00065C7F" w:rsidRPr="00065C7F" w:rsidDel="001B40FB">
          <w:delText xml:space="preserve"> is</w:delText>
        </w:r>
        <w:r w:rsidR="005822E6" w:rsidDel="001B40FB">
          <w:delText xml:space="preserve"> 0</w:delText>
        </w:r>
        <w:r w:rsidDel="001B40FB">
          <w:delText>,</w:delText>
        </w:r>
        <w:r w:rsidR="00674ACD" w:rsidDel="001B40FB">
          <w:delText xml:space="preserve"> and</w:delText>
        </w:r>
        <w:r w:rsidR="00065C7F" w:rsidRPr="00065C7F" w:rsidDel="001B40FB">
          <w:delText xml:space="preserve"> the standard deviation of network interactions, </w:delText>
        </w:r>
        <w:r w:rsidR="00674ACD" w:rsidDel="001B40FB">
          <w:delText>σ(</w:delText>
        </w:r>
        <w:r w:rsidR="00674ACD" w:rsidRPr="00A2437F" w:rsidDel="001B40FB">
          <w:rPr>
            <w:i/>
          </w:rPr>
          <w:delText>X</w:delText>
        </w:r>
        <w:r w:rsidR="00674ACD" w:rsidDel="001B40FB">
          <w:delText>)</w:delText>
        </w:r>
        <w:r w:rsidR="00065C7F" w:rsidRPr="00065C7F" w:rsidDel="001B40FB">
          <w:delText>,</w:delText>
        </w:r>
        <w:r w:rsidR="00674ACD" w:rsidDel="001B40FB">
          <w:delText xml:space="preserve"> is 1</w:delText>
        </w:r>
        <w:r w:rsidR="00065C7F" w:rsidRPr="00065C7F" w:rsidDel="001B40FB">
          <w:delText>.</w:delText>
        </w:r>
      </w:del>
    </w:p>
    <w:p w14:paraId="3B7811BF" w14:textId="0DE838EE" w:rsidR="00573E18" w:rsidRDefault="0060147A" w:rsidP="001C401A">
      <w:pPr>
        <w:spacing w:line="360" w:lineRule="auto"/>
      </w:pPr>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calculated for each gene within a subnetwork</w:t>
      </w:r>
      <w:ins w:id="27" w:author="rob" w:date="2018-06-11T15:42:00Z">
        <w:r w:rsidR="00DC5A6F">
          <w:t xml:space="preserve"> where local degree is the number of interactions to other genes in the subnetwork and global degree is the </w:t>
        </w:r>
      </w:ins>
      <w:ins w:id="28" w:author="rob" w:date="2018-06-11T15:44:00Z">
        <w:r w:rsidR="00DC5A6F">
          <w:t>total number of interactions a gene has</w:t>
        </w:r>
      </w:ins>
      <w:bookmarkStart w:id="29" w:name="_GoBack"/>
      <w:bookmarkEnd w:id="29"/>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1C401A">
      <w:pPr>
        <w:pStyle w:val="Heading3"/>
        <w:spacing w:line="360" w:lineRule="auto"/>
        <w:jc w:val="left"/>
      </w:pPr>
      <w:bookmarkStart w:id="30" w:name="_Ref447101545"/>
      <w:bookmarkStart w:id="31" w:name="_Ref464049667"/>
      <w:r>
        <w:t>Eq.</w:t>
      </w:r>
      <w:bookmarkEnd w:id="30"/>
      <w:r w:rsidR="00145345">
        <w:t xml:space="preserve"> </w:t>
      </w:r>
      <w:r w:rsidR="0020783F">
        <w:t>2</w:t>
      </w:r>
      <w:bookmarkEnd w:id="31"/>
    </w:p>
    <w:p w14:paraId="23A18B42" w14:textId="73BAA332" w:rsidR="003F2435" w:rsidRPr="003F2435" w:rsidRDefault="00680409" w:rsidP="001C401A">
      <w:pPr>
        <w:spacing w:line="360" w:lineRule="auto"/>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1C401A">
      <w:pPr>
        <w:spacing w:line="360" w:lineRule="auto"/>
      </w:pPr>
      <w:r>
        <w:t>Gene</w:t>
      </w:r>
      <w:r w:rsidR="00CC7F9B">
        <w:t>-</w:t>
      </w:r>
      <w:r>
        <w:t>specific density is calculated by considering subnetwork interactions on a per-gene basis:</w:t>
      </w:r>
    </w:p>
    <w:p w14:paraId="3F40912B" w14:textId="580F2053" w:rsidR="0020783F" w:rsidRDefault="0020783F" w:rsidP="001C401A">
      <w:pPr>
        <w:pStyle w:val="Heading3"/>
        <w:spacing w:line="360" w:lineRule="auto"/>
        <w:jc w:val="left"/>
        <w:rPr>
          <w:rFonts w:eastAsiaTheme="minorEastAsia"/>
        </w:rPr>
      </w:pPr>
      <w:bookmarkStart w:id="32" w:name="_Ref447101563"/>
      <w:bookmarkStart w:id="33" w:name="_Ref464738379"/>
      <w:r w:rsidRPr="0045686C">
        <w:rPr>
          <w:rFonts w:eastAsiaTheme="minorEastAsia"/>
        </w:rPr>
        <w:t>Eq.</w:t>
      </w:r>
      <w:bookmarkEnd w:id="32"/>
      <w:r w:rsidR="00145345">
        <w:rPr>
          <w:rFonts w:eastAsiaTheme="minorEastAsia"/>
        </w:rPr>
        <w:t xml:space="preserve"> </w:t>
      </w:r>
      <w:r>
        <w:rPr>
          <w:rFonts w:eastAsiaTheme="minorEastAsia"/>
        </w:rPr>
        <w:t>3</w:t>
      </w:r>
      <w:bookmarkEnd w:id="33"/>
    </w:p>
    <w:p w14:paraId="2B0DE368" w14:textId="5573E73C" w:rsidR="0020783F" w:rsidRPr="002E6613" w:rsidRDefault="0020783F" w:rsidP="001C401A">
      <w:pPr>
        <w:spacing w:line="360" w:lineRule="auto"/>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1C401A">
      <w:pPr>
        <w:spacing w:line="360" w:lineRule="auto"/>
        <w:jc w:val="left"/>
      </w:pPr>
    </w:p>
    <w:p w14:paraId="16FB8440" w14:textId="51797D28" w:rsidR="00503064" w:rsidRDefault="004047D8" w:rsidP="001C401A">
      <w:pPr>
        <w:spacing w:line="360" w:lineRule="auto"/>
        <w:jc w:val="left"/>
      </w:pPr>
      <w:r>
        <w:t>Gene locality residuals can be interpreted independently to identify gene</w:t>
      </w:r>
      <w:r w:rsidR="007B1CB5">
        <w:t>-</w:t>
      </w:r>
      <w:r>
        <w:t>specific locality:</w:t>
      </w:r>
    </w:p>
    <w:p w14:paraId="4A0D3CED" w14:textId="2ED3CAE5" w:rsidR="00503064" w:rsidRDefault="00F93BF5" w:rsidP="001C401A">
      <w:pPr>
        <w:pStyle w:val="Heading3"/>
        <w:spacing w:line="360" w:lineRule="auto"/>
        <w:jc w:val="left"/>
      </w:pPr>
      <w:bookmarkStart w:id="34" w:name="_Ref447101571"/>
      <w:r>
        <w:t>Eq.</w:t>
      </w:r>
      <w:r w:rsidR="000853EA">
        <w:t xml:space="preserve"> </w:t>
      </w:r>
      <w:r w:rsidR="00503064">
        <w:t>4</w:t>
      </w:r>
      <w:bookmarkEnd w:id="34"/>
    </w:p>
    <w:p w14:paraId="78E73A58" w14:textId="4FF13FB8" w:rsidR="003F2435" w:rsidRDefault="00037F55" w:rsidP="001C401A">
      <w:pPr>
        <w:spacing w:line="360" w:lineRule="auto"/>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1C401A">
      <w:pPr>
        <w:spacing w:line="360" w:lineRule="auto"/>
      </w:pPr>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1C401A">
      <w:pPr>
        <w:spacing w:line="360" w:lineRule="auto"/>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1C401A">
      <w:pPr>
        <w:pStyle w:val="Heading2"/>
        <w:spacing w:line="360" w:lineRule="auto"/>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1C401A">
      <w:pPr>
        <w:spacing w:line="360" w:lineRule="auto"/>
      </w:pPr>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1C401A">
      <w:pPr>
        <w:pStyle w:val="Heading3"/>
        <w:spacing w:line="360" w:lineRule="auto"/>
      </w:pPr>
      <w:r>
        <w:t>Missing Candidate Rate</w:t>
      </w:r>
    </w:p>
    <w:p w14:paraId="278D39C0" w14:textId="6FF1822E" w:rsidR="00D64D8E" w:rsidRPr="00294A97" w:rsidRDefault="00D64D8E" w:rsidP="001C401A">
      <w:pPr>
        <w:pStyle w:val="Heading3"/>
        <w:spacing w:line="360" w:lineRule="auto"/>
      </w:pPr>
      <w:bookmarkStart w:id="35" w:name="_Ref484125232"/>
      <w:r>
        <w:t>Eq.</w:t>
      </w:r>
      <w:r w:rsidR="00BB1654">
        <w:t xml:space="preserve"> 5</w:t>
      </w:r>
      <w:bookmarkEnd w:id="35"/>
    </w:p>
    <w:p w14:paraId="6FED4933" w14:textId="0C8D4ED4" w:rsidR="00D64D8E" w:rsidRPr="00D64D8E" w:rsidRDefault="00D64D8E" w:rsidP="001C401A">
      <w:pPr>
        <w:spacing w:line="360" w:lineRule="auto"/>
      </w:pPr>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1C401A">
      <w:pPr>
        <w:pStyle w:val="Heading3"/>
        <w:spacing w:line="360" w:lineRule="auto"/>
      </w:pPr>
      <w:r>
        <w:t>False Candidate Rate</w:t>
      </w:r>
    </w:p>
    <w:p w14:paraId="04799335" w14:textId="71810087" w:rsidR="005936F2" w:rsidRDefault="005936F2" w:rsidP="001C401A">
      <w:pPr>
        <w:pStyle w:val="Heading3"/>
        <w:spacing w:line="360" w:lineRule="auto"/>
      </w:pPr>
      <w:bookmarkStart w:id="36" w:name="_Ref458775441"/>
      <w:bookmarkStart w:id="37" w:name="_Ref484125256"/>
      <w:r>
        <w:t>Eq.</w:t>
      </w:r>
      <w:r w:rsidR="00220757">
        <w:t xml:space="preserve"> 6</w:t>
      </w:r>
      <w:bookmarkEnd w:id="36"/>
      <w:bookmarkEnd w:id="37"/>
    </w:p>
    <w:p w14:paraId="718EF28A" w14:textId="41F4C903" w:rsidR="005936F2" w:rsidRDefault="005936F2" w:rsidP="001C401A">
      <w:pPr>
        <w:spacing w:line="360" w:lineRule="auto"/>
      </w:pPr>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1C401A">
      <w:pPr>
        <w:pStyle w:val="Heading3"/>
        <w:spacing w:line="360" w:lineRule="auto"/>
      </w:pPr>
      <w:r>
        <w:t xml:space="preserve">Simulating </w:t>
      </w:r>
      <w:r w:rsidR="00145345">
        <w:t>m</w:t>
      </w:r>
      <w:r>
        <w:t>issing candidate gene rate (MCR)</w:t>
      </w:r>
    </w:p>
    <w:p w14:paraId="3169E288" w14:textId="47CE90B2" w:rsidR="00DD40C1" w:rsidRDefault="005D2F9C" w:rsidP="001C401A">
      <w:pPr>
        <w:spacing w:line="360" w:lineRule="auto"/>
      </w:pPr>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1C401A">
      <w:pPr>
        <w:pStyle w:val="Heading3"/>
        <w:spacing w:line="360" w:lineRule="auto"/>
      </w:pPr>
      <w:r>
        <w:t xml:space="preserve">Adding false candidate genes by expanding </w:t>
      </w:r>
      <w:r w:rsidR="00D04EE5">
        <w:t>SNP-to-gene</w:t>
      </w:r>
      <w:r>
        <w:t xml:space="preserve"> mapping parameters</w:t>
      </w:r>
    </w:p>
    <w:p w14:paraId="78D91B39" w14:textId="63FA340C" w:rsidR="00FE1B03" w:rsidRDefault="0067206C" w:rsidP="001C401A">
      <w:pPr>
        <w:spacing w:line="360" w:lineRule="auto"/>
      </w:pPr>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1C401A">
      <w:pPr>
        <w:pStyle w:val="Heading2"/>
        <w:spacing w:line="360" w:lineRule="auto"/>
      </w:pPr>
      <w:r>
        <w:t xml:space="preserve">Maize </w:t>
      </w:r>
      <w:r w:rsidR="00145345">
        <w:t>i</w:t>
      </w:r>
      <w:r w:rsidR="00393ABF">
        <w:t>onome GWAS</w:t>
      </w:r>
    </w:p>
    <w:p w14:paraId="72DBC8DF" w14:textId="3AE3C7B8" w:rsidR="00EC6A5D" w:rsidRDefault="00393ABF" w:rsidP="001C401A">
      <w:pPr>
        <w:spacing w:line="360" w:lineRule="auto"/>
      </w:pPr>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1C401A">
      <w:pPr>
        <w:spacing w:line="360" w:lineRule="auto"/>
      </w:pPr>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1C401A">
      <w:pPr>
        <w:spacing w:line="360" w:lineRule="auto"/>
      </w:pPr>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1C401A">
      <w:pPr>
        <w:pStyle w:val="Heading2"/>
        <w:spacing w:line="360" w:lineRule="auto"/>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pPr>
        <w:spacing w:line="360" w:lineRule="auto"/>
      </w:pPr>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pPr>
        <w:spacing w:line="360" w:lineRule="auto"/>
      </w:pPr>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pPr>
        <w:spacing w:line="360" w:lineRule="auto"/>
      </w:pPr>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1C401A">
      <w:pPr>
        <w:pStyle w:val="Heading2"/>
        <w:spacing w:line="360" w:lineRule="auto"/>
      </w:pPr>
      <w:r>
        <w:t>Reduced</w:t>
      </w:r>
      <w:r w:rsidR="004802BE">
        <w:t>-</w:t>
      </w:r>
      <w:r>
        <w:t>accession ZmPAN networks</w:t>
      </w:r>
    </w:p>
    <w:p w14:paraId="08B3B8F4" w14:textId="14DFC0B4" w:rsidR="006B33EA" w:rsidRDefault="00331862" w:rsidP="001C401A">
      <w:pPr>
        <w:spacing w:line="360" w:lineRule="auto"/>
      </w:pPr>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1C401A">
      <w:pPr>
        <w:pStyle w:val="Heading1"/>
        <w:spacing w:line="360" w:lineRule="auto"/>
      </w:pPr>
      <w:r>
        <w:t>Abbreviations</w:t>
      </w:r>
    </w:p>
    <w:p w14:paraId="70D227EA" w14:textId="71FDDBC1" w:rsidR="00A76A79" w:rsidRDefault="007B27E5" w:rsidP="001C401A">
      <w:pPr>
        <w:spacing w:line="360" w:lineRule="auto"/>
      </w:pPr>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pPr>
        <w:spacing w:line="360" w:lineRule="auto"/>
      </w:pPr>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pPr>
        <w:spacing w:line="360" w:lineRule="auto"/>
      </w:pPr>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pPr>
        <w:spacing w:line="360" w:lineRule="auto"/>
      </w:pPr>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Pr>
        <w:spacing w:line="360" w:lineRule="auto"/>
      </w:pPr>
    </w:p>
    <w:p w14:paraId="71CB1226" w14:textId="15F7E39D" w:rsidR="006B33EA" w:rsidRDefault="006B33EA" w:rsidP="001C401A">
      <w:pPr>
        <w:pStyle w:val="Heading1"/>
        <w:spacing w:line="360" w:lineRule="auto"/>
      </w:pPr>
      <w:r>
        <w:t>References</w:t>
      </w:r>
    </w:p>
    <w:p w14:paraId="52AA224B" w14:textId="06941C26" w:rsidR="002E7ACB" w:rsidRPr="002E7ACB" w:rsidRDefault="003F1192" w:rsidP="001C401A">
      <w:pPr>
        <w:widowControl w:val="0"/>
        <w:autoSpaceDE w:val="0"/>
        <w:autoSpaceDN w:val="0"/>
        <w:adjustRightInd w:val="0"/>
        <w:spacing w:line="360" w:lineRule="auto"/>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1C401A">
      <w:pPr>
        <w:widowControl w:val="0"/>
        <w:autoSpaceDE w:val="0"/>
        <w:autoSpaceDN w:val="0"/>
        <w:adjustRightInd w:val="0"/>
        <w:spacing w:line="360" w:lineRule="auto"/>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1C401A">
      <w:pPr>
        <w:widowControl w:val="0"/>
        <w:autoSpaceDE w:val="0"/>
        <w:autoSpaceDN w:val="0"/>
        <w:adjustRightInd w:val="0"/>
        <w:spacing w:line="360" w:lineRule="auto"/>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1C401A">
      <w:pPr>
        <w:widowControl w:val="0"/>
        <w:autoSpaceDE w:val="0"/>
        <w:autoSpaceDN w:val="0"/>
        <w:adjustRightInd w:val="0"/>
        <w:spacing w:line="360" w:lineRule="auto"/>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1C401A">
      <w:pPr>
        <w:spacing w:line="360" w:lineRule="auto"/>
      </w:pPr>
      <w:r>
        <w:fldChar w:fldCharType="end"/>
      </w:r>
    </w:p>
    <w:p w14:paraId="118B05F1" w14:textId="6F298BDD" w:rsidR="00734F93" w:rsidRDefault="00734F93" w:rsidP="001C401A">
      <w:pPr>
        <w:pStyle w:val="Heading1"/>
        <w:spacing w:line="360" w:lineRule="auto"/>
      </w:pPr>
      <w:r>
        <w:t>Figures</w:t>
      </w:r>
    </w:p>
    <w:p w14:paraId="581E58EA" w14:textId="1980763F" w:rsidR="00734F93" w:rsidRPr="00107824" w:rsidRDefault="009E7937" w:rsidP="001C401A">
      <w:pPr>
        <w:pStyle w:val="Heading2"/>
        <w:spacing w:line="360" w:lineRule="auto"/>
      </w:pPr>
      <w:bookmarkStart w:id="38" w:name="_Ref444765587"/>
      <w:r>
        <w:t>Figure 1</w:t>
      </w:r>
      <w:bookmarkEnd w:id="38"/>
      <w:r w:rsidR="00E352FA">
        <w:tab/>
      </w:r>
    </w:p>
    <w:p w14:paraId="1F45F32F" w14:textId="77777777" w:rsidR="00734F93" w:rsidRDefault="00734F93" w:rsidP="001C401A">
      <w:pPr>
        <w:pStyle w:val="Heading4"/>
        <w:spacing w:line="360" w:lineRule="auto"/>
      </w:pPr>
      <w:r>
        <w:t xml:space="preserve">Schematic of the </w:t>
      </w:r>
      <w:r w:rsidRPr="00E7135D">
        <w:t>Camoco framework</w:t>
      </w:r>
    </w:p>
    <w:p w14:paraId="27E782AA" w14:textId="7CEA9761" w:rsidR="00734F93" w:rsidRDefault="00734F93" w:rsidP="001C401A">
      <w:pPr>
        <w:pStyle w:val="Subtitle"/>
        <w:spacing w:line="360" w:lineRule="auto"/>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1C401A">
      <w:pPr>
        <w:pStyle w:val="Heading2"/>
        <w:spacing w:line="360" w:lineRule="auto"/>
      </w:pPr>
      <w:bookmarkStart w:id="39" w:name="_Ref487124030"/>
      <w:r>
        <w:t>Figure 2</w:t>
      </w:r>
      <w:bookmarkEnd w:id="39"/>
    </w:p>
    <w:p w14:paraId="1442781B" w14:textId="77777777" w:rsidR="00C1066C" w:rsidRDefault="00C1066C" w:rsidP="001C401A">
      <w:pPr>
        <w:pStyle w:val="Heading4"/>
        <w:spacing w:line="360" w:lineRule="auto"/>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spacing w:line="360" w:lineRule="auto"/>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1C401A">
      <w:pPr>
        <w:pStyle w:val="Heading2"/>
        <w:spacing w:line="360" w:lineRule="auto"/>
      </w:pPr>
      <w:bookmarkStart w:id="40" w:name="_Ref456807908"/>
      <w:bookmarkStart w:id="41" w:name="_Ref458794783"/>
      <w:r>
        <w:t>Figure 3</w:t>
      </w:r>
      <w:bookmarkEnd w:id="40"/>
      <w:bookmarkEnd w:id="41"/>
    </w:p>
    <w:p w14:paraId="7A582CF7" w14:textId="77777777" w:rsidR="00690272" w:rsidRDefault="00690272" w:rsidP="001C401A">
      <w:pPr>
        <w:pStyle w:val="Heading4"/>
        <w:spacing w:line="360" w:lineRule="auto"/>
        <w:jc w:val="left"/>
      </w:pPr>
      <w:r>
        <w:t>Simulating GWAS-network overlap using GO terms</w:t>
      </w:r>
    </w:p>
    <w:p w14:paraId="3B79B94C" w14:textId="354B1032" w:rsidR="00690272" w:rsidRDefault="00690272" w:rsidP="001C401A">
      <w:pPr>
        <w:pStyle w:val="Subtitle"/>
        <w:spacing w:line="360" w:lineRule="auto"/>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1C401A">
      <w:pPr>
        <w:pStyle w:val="Heading2"/>
        <w:spacing w:line="360" w:lineRule="auto"/>
      </w:pPr>
      <w:bookmarkStart w:id="42" w:name="_Ref458700744"/>
      <w:r>
        <w:t>Figure 4</w:t>
      </w:r>
      <w:bookmarkStart w:id="43" w:name="EditPoint"/>
      <w:bookmarkEnd w:id="42"/>
      <w:bookmarkEnd w:id="43"/>
    </w:p>
    <w:p w14:paraId="7AB7AC82" w14:textId="77777777" w:rsidR="00C85AF2" w:rsidRDefault="00C85AF2" w:rsidP="001C401A">
      <w:pPr>
        <w:pStyle w:val="Heading4"/>
        <w:spacing w:line="360" w:lineRule="auto"/>
        <w:jc w:val="left"/>
      </w:pPr>
      <w:r>
        <w:t>Strength of co-expression among GO terms at varying levels of MCR</w:t>
      </w:r>
    </w:p>
    <w:p w14:paraId="1BB90B9C" w14:textId="5CC74B5F" w:rsidR="00C85AF2" w:rsidRDefault="00C85AF2" w:rsidP="001C401A">
      <w:pPr>
        <w:pStyle w:val="Subtitle"/>
        <w:spacing w:line="360" w:lineRule="auto"/>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1C401A">
      <w:pPr>
        <w:pStyle w:val="Heading2"/>
        <w:spacing w:line="360" w:lineRule="auto"/>
      </w:pPr>
      <w:bookmarkStart w:id="44" w:name="_Ref458721156"/>
      <w:bookmarkStart w:id="45" w:name="_Ref447197618"/>
      <w:r>
        <w:t>Figure 5</w:t>
      </w:r>
      <w:bookmarkEnd w:id="44"/>
      <w:bookmarkEnd w:id="45"/>
    </w:p>
    <w:p w14:paraId="38CD5098" w14:textId="65FC48BC" w:rsidR="00C85AF2" w:rsidRDefault="00C85AF2" w:rsidP="001C401A">
      <w:pPr>
        <w:pStyle w:val="Heading4"/>
        <w:spacing w:line="360" w:lineRule="auto"/>
        <w:jc w:val="left"/>
      </w:pPr>
      <w:r>
        <w:t>S</w:t>
      </w:r>
      <w:r w:rsidR="00282527">
        <w:t>trength of co-expression among GO terms at varying levels of FCR</w:t>
      </w:r>
    </w:p>
    <w:p w14:paraId="64A35CFE" w14:textId="2F2464A4" w:rsidR="00C85AF2" w:rsidRDefault="00C85AF2" w:rsidP="001C401A">
      <w:pPr>
        <w:pStyle w:val="Subtitle"/>
        <w:spacing w:line="360" w:lineRule="auto"/>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1C401A">
      <w:pPr>
        <w:pStyle w:val="Heading2"/>
        <w:spacing w:line="360" w:lineRule="auto"/>
      </w:pPr>
      <w:bookmarkStart w:id="46" w:name="_Ref485996339"/>
      <w:r>
        <w:t>Figure 6</w:t>
      </w:r>
      <w:bookmarkEnd w:id="46"/>
    </w:p>
    <w:p w14:paraId="347D2EC6" w14:textId="5E113C4F" w:rsidR="003B691E" w:rsidRDefault="003B691E" w:rsidP="001C401A">
      <w:pPr>
        <w:pStyle w:val="Heading3"/>
        <w:spacing w:line="360" w:lineRule="auto"/>
      </w:pPr>
      <w:r>
        <w:t>Maize grain ionome high-priority candidate genes</w:t>
      </w:r>
      <w:r w:rsidR="00C04316">
        <w:t xml:space="preserve"> heatmap summary</w:t>
      </w:r>
    </w:p>
    <w:p w14:paraId="41782345" w14:textId="77777777" w:rsidR="003B691E" w:rsidRPr="004B5247" w:rsidRDefault="003B691E" w:rsidP="001C401A">
      <w:pPr>
        <w:pStyle w:val="Subtitle"/>
        <w:spacing w:line="360" w:lineRule="auto"/>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1C401A">
      <w:pPr>
        <w:pStyle w:val="Heading2"/>
        <w:spacing w:line="360" w:lineRule="auto"/>
      </w:pPr>
      <w:bookmarkStart w:id="47" w:name="_Ref481757037"/>
      <w:bookmarkStart w:id="48" w:name="_Ref484529183"/>
      <w:r>
        <w:t>Figure</w:t>
      </w:r>
      <w:r w:rsidR="004603F1">
        <w:t xml:space="preserve"> 7</w:t>
      </w:r>
      <w:bookmarkEnd w:id="47"/>
      <w:bookmarkEnd w:id="48"/>
    </w:p>
    <w:p w14:paraId="66B9E9F8" w14:textId="77777777" w:rsidR="00101202" w:rsidRDefault="00101202" w:rsidP="001C401A">
      <w:pPr>
        <w:pStyle w:val="Heading3"/>
        <w:spacing w:line="360" w:lineRule="auto"/>
      </w:pPr>
      <w:r>
        <w:t>Co-expression network for D9 and cadmium HPO genes</w:t>
      </w:r>
    </w:p>
    <w:p w14:paraId="6F40EAFE" w14:textId="1BDC3F47" w:rsidR="00101202" w:rsidRDefault="00101202" w:rsidP="001C401A">
      <w:pPr>
        <w:pStyle w:val="Subtitle"/>
        <w:spacing w:line="360" w:lineRule="auto"/>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1C401A">
      <w:pPr>
        <w:pStyle w:val="Heading2"/>
        <w:spacing w:line="360" w:lineRule="auto"/>
      </w:pPr>
      <w:bookmarkStart w:id="49" w:name="_Ref484091798"/>
      <w:r>
        <w:t>Figure</w:t>
      </w:r>
      <w:r w:rsidR="004603F1">
        <w:t xml:space="preserve"> 8</w:t>
      </w:r>
      <w:bookmarkEnd w:id="49"/>
    </w:p>
    <w:p w14:paraId="285A6AD7" w14:textId="77777777" w:rsidR="00101202" w:rsidRPr="007B27E5" w:rsidRDefault="00101202" w:rsidP="001C401A">
      <w:pPr>
        <w:pStyle w:val="Heading3"/>
        <w:spacing w:line="360" w:lineRule="auto"/>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1C401A">
      <w:pPr>
        <w:pStyle w:val="Subtitle"/>
        <w:spacing w:line="360" w:lineRule="auto"/>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67A4E9D2" w14:textId="313D2396" w:rsidR="006B33EA" w:rsidRDefault="005F2ACB" w:rsidP="001C401A">
      <w:pPr>
        <w:pStyle w:val="Heading1"/>
        <w:spacing w:line="360" w:lineRule="auto"/>
      </w:pPr>
      <w:r>
        <w:t>Supplementary Figures</w:t>
      </w:r>
    </w:p>
    <w:p w14:paraId="7969E5B2" w14:textId="29F8477F" w:rsidR="00DE6B75" w:rsidRPr="00DE6B75" w:rsidRDefault="000313FE" w:rsidP="001C401A">
      <w:pPr>
        <w:pStyle w:val="Heading2"/>
        <w:spacing w:line="360" w:lineRule="auto"/>
      </w:pPr>
      <w:bookmarkStart w:id="50" w:name="_Ref447013206"/>
      <w:r>
        <w:t>Supp. Figure 1</w:t>
      </w:r>
      <w:bookmarkEnd w:id="50"/>
    </w:p>
    <w:p w14:paraId="084FE236" w14:textId="6F277375" w:rsidR="00DB7771" w:rsidRDefault="00DB7771" w:rsidP="001C401A">
      <w:pPr>
        <w:pStyle w:val="Heading3"/>
        <w:spacing w:line="360" w:lineRule="auto"/>
      </w:pPr>
      <w:r>
        <w:t>ZmPAN</w:t>
      </w:r>
      <w:r w:rsidR="00145345">
        <w:t xml:space="preserve"> network health</w:t>
      </w:r>
    </w:p>
    <w:p w14:paraId="7BA5F2BA" w14:textId="1309F34E" w:rsidR="00DB7771" w:rsidRPr="0065007C" w:rsidRDefault="00DB7771" w:rsidP="001C401A">
      <w:pPr>
        <w:pStyle w:val="Subtitle"/>
        <w:spacing w:line="360" w:lineRule="auto"/>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1C401A">
      <w:pPr>
        <w:pStyle w:val="Heading2"/>
        <w:spacing w:line="360" w:lineRule="auto"/>
      </w:pPr>
      <w:bookmarkStart w:id="51" w:name="_Ref447013895"/>
      <w:r>
        <w:t>Supp. Figure 2</w:t>
      </w:r>
      <w:bookmarkEnd w:id="51"/>
    </w:p>
    <w:p w14:paraId="302F6CD2" w14:textId="12E5730F" w:rsidR="00DB7771" w:rsidRPr="00DB7771" w:rsidRDefault="00DB7771" w:rsidP="001C401A">
      <w:pPr>
        <w:pStyle w:val="Heading3"/>
        <w:spacing w:line="360" w:lineRule="auto"/>
      </w:pPr>
      <w:r>
        <w:t xml:space="preserve">ZmSAM </w:t>
      </w:r>
      <w:r w:rsidR="00145345">
        <w:t>network heal</w:t>
      </w:r>
      <w:r>
        <w:t>th</w:t>
      </w:r>
    </w:p>
    <w:p w14:paraId="774A1C72" w14:textId="4B4A324A" w:rsidR="00C50EC2" w:rsidRDefault="008F4971" w:rsidP="001C401A">
      <w:pPr>
        <w:pStyle w:val="Subtitle"/>
        <w:spacing w:line="360" w:lineRule="auto"/>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1C401A">
      <w:pPr>
        <w:pStyle w:val="Heading2"/>
        <w:spacing w:line="360" w:lineRule="auto"/>
      </w:pPr>
      <w:bookmarkStart w:id="52" w:name="_Ref447015478"/>
      <w:r>
        <w:t>Supp. Figure 3</w:t>
      </w:r>
      <w:bookmarkEnd w:id="52"/>
    </w:p>
    <w:p w14:paraId="2F6283B4" w14:textId="721D6F03" w:rsidR="00C50EC2" w:rsidRDefault="00C50EC2" w:rsidP="001C401A">
      <w:pPr>
        <w:pStyle w:val="Heading3"/>
        <w:spacing w:line="360" w:lineRule="auto"/>
      </w:pPr>
      <w:r>
        <w:t xml:space="preserve">ZmRoot </w:t>
      </w:r>
      <w:r w:rsidR="00145345">
        <w:t>network he</w:t>
      </w:r>
      <w:r>
        <w:t>alth</w:t>
      </w:r>
    </w:p>
    <w:p w14:paraId="0A125799" w14:textId="29A1AECC" w:rsidR="00FD6539" w:rsidRDefault="00FD6539" w:rsidP="001C401A">
      <w:pPr>
        <w:pStyle w:val="Subtitle"/>
        <w:spacing w:line="360" w:lineRule="auto"/>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1C401A">
      <w:pPr>
        <w:pStyle w:val="Heading2"/>
        <w:spacing w:line="360" w:lineRule="auto"/>
      </w:pPr>
      <w:bookmarkStart w:id="53" w:name="_Ref447187909"/>
      <w:r>
        <w:t>Supp. Figure 4</w:t>
      </w:r>
      <w:bookmarkEnd w:id="53"/>
    </w:p>
    <w:p w14:paraId="1C3760BF" w14:textId="77777777" w:rsidR="00857489" w:rsidRDefault="00380825" w:rsidP="001C401A">
      <w:pPr>
        <w:pStyle w:val="Heading3"/>
        <w:spacing w:line="360" w:lineRule="auto"/>
      </w:pPr>
      <w:r>
        <w:t xml:space="preserve">MCR </w:t>
      </w:r>
      <w:r w:rsidR="00E814FD">
        <w:t>supplemental figure</w:t>
      </w:r>
    </w:p>
    <w:p w14:paraId="138732DE" w14:textId="6D3C66FC" w:rsidR="0020050D" w:rsidRDefault="00961027" w:rsidP="001C401A">
      <w:pPr>
        <w:pStyle w:val="Subtitle"/>
        <w:spacing w:line="360" w:lineRule="auto"/>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1C401A">
      <w:pPr>
        <w:pStyle w:val="Heading2"/>
        <w:spacing w:line="360" w:lineRule="auto"/>
      </w:pPr>
      <w:bookmarkStart w:id="54" w:name="_Ref470857301"/>
      <w:r>
        <w:t>Supp. Figure 5</w:t>
      </w:r>
      <w:bookmarkEnd w:id="54"/>
    </w:p>
    <w:p w14:paraId="3F6BA565" w14:textId="77777777" w:rsidR="002002F7" w:rsidRDefault="00E814FD" w:rsidP="001C401A">
      <w:pPr>
        <w:pStyle w:val="Heading3"/>
        <w:spacing w:line="360" w:lineRule="auto"/>
      </w:pPr>
      <w:r>
        <w:t>FCR supplemental figure</w:t>
      </w:r>
    </w:p>
    <w:p w14:paraId="1FB4E1EB" w14:textId="1380257F" w:rsidR="00AC5717" w:rsidRDefault="00886E74" w:rsidP="001C401A">
      <w:pPr>
        <w:pStyle w:val="Subtitle"/>
        <w:spacing w:line="360" w:lineRule="auto"/>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1C401A">
      <w:pPr>
        <w:pStyle w:val="Heading2"/>
        <w:spacing w:line="360" w:lineRule="auto"/>
      </w:pPr>
      <w:bookmarkStart w:id="55" w:name="_Ref481678956"/>
      <w:r>
        <w:t>Supp. Figure 6</w:t>
      </w:r>
      <w:bookmarkEnd w:id="55"/>
    </w:p>
    <w:p w14:paraId="6A16579A" w14:textId="6812681F" w:rsidR="000F3B6F" w:rsidRDefault="00EE4CCD" w:rsidP="001C401A">
      <w:pPr>
        <w:pStyle w:val="Heading3"/>
        <w:spacing w:line="360" w:lineRule="auto"/>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1C401A">
      <w:pPr>
        <w:pStyle w:val="Subtitle"/>
        <w:spacing w:line="360" w:lineRule="auto"/>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1C401A">
      <w:pPr>
        <w:pStyle w:val="Heading2"/>
        <w:spacing w:line="360" w:lineRule="auto"/>
      </w:pPr>
      <w:bookmarkStart w:id="56" w:name="_Ref486000600"/>
      <w:r>
        <w:t>Supp. Figure 7</w:t>
      </w:r>
      <w:bookmarkEnd w:id="56"/>
    </w:p>
    <w:p w14:paraId="3BE5DCC1" w14:textId="5A26FF2A" w:rsidR="004409E3" w:rsidRPr="00975FFB" w:rsidRDefault="004409E3" w:rsidP="001C401A">
      <w:pPr>
        <w:pStyle w:val="Heading3"/>
        <w:spacing w:line="360" w:lineRule="auto"/>
      </w:pPr>
      <w:r>
        <w:t>Element HPO candidate gene overlap</w:t>
      </w:r>
      <w:r w:rsidR="00C04316">
        <w:t xml:space="preserve"> heatmap</w:t>
      </w:r>
    </w:p>
    <w:p w14:paraId="7C52A97B" w14:textId="717BE2F9" w:rsidR="004409E3" w:rsidRPr="003B691E" w:rsidRDefault="004409E3" w:rsidP="001C401A">
      <w:pPr>
        <w:pStyle w:val="Subtitle"/>
        <w:spacing w:line="360" w:lineRule="auto"/>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1C401A">
      <w:pPr>
        <w:spacing w:line="360" w:lineRule="auto"/>
      </w:pPr>
    </w:p>
    <w:p w14:paraId="7B52D951" w14:textId="1D7EE7EC" w:rsidR="00EA1705" w:rsidRPr="004A497C" w:rsidRDefault="00214BAC" w:rsidP="001C401A">
      <w:pPr>
        <w:pStyle w:val="Heading2"/>
        <w:spacing w:line="360" w:lineRule="auto"/>
      </w:pPr>
      <w:bookmarkStart w:id="57" w:name="_Ref489428564"/>
      <w:r>
        <w:t>Supp. Figure 8</w:t>
      </w:r>
      <w:bookmarkEnd w:id="57"/>
    </w:p>
    <w:p w14:paraId="3467E29A" w14:textId="77777777" w:rsidR="00EA1705" w:rsidRDefault="00EA1705" w:rsidP="001C401A">
      <w:pPr>
        <w:pStyle w:val="Heading3"/>
        <w:spacing w:line="360" w:lineRule="auto"/>
      </w:pPr>
      <w:r>
        <w:t>Number of intervening genes between HPO gene and GWAS locus</w:t>
      </w:r>
    </w:p>
    <w:p w14:paraId="312BCE93" w14:textId="56226968" w:rsidR="00EA1705" w:rsidRDefault="00EA1705" w:rsidP="001C401A">
      <w:pPr>
        <w:pStyle w:val="Subtitle"/>
        <w:spacing w:line="360" w:lineRule="auto"/>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1C401A">
      <w:pPr>
        <w:pStyle w:val="Heading2"/>
        <w:spacing w:line="360" w:lineRule="auto"/>
      </w:pPr>
      <w:bookmarkStart w:id="58" w:name="_Ref483951527"/>
      <w:r>
        <w:t>Supp. Figure 9</w:t>
      </w:r>
      <w:bookmarkEnd w:id="58"/>
    </w:p>
    <w:p w14:paraId="36ECB905" w14:textId="77777777" w:rsidR="005F615E" w:rsidRDefault="005F615E" w:rsidP="001C401A">
      <w:pPr>
        <w:pStyle w:val="Heading3"/>
        <w:spacing w:line="360" w:lineRule="auto"/>
      </w:pPr>
      <w:r>
        <w:t>GO biological process enrichment for the ionome</w:t>
      </w:r>
    </w:p>
    <w:p w14:paraId="3282CC09" w14:textId="77777777" w:rsidR="005F615E" w:rsidRPr="00FF7C43" w:rsidRDefault="005F615E" w:rsidP="001C401A">
      <w:pPr>
        <w:pStyle w:val="Subtitle"/>
        <w:spacing w:line="360" w:lineRule="auto"/>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1C401A">
      <w:pPr>
        <w:spacing w:line="360" w:lineRule="auto"/>
      </w:pPr>
    </w:p>
    <w:p w14:paraId="595BBE78" w14:textId="66ACD510" w:rsidR="009C78B5" w:rsidRDefault="00D6748B" w:rsidP="001C401A">
      <w:pPr>
        <w:pStyle w:val="Heading1"/>
        <w:spacing w:line="360" w:lineRule="auto"/>
      </w:pPr>
      <w:bookmarkStart w:id="59" w:name="_Ref502242324"/>
      <w:r>
        <w:t>Supplementary Text</w:t>
      </w:r>
      <w:bookmarkEnd w:id="59"/>
    </w:p>
    <w:p w14:paraId="0F76A42D" w14:textId="4ED52D20" w:rsidR="000B4EC3" w:rsidRPr="000B4EC3" w:rsidRDefault="000B4EC3" w:rsidP="001C401A">
      <w:pPr>
        <w:pStyle w:val="Heading2"/>
        <w:spacing w:line="360" w:lineRule="auto"/>
      </w:pPr>
      <w:r>
        <w:t>Validating</w:t>
      </w:r>
      <w:r w:rsidR="004C74DC">
        <w:t xml:space="preserve"> density and locality </w:t>
      </w:r>
    </w:p>
    <w:p w14:paraId="42A50A84" w14:textId="57AF3742" w:rsidR="000B4EC3" w:rsidRDefault="000B4EC3" w:rsidP="001C401A">
      <w:pPr>
        <w:spacing w:line="360" w:lineRule="auto"/>
      </w:pPr>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fldChar w:fldCharType="separate"/>
      </w:r>
      <w:r w:rsidRPr="00EA432F">
        <w:rPr>
          <w:noProof/>
        </w:rPr>
        <w:t>[39]</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1C401A">
      <w:pPr>
        <w:pStyle w:val="Subtitle"/>
        <w:spacing w:line="360" w:lineRule="auto"/>
      </w:pPr>
      <w:r>
        <w:t xml:space="preserve"> </w:t>
      </w:r>
    </w:p>
    <w:p w14:paraId="55EA44DB" w14:textId="44F389E1" w:rsidR="000B4EC3" w:rsidRPr="000B4EC3" w:rsidRDefault="000B4EC3" w:rsidP="001C401A">
      <w:pPr>
        <w:spacing w:line="360" w:lineRule="auto"/>
      </w:pPr>
      <w:r>
        <w:t>In addition to detecting strong co-expression among genes previously annotated by functional processes, unsupervised network clustering using the Markov Cluster algorithm</w:t>
      </w:r>
      <w:r>
        <w:fldChar w:fldCharType="begin" w:fldLock="1"/>
      </w:r>
      <w:r>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fldChar w:fldCharType="separate"/>
      </w:r>
      <w:r w:rsidRPr="00EA432F">
        <w:rPr>
          <w:noProof/>
        </w:rPr>
        <w:t>[40]</w:t>
      </w:r>
      <w:r>
        <w:fldChar w:fldCharType="end"/>
      </w:r>
      <w:r>
        <w:t xml:space="preserve"> showed distinct modules within each network (</w:t>
      </w:r>
      <w:r>
        <w:fldChar w:fldCharType="begin"/>
      </w:r>
      <w:r>
        <w:instrText xml:space="preserve"> REF _Ref483825641 \h </w:instrText>
      </w:r>
      <w:r w:rsidR="001C401A">
        <w:instrText xml:space="preserve"> \* MERGEFORMAT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Pr="00EA432F">
        <w:rPr>
          <w:noProof/>
        </w:rPr>
        <w:t>[41]</w:t>
      </w:r>
      <w:r>
        <w:fldChar w:fldCharType="end"/>
      </w:r>
      <w:r>
        <w:t xml:space="preserve">. </w:t>
      </w:r>
    </w:p>
    <w:p w14:paraId="18FB9B09" w14:textId="0C08BC27" w:rsidR="00027E1C" w:rsidRPr="00027E1C" w:rsidRDefault="00027E1C" w:rsidP="001C401A">
      <w:pPr>
        <w:pStyle w:val="Heading2"/>
        <w:spacing w:line="360" w:lineRule="auto"/>
      </w:pPr>
      <w:r w:rsidRPr="00333516">
        <w:t xml:space="preserve">Enrichment analysis of </w:t>
      </w:r>
      <w:r w:rsidR="00CD7DC7">
        <w:t>HPO and HPO+ candidate gene sets</w:t>
      </w:r>
    </w:p>
    <w:p w14:paraId="0FD44D5A" w14:textId="0E49745A" w:rsidR="00D6748B" w:rsidRDefault="00027E1C" w:rsidP="001C401A">
      <w:pPr>
        <w:spacing w:line="360" w:lineRule="auto"/>
      </w:pPr>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2B002C17" w:rsidR="00D6748B" w:rsidRDefault="00D6748B" w:rsidP="001C401A">
      <w:pPr>
        <w:spacing w:line="360" w:lineRule="auto"/>
      </w:pPr>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AA41ED2" w:rsidR="00F52A7B" w:rsidRDefault="00D6748B" w:rsidP="001C401A">
      <w:pPr>
        <w:spacing w:line="360" w:lineRule="auto"/>
      </w:pPr>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1C401A">
      <w:pPr>
        <w:pStyle w:val="Heading2"/>
        <w:spacing w:line="360" w:lineRule="auto"/>
      </w:pPr>
      <w:r>
        <w:t>Gene co-expression analysis of D9</w:t>
      </w:r>
    </w:p>
    <w:p w14:paraId="7588E16C" w14:textId="6BDF2525" w:rsidR="00C429E1" w:rsidRDefault="00C429E1" w:rsidP="001C401A">
      <w:pPr>
        <w:spacing w:line="360" w:lineRule="auto"/>
      </w:pPr>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1C401A">
      <w:pPr>
        <w:spacing w:line="360" w:lineRule="auto"/>
      </w:pPr>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1C401A">
      <w:pPr>
        <w:pStyle w:val="Heading2"/>
        <w:spacing w:line="360" w:lineRule="auto"/>
      </w:pPr>
      <w:r>
        <w:t>Previously described HPO genes and their effects on the ionome</w:t>
      </w:r>
    </w:p>
    <w:p w14:paraId="007BAB1E" w14:textId="3E87D46D" w:rsidR="00A7235E" w:rsidRPr="00B750E1" w:rsidRDefault="00C429E1" w:rsidP="001C401A">
      <w:pPr>
        <w:spacing w:line="360" w:lineRule="auto"/>
      </w:pPr>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1C401A">
      <w:pPr>
        <w:spacing w:line="360" w:lineRule="auto"/>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1C401A">
      <w:pPr>
        <w:spacing w:line="360" w:lineRule="auto"/>
      </w:pPr>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pPr>
        <w:spacing w:line="360" w:lineRule="auto"/>
      </w:pPr>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545BC46" w:rsidR="00A26D91" w:rsidRPr="00D6748B" w:rsidRDefault="00730EEA" w:rsidP="001C401A">
      <w:pPr>
        <w:spacing w:line="360" w:lineRule="auto"/>
      </w:pPr>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DC825" w14:textId="77777777" w:rsidR="008374DE" w:rsidRDefault="008374DE" w:rsidP="006804EA">
      <w:r>
        <w:separator/>
      </w:r>
    </w:p>
  </w:endnote>
  <w:endnote w:type="continuationSeparator" w:id="0">
    <w:p w14:paraId="74C69D6B" w14:textId="77777777" w:rsidR="008374DE" w:rsidRDefault="008374DE" w:rsidP="006804EA">
      <w:r>
        <w:continuationSeparator/>
      </w:r>
    </w:p>
  </w:endnote>
  <w:endnote w:type="continuationNotice" w:id="1">
    <w:p w14:paraId="362E72DC" w14:textId="77777777" w:rsidR="008374DE" w:rsidRDefault="008374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5D50955A" w:rsidR="008374DE" w:rsidRDefault="008374DE" w:rsidP="006804EA">
        <w:pPr>
          <w:pStyle w:val="Footer"/>
        </w:pPr>
        <w:r>
          <w:fldChar w:fldCharType="begin"/>
        </w:r>
        <w:r w:rsidRPr="006A5509">
          <w:instrText xml:space="preserve"> PAGE   \* MERGEFORMAT </w:instrText>
        </w:r>
        <w:r>
          <w:fldChar w:fldCharType="separate"/>
        </w:r>
        <w:r w:rsidR="00DC5A6F">
          <w:rPr>
            <w:noProof/>
          </w:rPr>
          <w:t>28</w:t>
        </w:r>
        <w:r>
          <w:rPr>
            <w:noProof/>
          </w:rPr>
          <w:fldChar w:fldCharType="end"/>
        </w:r>
      </w:p>
    </w:sdtContent>
  </w:sdt>
  <w:p w14:paraId="1B93D360" w14:textId="77777777" w:rsidR="008374DE" w:rsidRDefault="008374DE"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D652" w14:textId="77777777" w:rsidR="008374DE" w:rsidRDefault="008374DE" w:rsidP="006804EA">
      <w:r>
        <w:separator/>
      </w:r>
    </w:p>
  </w:footnote>
  <w:footnote w:type="continuationSeparator" w:id="0">
    <w:p w14:paraId="058E8EFA" w14:textId="77777777" w:rsidR="008374DE" w:rsidRDefault="008374DE" w:rsidP="006804EA">
      <w:r>
        <w:continuationSeparator/>
      </w:r>
    </w:p>
  </w:footnote>
  <w:footnote w:type="continuationNotice" w:id="1">
    <w:p w14:paraId="7EB259DC" w14:textId="77777777" w:rsidR="008374DE" w:rsidRDefault="008374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8374DE" w:rsidRDefault="00837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74"/>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249"/>
    <w:rsid w:val="002A0641"/>
    <w:rsid w:val="002A08A9"/>
    <w:rsid w:val="002A0B2A"/>
    <w:rsid w:val="002A10E6"/>
    <w:rsid w:val="002A149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27A88"/>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6B4"/>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368"/>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169"/>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341"/>
    <w:rsid w:val="007134FE"/>
    <w:rsid w:val="00713697"/>
    <w:rsid w:val="007137C5"/>
    <w:rsid w:val="00714CB0"/>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4C"/>
    <w:rsid w:val="00784669"/>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374DE"/>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BE3"/>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52"/>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12C"/>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516AC18-9550-4ABD-965F-7A7D1C5B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A"/>
    <w:pPr>
      <w:spacing w:line="48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ffe174@umn.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5E4B5-356F-49EB-9B11-BCFE7D4A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52</Pages>
  <Words>68468</Words>
  <Characters>390269</Characters>
  <Application>Microsoft Office Word</Application>
  <DocSecurity>0</DocSecurity>
  <Lines>3252</Lines>
  <Paragraphs>915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457822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24</cp:revision>
  <cp:lastPrinted>2017-11-17T23:34:00Z</cp:lastPrinted>
  <dcterms:created xsi:type="dcterms:W3CDTF">2018-03-15T10:30:00Z</dcterms:created>
  <dcterms:modified xsi:type="dcterms:W3CDTF">2018-06-11T22:44:00Z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